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2060" w:tblpY="56"/>
        <w:tblOverlap w:val="never"/>
        <w:tblW w:w="13254" w:type="dxa"/>
        <w:tblInd w:w="0" w:type="dxa"/>
        <w:tblLayout w:type="fixed"/>
        <w:tblCellMar>
          <w:top w:w="0" w:type="dxa"/>
          <w:left w:w="0" w:type="dxa"/>
          <w:bottom w:w="0" w:type="dxa"/>
          <w:right w:w="0" w:type="dxa"/>
        </w:tblCellMar>
      </w:tblPr>
      <w:tblGrid>
        <w:gridCol w:w="448"/>
        <w:gridCol w:w="1744"/>
        <w:gridCol w:w="645"/>
        <w:gridCol w:w="1575"/>
        <w:gridCol w:w="615"/>
        <w:gridCol w:w="480"/>
        <w:gridCol w:w="525"/>
        <w:gridCol w:w="600"/>
        <w:gridCol w:w="795"/>
        <w:gridCol w:w="585"/>
        <w:gridCol w:w="585"/>
        <w:gridCol w:w="585"/>
        <w:gridCol w:w="765"/>
        <w:gridCol w:w="1110"/>
        <w:gridCol w:w="1080"/>
        <w:gridCol w:w="1117"/>
      </w:tblGrid>
      <w:tr w14:paraId="4A804216">
        <w:tblPrEx>
          <w:tblCellMar>
            <w:top w:w="0" w:type="dxa"/>
            <w:left w:w="0" w:type="dxa"/>
            <w:bottom w:w="0" w:type="dxa"/>
            <w:right w:w="0" w:type="dxa"/>
          </w:tblCellMar>
        </w:tblPrEx>
        <w:trPr>
          <w:trHeight w:val="1142" w:hRule="atLeast"/>
        </w:trPr>
        <w:tc>
          <w:tcPr>
            <w:tcW w:w="12137" w:type="dxa"/>
            <w:gridSpan w:val="15"/>
            <w:tcBorders>
              <w:top w:val="nil"/>
              <w:left w:val="nil"/>
              <w:bottom w:val="nil"/>
              <w:right w:val="nil"/>
            </w:tcBorders>
            <w:noWrap/>
            <w:tcMar>
              <w:top w:w="15" w:type="dxa"/>
              <w:left w:w="15" w:type="dxa"/>
              <w:right w:w="15" w:type="dxa"/>
            </w:tcMar>
            <w:vAlign w:val="center"/>
          </w:tcPr>
          <w:p w14:paraId="121EEBF0">
            <w:pPr>
              <w:rPr>
                <w:rFonts w:hint="eastAsia" w:ascii="宋体" w:hAnsi="宋体" w:eastAsia="黑体" w:cs="黑体"/>
                <w:bCs/>
                <w:sz w:val="28"/>
                <w:szCs w:val="28"/>
                <w:lang w:val="en-US" w:eastAsia="zh-CN"/>
              </w:rPr>
            </w:pPr>
            <w:r>
              <w:rPr>
                <w:rFonts w:hint="eastAsia" w:ascii="宋体" w:hAnsi="宋体" w:eastAsia="黑体" w:cs="黑体"/>
                <w:bCs/>
                <w:sz w:val="28"/>
                <w:szCs w:val="28"/>
                <w:lang w:val="en-US" w:eastAsia="zh-CN"/>
              </w:rPr>
              <w:t>附件1</w:t>
            </w:r>
          </w:p>
          <w:p w14:paraId="64D26569">
            <w:pPr>
              <w:jc w:val="center"/>
              <w:rPr>
                <w:rFonts w:hint="default" w:ascii="宋体" w:hAnsi="宋体" w:eastAsia="宋体" w:cs="宋体"/>
                <w:b/>
                <w:i w:val="0"/>
                <w:color w:val="000000"/>
                <w:spacing w:val="0"/>
                <w:sz w:val="32"/>
                <w:szCs w:val="32"/>
                <w:u w:val="none"/>
              </w:rPr>
            </w:pPr>
            <w:r>
              <w:rPr>
                <w:rFonts w:hint="eastAsia" w:ascii="宋体" w:hAnsi="宋体" w:eastAsia="方正小标宋_GBK" w:cs="方正小标宋_GBK"/>
                <w:b w:val="0"/>
                <w:bCs w:val="0"/>
                <w:sz w:val="44"/>
                <w:szCs w:val="44"/>
                <w:lang w:val="en-US" w:eastAsia="zh-CN"/>
              </w:rPr>
              <w:t>源城区2025年地质灾害隐患点情况一览表</w:t>
            </w:r>
          </w:p>
        </w:tc>
        <w:tc>
          <w:tcPr>
            <w:tcW w:w="1117" w:type="dxa"/>
            <w:tcBorders>
              <w:top w:val="nil"/>
              <w:left w:val="nil"/>
              <w:bottom w:val="nil"/>
              <w:right w:val="nil"/>
            </w:tcBorders>
            <w:noWrap/>
            <w:tcMar>
              <w:top w:w="15" w:type="dxa"/>
              <w:left w:w="15" w:type="dxa"/>
              <w:right w:w="15" w:type="dxa"/>
            </w:tcMar>
            <w:vAlign w:val="bottom"/>
          </w:tcPr>
          <w:p w14:paraId="6AA61A23">
            <w:pPr>
              <w:keepNext w:val="0"/>
              <w:keepLines w:val="0"/>
              <w:pageBreakBefore w:val="0"/>
              <w:kinsoku/>
              <w:wordWrap/>
              <w:overflowPunct/>
              <w:topLinePunct w:val="0"/>
              <w:autoSpaceDE/>
              <w:autoSpaceDN/>
              <w:bidi w:val="0"/>
              <w:adjustRightInd/>
              <w:snapToGrid/>
              <w:spacing w:line="600" w:lineRule="exact"/>
              <w:rPr>
                <w:rFonts w:hint="default" w:ascii="宋体" w:hAnsi="宋体" w:eastAsia="宋体" w:cs="宋体"/>
                <w:i w:val="0"/>
                <w:color w:val="000000"/>
                <w:spacing w:val="0"/>
                <w:sz w:val="24"/>
                <w:szCs w:val="24"/>
                <w:u w:val="none"/>
              </w:rPr>
            </w:pPr>
          </w:p>
        </w:tc>
      </w:tr>
      <w:tr w14:paraId="16E45CF8">
        <w:tblPrEx>
          <w:tblCellMar>
            <w:top w:w="0" w:type="dxa"/>
            <w:left w:w="0" w:type="dxa"/>
            <w:bottom w:w="0" w:type="dxa"/>
            <w:right w:w="0" w:type="dxa"/>
          </w:tblCellMar>
        </w:tblPrEx>
        <w:trPr>
          <w:trHeight w:val="622" w:hRule="atLeast"/>
        </w:trPr>
        <w:tc>
          <w:tcPr>
            <w:tcW w:w="4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33B4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序号</w:t>
            </w:r>
          </w:p>
        </w:tc>
        <w:tc>
          <w:tcPr>
            <w:tcW w:w="1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796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隐患点（片）</w:t>
            </w:r>
          </w:p>
          <w:p w14:paraId="1CD05C4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位置</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1014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灾害类型</w:t>
            </w:r>
          </w:p>
        </w:tc>
        <w:tc>
          <w:tcPr>
            <w:tcW w:w="1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36CA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坐标 （经纬度）</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0D46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灾害体规模</w:t>
            </w: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7B3E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灾害特征</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71FD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威胁对象</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E259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应急</w:t>
            </w:r>
          </w:p>
          <w:p w14:paraId="7FA9834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预案</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490B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治理</w:t>
            </w:r>
          </w:p>
          <w:p w14:paraId="0C37E5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方案</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4411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潜在风险</w:t>
            </w:r>
          </w:p>
        </w:tc>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EA8B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整改</w:t>
            </w:r>
          </w:p>
          <w:p w14:paraId="236B674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措施</w:t>
            </w:r>
          </w:p>
        </w:tc>
        <w:tc>
          <w:tcPr>
            <w:tcW w:w="11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C1BD3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highlight w:val="none"/>
                <w:u w:val="none"/>
                <w:lang w:val="en-US" w:eastAsia="zh-CN" w:bidi="ar"/>
              </w:rPr>
              <w:t>责任人</w:t>
            </w:r>
          </w:p>
        </w:tc>
        <w:tc>
          <w:tcPr>
            <w:tcW w:w="10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7FFED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highlight w:val="none"/>
                <w:u w:val="none"/>
                <w:lang w:val="en-US" w:eastAsia="zh-CN" w:bidi="ar"/>
              </w:rPr>
              <w:t>监测人</w:t>
            </w:r>
          </w:p>
        </w:tc>
        <w:tc>
          <w:tcPr>
            <w:tcW w:w="1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E4F36E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避让</w:t>
            </w:r>
          </w:p>
          <w:p w14:paraId="57D1FAC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场所</w:t>
            </w:r>
          </w:p>
        </w:tc>
      </w:tr>
      <w:tr w14:paraId="40AD8A3D">
        <w:tblPrEx>
          <w:tblCellMar>
            <w:top w:w="0" w:type="dxa"/>
            <w:left w:w="0" w:type="dxa"/>
            <w:bottom w:w="0" w:type="dxa"/>
            <w:right w:w="0" w:type="dxa"/>
          </w:tblCellMar>
        </w:tblPrEx>
        <w:trPr>
          <w:trHeight w:val="1425" w:hRule="atLeast"/>
        </w:trPr>
        <w:tc>
          <w:tcPr>
            <w:tcW w:w="4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65EF0">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1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46E2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E3EF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662A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3CB3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7A1D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稳</w:t>
            </w:r>
          </w:p>
          <w:p w14:paraId="34E51FA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kern w:val="0"/>
                <w:sz w:val="21"/>
                <w:szCs w:val="21"/>
                <w:u w:val="none"/>
                <w:lang w:val="en-US" w:eastAsia="zh-CN" w:bidi="ar"/>
              </w:rPr>
            </w:pPr>
            <w:r>
              <w:rPr>
                <w:rFonts w:hint="eastAsia" w:ascii="宋体" w:hAnsi="宋体" w:eastAsia="黑体" w:cs="黑体"/>
                <w:b w:val="0"/>
                <w:bCs/>
                <w:i w:val="0"/>
                <w:color w:val="000000"/>
                <w:spacing w:val="0"/>
                <w:kern w:val="0"/>
                <w:sz w:val="21"/>
                <w:szCs w:val="21"/>
                <w:u w:val="none"/>
                <w:lang w:val="en-US" w:eastAsia="zh-CN" w:bidi="ar"/>
              </w:rPr>
              <w:t>定</w:t>
            </w:r>
          </w:p>
          <w:p w14:paraId="7A611B1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性</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931E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危害性</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ECB5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威胁人员（人）</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6B27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r>
              <w:rPr>
                <w:rFonts w:hint="eastAsia" w:ascii="宋体" w:hAnsi="宋体" w:eastAsia="黑体" w:cs="黑体"/>
                <w:b w:val="0"/>
                <w:bCs/>
                <w:i w:val="0"/>
                <w:color w:val="000000"/>
                <w:spacing w:val="0"/>
                <w:kern w:val="0"/>
                <w:sz w:val="21"/>
                <w:szCs w:val="21"/>
                <w:u w:val="none"/>
                <w:lang w:val="en-US" w:eastAsia="zh-CN" w:bidi="ar"/>
              </w:rPr>
              <w:t>潜在经济损失(万元)</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90EA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C33D6">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509DA">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75241">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c>
          <w:tcPr>
            <w:tcW w:w="11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31882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p>
        </w:tc>
        <w:tc>
          <w:tcPr>
            <w:tcW w:w="10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AF77F4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黑体" w:cs="黑体"/>
                <w:b w:val="0"/>
                <w:bCs/>
                <w:i w:val="0"/>
                <w:color w:val="000000"/>
                <w:spacing w:val="0"/>
                <w:sz w:val="21"/>
                <w:szCs w:val="21"/>
                <w:u w:val="none"/>
              </w:rPr>
            </w:pPr>
          </w:p>
        </w:tc>
        <w:tc>
          <w:tcPr>
            <w:tcW w:w="1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8ABEC3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b/>
                <w:i w:val="0"/>
                <w:color w:val="000000"/>
                <w:spacing w:val="0"/>
                <w:sz w:val="20"/>
                <w:szCs w:val="20"/>
                <w:u w:val="none"/>
              </w:rPr>
            </w:pPr>
          </w:p>
        </w:tc>
      </w:tr>
      <w:tr w14:paraId="049CD52D">
        <w:tblPrEx>
          <w:tblCellMar>
            <w:top w:w="0" w:type="dxa"/>
            <w:left w:w="0" w:type="dxa"/>
            <w:bottom w:w="0" w:type="dxa"/>
            <w:right w:w="0" w:type="dxa"/>
          </w:tblCellMar>
        </w:tblPrEx>
        <w:trPr>
          <w:trHeight w:val="1171" w:hRule="atLeast"/>
        </w:trPr>
        <w:tc>
          <w:tcPr>
            <w:tcW w:w="4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9733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564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源南镇白田村新杨村小组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CA72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滑坡</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B58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E114°39′16″</w:t>
            </w:r>
          </w:p>
          <w:p w14:paraId="2956284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N23°41′10″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98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中型</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3D55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较差</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3B36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AE30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73</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D61B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796</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EAC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单点</w:t>
            </w:r>
          </w:p>
          <w:p w14:paraId="47B10A8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预案</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1563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5E99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6DF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应急</w:t>
            </w:r>
          </w:p>
          <w:p w14:paraId="0A73349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治理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15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黎安予</w:t>
            </w:r>
          </w:p>
          <w:p w14:paraId="063084A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8D20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曾友生</w:t>
            </w:r>
          </w:p>
          <w:p w14:paraId="37D5A11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4271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白田村委会</w:t>
            </w:r>
          </w:p>
        </w:tc>
      </w:tr>
      <w:tr w14:paraId="13D96B99">
        <w:tblPrEx>
          <w:tblCellMar>
            <w:top w:w="0" w:type="dxa"/>
            <w:left w:w="0" w:type="dxa"/>
            <w:bottom w:w="0" w:type="dxa"/>
            <w:right w:w="0" w:type="dxa"/>
          </w:tblCellMar>
        </w:tblPrEx>
        <w:trPr>
          <w:trHeight w:val="1171" w:hRule="atLeast"/>
        </w:trPr>
        <w:tc>
          <w:tcPr>
            <w:tcW w:w="4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43EE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5A79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源西街道黄子洞村下围村小组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48EA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崩塌</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0DCC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E114°40′04″</w:t>
            </w:r>
          </w:p>
          <w:p w14:paraId="52AE09D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N23°45′27″</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CE87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中型</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1CF4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较差</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4E25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4401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117</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8E6A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985</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5E76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单点</w:t>
            </w:r>
          </w:p>
          <w:p w14:paraId="1F63CAB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预案</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A75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1198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BCAB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工程</w:t>
            </w:r>
          </w:p>
          <w:p w14:paraId="5E99ED4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治理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CFBC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i w:val="0"/>
                <w:color w:val="000000"/>
                <w:spacing w:val="0"/>
                <w:sz w:val="21"/>
                <w:szCs w:val="21"/>
                <w:highlight w:val="none"/>
                <w:u w:val="none"/>
                <w:lang w:val="en-US"/>
              </w:rPr>
            </w:pPr>
            <w:r>
              <w:rPr>
                <w:rFonts w:hint="eastAsia" w:ascii="宋体" w:hAnsi="宋体" w:eastAsia="宋体" w:cs="宋体"/>
                <w:i w:val="0"/>
                <w:color w:val="000000"/>
                <w:spacing w:val="0"/>
                <w:kern w:val="0"/>
                <w:sz w:val="21"/>
                <w:szCs w:val="21"/>
                <w:highlight w:val="none"/>
                <w:u w:val="none"/>
                <w:lang w:val="en-US" w:eastAsia="zh-CN" w:bidi="ar"/>
              </w:rPr>
              <w:t>李聪</w:t>
            </w:r>
          </w:p>
          <w:p w14:paraId="3270238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highlight w:val="none"/>
                <w:u w:val="none"/>
                <w:lang w:val="en-US"/>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DC54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rPr>
            </w:pPr>
            <w:r>
              <w:rPr>
                <w:rFonts w:hint="eastAsia" w:ascii="宋体" w:hAnsi="宋体" w:eastAsia="宋体" w:cs="宋体"/>
                <w:i w:val="0"/>
                <w:color w:val="000000"/>
                <w:spacing w:val="0"/>
                <w:kern w:val="0"/>
                <w:sz w:val="21"/>
                <w:szCs w:val="21"/>
                <w:u w:val="none"/>
                <w:lang w:val="en-US" w:eastAsia="zh-CN" w:bidi="ar"/>
              </w:rPr>
              <w:t>彭武兴</w:t>
            </w:r>
          </w:p>
          <w:p w14:paraId="7F8C0B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C9D3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黄子洞小学</w:t>
            </w:r>
          </w:p>
        </w:tc>
      </w:tr>
      <w:tr w14:paraId="5DB673B1">
        <w:tblPrEx>
          <w:tblCellMar>
            <w:top w:w="0" w:type="dxa"/>
            <w:left w:w="0" w:type="dxa"/>
            <w:bottom w:w="0" w:type="dxa"/>
            <w:right w:w="0" w:type="dxa"/>
          </w:tblCellMar>
        </w:tblPrEx>
        <w:trPr>
          <w:trHeight w:val="1471" w:hRule="atLeast"/>
        </w:trPr>
        <w:tc>
          <w:tcPr>
            <w:tcW w:w="4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3328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D756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源西街道光明社区庄田村大坑小组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B370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崩塌</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9B43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E114°39′43.4″ N23°44′34.2″</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D6DF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中型</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1F07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较差</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94EB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9F48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105</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8D80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600</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CA82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0"/>
                <w:sz w:val="21"/>
                <w:szCs w:val="21"/>
                <w:u w:val="none"/>
                <w:lang w:val="en-US" w:eastAsia="zh-CN" w:bidi="ar"/>
              </w:rPr>
            </w:pPr>
            <w:r>
              <w:rPr>
                <w:rFonts w:hint="eastAsia" w:ascii="宋体" w:hAnsi="宋体" w:eastAsia="宋体" w:cs="宋体"/>
                <w:i w:val="0"/>
                <w:color w:val="000000"/>
                <w:spacing w:val="0"/>
                <w:kern w:val="0"/>
                <w:sz w:val="21"/>
                <w:szCs w:val="21"/>
                <w:u w:val="none"/>
                <w:lang w:val="en-US" w:eastAsia="zh-CN" w:bidi="ar"/>
              </w:rPr>
              <w:t>单点</w:t>
            </w:r>
          </w:p>
          <w:p w14:paraId="4A5BC64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预案</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51AF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6648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大</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CCD4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工程治理</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EFD2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2"/>
                <w:sz w:val="21"/>
                <w:szCs w:val="21"/>
                <w:highlight w:val="none"/>
                <w:u w:val="none"/>
                <w:lang w:val="en-US" w:eastAsia="zh-CN" w:bidi="ar-SA"/>
              </w:rPr>
            </w:pPr>
            <w:r>
              <w:rPr>
                <w:rFonts w:hint="eastAsia" w:ascii="宋体" w:hAnsi="宋体" w:eastAsia="宋体" w:cs="宋体"/>
                <w:i w:val="0"/>
                <w:color w:val="000000"/>
                <w:spacing w:val="0"/>
                <w:kern w:val="0"/>
                <w:sz w:val="21"/>
                <w:szCs w:val="21"/>
                <w:highlight w:val="none"/>
                <w:u w:val="none"/>
                <w:lang w:val="en-US" w:eastAsia="zh-CN" w:bidi="ar"/>
              </w:rPr>
              <w:t>李聪</w:t>
            </w:r>
          </w:p>
          <w:p w14:paraId="00C132F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kern w:val="2"/>
                <w:sz w:val="21"/>
                <w:szCs w:val="21"/>
                <w:highlight w:val="none"/>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3DFE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eastAsia="zh-CN"/>
              </w:rPr>
            </w:pPr>
            <w:r>
              <w:rPr>
                <w:rFonts w:hint="eastAsia" w:ascii="宋体" w:hAnsi="宋体" w:eastAsia="宋体" w:cs="宋体"/>
                <w:i w:val="0"/>
                <w:color w:val="000000"/>
                <w:spacing w:val="0"/>
                <w:sz w:val="21"/>
                <w:szCs w:val="21"/>
                <w:u w:val="none"/>
                <w:lang w:val="en-US" w:eastAsia="zh-CN"/>
              </w:rPr>
              <w:t>徐哲昕</w:t>
            </w:r>
          </w:p>
          <w:p w14:paraId="1A6B53D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lang w:val="en-US"/>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CF2B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i w:val="0"/>
                <w:color w:val="000000"/>
                <w:spacing w:val="0"/>
                <w:sz w:val="21"/>
                <w:szCs w:val="21"/>
                <w:u w:val="none"/>
              </w:rPr>
            </w:pPr>
            <w:r>
              <w:rPr>
                <w:rFonts w:hint="eastAsia" w:ascii="宋体" w:hAnsi="宋体" w:eastAsia="宋体" w:cs="宋体"/>
                <w:i w:val="0"/>
                <w:color w:val="000000"/>
                <w:spacing w:val="0"/>
                <w:kern w:val="0"/>
                <w:sz w:val="21"/>
                <w:szCs w:val="21"/>
                <w:u w:val="none"/>
                <w:lang w:val="en-US" w:eastAsia="zh-CN" w:bidi="ar"/>
              </w:rPr>
              <w:t>江源小学</w:t>
            </w:r>
          </w:p>
        </w:tc>
      </w:tr>
      <w:tr w14:paraId="01F0B967">
        <w:tblPrEx>
          <w:tblCellMar>
            <w:top w:w="0" w:type="dxa"/>
            <w:left w:w="0" w:type="dxa"/>
            <w:bottom w:w="0" w:type="dxa"/>
            <w:right w:w="0" w:type="dxa"/>
          </w:tblCellMar>
        </w:tblPrEx>
        <w:trPr>
          <w:trHeight w:val="650" w:hRule="atLeast"/>
        </w:trPr>
        <w:tc>
          <w:tcPr>
            <w:tcW w:w="4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528F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i w:val="0"/>
                <w:color w:val="000000"/>
                <w:spacing w:val="0"/>
                <w:sz w:val="21"/>
                <w:szCs w:val="21"/>
                <w:u w:val="none"/>
              </w:rPr>
            </w:pPr>
            <w:r>
              <w:rPr>
                <w:rFonts w:hint="default" w:ascii="宋体" w:hAnsi="宋体" w:eastAsia="宋体" w:cs="宋体"/>
                <w:i w:val="0"/>
                <w:color w:val="000000"/>
                <w:spacing w:val="0"/>
                <w:kern w:val="0"/>
                <w:sz w:val="21"/>
                <w:szCs w:val="21"/>
                <w:u w:val="none"/>
                <w:lang w:val="en-US" w:eastAsia="zh-CN" w:bidi="ar"/>
              </w:rPr>
              <w:t>合计</w:t>
            </w:r>
          </w:p>
        </w:tc>
        <w:tc>
          <w:tcPr>
            <w:tcW w:w="1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EC0A2">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F5841">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740FC">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E035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3C878">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FF6A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FB4C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i w:val="0"/>
                <w:color w:val="000000"/>
                <w:spacing w:val="0"/>
                <w:sz w:val="21"/>
                <w:szCs w:val="21"/>
                <w:u w:val="none"/>
              </w:rPr>
            </w:pPr>
            <w:r>
              <w:rPr>
                <w:rFonts w:hint="default" w:ascii="宋体" w:hAnsi="宋体" w:eastAsia="宋体" w:cs="宋体"/>
                <w:i w:val="0"/>
                <w:color w:val="000000"/>
                <w:spacing w:val="0"/>
                <w:kern w:val="0"/>
                <w:sz w:val="21"/>
                <w:szCs w:val="21"/>
                <w:u w:val="none"/>
                <w:lang w:val="en-US" w:eastAsia="zh-CN" w:bidi="ar"/>
              </w:rPr>
              <w:t>295</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29E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宋体" w:hAnsi="宋体" w:eastAsia="宋体" w:cs="宋体"/>
                <w:i w:val="0"/>
                <w:color w:val="000000"/>
                <w:spacing w:val="0"/>
                <w:sz w:val="21"/>
                <w:szCs w:val="21"/>
                <w:u w:val="none"/>
              </w:rPr>
            </w:pPr>
            <w:r>
              <w:rPr>
                <w:rFonts w:hint="default" w:ascii="宋体" w:hAnsi="宋体" w:eastAsia="宋体" w:cs="宋体"/>
                <w:i w:val="0"/>
                <w:color w:val="000000"/>
                <w:spacing w:val="0"/>
                <w:kern w:val="0"/>
                <w:sz w:val="21"/>
                <w:szCs w:val="21"/>
                <w:u w:val="none"/>
                <w:lang w:val="en-US" w:eastAsia="zh-CN" w:bidi="ar"/>
              </w:rPr>
              <w:t>2381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94875">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21"/>
                <w:szCs w:val="21"/>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A134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E394D">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5D4D3">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7819F">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16B41">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宋体" w:cs="宋体"/>
                <w:i w:val="0"/>
                <w:color w:val="000000"/>
                <w:spacing w:val="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9CBCA">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宋体" w:hAnsi="宋体" w:eastAsia="仿宋" w:cs="宋体"/>
                <w:i w:val="0"/>
                <w:color w:val="000000"/>
                <w:spacing w:val="0"/>
                <w:sz w:val="18"/>
                <w:szCs w:val="18"/>
                <w:u w:val="none"/>
              </w:rPr>
            </w:pPr>
          </w:p>
        </w:tc>
      </w:tr>
    </w:tbl>
    <w:p w14:paraId="24054CA3">
      <w:pPr>
        <w:jc w:val="left"/>
        <w:rPr>
          <w:rFonts w:hint="eastAsia" w:ascii="宋体" w:hAnsi="宋体" w:eastAsia="黑体" w:cs="黑体"/>
          <w:bCs/>
          <w:sz w:val="28"/>
          <w:szCs w:val="28"/>
          <w:lang w:val="en-US" w:eastAsia="zh-CN"/>
        </w:rPr>
      </w:pPr>
      <w:r>
        <w:rPr>
          <w:rFonts w:hint="eastAsia" w:ascii="宋体" w:hAnsi="宋体" w:eastAsia="黑体" w:cs="黑体"/>
          <w:bCs/>
          <w:sz w:val="28"/>
          <w:szCs w:val="28"/>
          <w:lang w:eastAsia="zh-CN"/>
        </w:rPr>
        <w:t>附件</w:t>
      </w:r>
      <w:r>
        <w:rPr>
          <w:rFonts w:hint="eastAsia" w:ascii="宋体" w:hAnsi="宋体" w:eastAsia="黑体" w:cs="黑体"/>
          <w:bCs/>
          <w:sz w:val="28"/>
          <w:szCs w:val="28"/>
          <w:lang w:val="en-US" w:eastAsia="zh-CN"/>
        </w:rPr>
        <w:t>2</w:t>
      </w:r>
    </w:p>
    <w:p w14:paraId="0E53CF1B">
      <w:pPr>
        <w:jc w:val="center"/>
        <w:rPr>
          <w:rFonts w:hint="eastAsia" w:ascii="宋体" w:hAnsi="宋体" w:eastAsia="方正小标宋_GBK" w:cs="方正小标宋_GBK"/>
          <w:b w:val="0"/>
          <w:bCs w:val="0"/>
          <w:sz w:val="44"/>
          <w:szCs w:val="44"/>
          <w:lang w:eastAsia="zh-CN"/>
        </w:rPr>
      </w:pPr>
      <w:r>
        <w:rPr>
          <w:rFonts w:hint="eastAsia" w:ascii="宋体" w:hAnsi="宋体" w:eastAsia="方正小标宋_GBK" w:cs="方正小标宋_GBK"/>
          <w:b w:val="0"/>
          <w:bCs w:val="0"/>
          <w:sz w:val="44"/>
          <w:szCs w:val="44"/>
          <w:lang w:eastAsia="zh-CN"/>
        </w:rPr>
        <w:t>责任单位工作职责清单</w:t>
      </w:r>
    </w:p>
    <w:tbl>
      <w:tblPr>
        <w:tblStyle w:val="15"/>
        <w:tblW w:w="12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0553"/>
      </w:tblGrid>
      <w:tr w14:paraId="1ED5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2218" w:type="dxa"/>
            <w:noWrap w:val="0"/>
            <w:vAlign w:val="center"/>
          </w:tcPr>
          <w:p w14:paraId="5E793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黑体" w:cs="黑体"/>
                <w:b w:val="0"/>
                <w:bCs w:val="0"/>
                <w:color w:val="000000"/>
                <w:kern w:val="30"/>
                <w:sz w:val="28"/>
                <w:szCs w:val="28"/>
                <w:lang w:val="en-US" w:eastAsia="zh-CN" w:bidi="ar-SA"/>
              </w:rPr>
            </w:pPr>
            <w:r>
              <w:rPr>
                <w:rFonts w:hint="eastAsia" w:ascii="宋体" w:hAnsi="宋体" w:eastAsia="黑体" w:cs="黑体"/>
                <w:b w:val="0"/>
                <w:bCs w:val="0"/>
                <w:color w:val="000000"/>
                <w:kern w:val="30"/>
                <w:sz w:val="28"/>
                <w:szCs w:val="28"/>
                <w:lang w:val="en-US" w:eastAsia="zh-CN" w:bidi="ar-SA"/>
              </w:rPr>
              <w:t>责任单位</w:t>
            </w:r>
          </w:p>
        </w:tc>
        <w:tc>
          <w:tcPr>
            <w:tcW w:w="10553" w:type="dxa"/>
            <w:noWrap w:val="0"/>
            <w:vAlign w:val="center"/>
          </w:tcPr>
          <w:p w14:paraId="44188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黑体" w:cs="黑体"/>
                <w:b w:val="0"/>
                <w:bCs w:val="0"/>
                <w:color w:val="000000"/>
                <w:kern w:val="30"/>
                <w:sz w:val="28"/>
                <w:szCs w:val="28"/>
                <w:lang w:eastAsia="zh-CN"/>
              </w:rPr>
            </w:pPr>
            <w:r>
              <w:rPr>
                <w:rFonts w:hint="eastAsia" w:ascii="宋体" w:hAnsi="宋体" w:eastAsia="黑体" w:cs="黑体"/>
                <w:b w:val="0"/>
                <w:bCs w:val="0"/>
                <w:color w:val="000000"/>
                <w:kern w:val="30"/>
                <w:sz w:val="28"/>
                <w:szCs w:val="28"/>
                <w:lang w:eastAsia="zh-CN"/>
              </w:rPr>
              <w:t>工作职责</w:t>
            </w:r>
          </w:p>
        </w:tc>
      </w:tr>
      <w:tr w14:paraId="74CF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5" w:hRule="atLeast"/>
          <w:jc w:val="center"/>
        </w:trPr>
        <w:tc>
          <w:tcPr>
            <w:tcW w:w="2218" w:type="dxa"/>
            <w:noWrap w:val="0"/>
            <w:vAlign w:val="center"/>
          </w:tcPr>
          <w:p w14:paraId="31CF7CC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各镇（街道）政府（办事处），区工业园管委会</w:t>
            </w:r>
          </w:p>
          <w:p w14:paraId="48D62BD6">
            <w:pPr>
              <w:snapToGrid/>
              <w:spacing w:before="0" w:beforeAutospacing="0" w:after="0" w:afterAutospacing="0" w:line="620" w:lineRule="exact"/>
              <w:jc w:val="center"/>
              <w:textAlignment w:val="baseline"/>
              <w:rPr>
                <w:rFonts w:hint="eastAsia" w:ascii="宋体" w:hAnsi="宋体" w:eastAsia="方正仿宋_GBK" w:cs="方正仿宋_GBK"/>
                <w:b w:val="0"/>
                <w:i w:val="0"/>
                <w:caps w:val="0"/>
                <w:spacing w:val="0"/>
                <w:w w:val="100"/>
                <w:sz w:val="24"/>
                <w:szCs w:val="24"/>
                <w:lang w:val="en-US" w:eastAsia="zh-CN"/>
              </w:rPr>
            </w:pPr>
          </w:p>
        </w:tc>
        <w:tc>
          <w:tcPr>
            <w:tcW w:w="10553" w:type="dxa"/>
            <w:noWrap w:val="0"/>
            <w:vAlign w:val="center"/>
          </w:tcPr>
          <w:p w14:paraId="51DB970C">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安排、落实辖区范围内地质灾害隐患及削坡建房点的排查、巡查、检查和监督管理工作，在重点防范期内加强对人口集中居住区、风景名胜区、工矿企业所在地、交通干线、水库、水电站和山塘等地质灾害隐患的排查、巡查和检查力度，发现险情及时处理和报告，做好监测记录。</w:t>
            </w:r>
          </w:p>
          <w:p w14:paraId="645A4B2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（2）负责推进辖区范围内地质灾害的群测群防工作，建立健全群测群防网络体系和监测网络。</w:t>
            </w:r>
          </w:p>
          <w:p w14:paraId="3527A1B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负责组织督促辖区范围内已经明确的地质灾害隐患点的监测工作。在地质灾害隐患点危险区设置明显的警示标识牌，明确防灾责任人和监测责任人，对地质灾害隐患点危险区群众发放的“防灾明白卡”和“避险明白卡” 要及时到位。</w:t>
            </w:r>
          </w:p>
          <w:p w14:paraId="41261A2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（4）负责完成辖区内因地质灾害导致的危房调查、统计和上报工作。</w:t>
            </w:r>
          </w:p>
          <w:p w14:paraId="20FF7C2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5）地质灾害险情、灾情一旦发生，负责收集地质灾害发生的灾情、险情，按照《地质灾害报告制度》的要求，启动应急预案的，应当按照地质灾害应急预案的要求，立即启动相应级别的地质灾害应急预案，及时将灾（险）情向有关部门报告，迅速组织群众及其他人员撤离到安全地带，并进行妥善安置。情况紧急时，可以强行组织避灾疏散，努力减少人员伤亡和财产损失。</w:t>
            </w:r>
          </w:p>
          <w:p w14:paraId="7EEEAF86">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（6）对本辖区地质灾害情况进行通报。</w:t>
            </w:r>
          </w:p>
          <w:p w14:paraId="6A06C82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（7）编制辖区内年度地质灾害防治方案和防灾应急预案。</w:t>
            </w:r>
          </w:p>
          <w:p w14:paraId="2C470C79">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（8）将地质灾害的防治经费纳入财政预算，落实地质灾害防治专项资金。</w:t>
            </w:r>
          </w:p>
        </w:tc>
      </w:tr>
      <w:tr w14:paraId="1A9D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jc w:val="center"/>
        </w:trPr>
        <w:tc>
          <w:tcPr>
            <w:tcW w:w="2218" w:type="dxa"/>
            <w:noWrap w:val="0"/>
            <w:vAlign w:val="center"/>
          </w:tcPr>
          <w:p w14:paraId="1D71B56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市自然资源局源城分局</w:t>
            </w:r>
          </w:p>
        </w:tc>
        <w:tc>
          <w:tcPr>
            <w:tcW w:w="10553" w:type="dxa"/>
            <w:noWrap w:val="0"/>
            <w:vAlign w:val="center"/>
          </w:tcPr>
          <w:p w14:paraId="2CD80CC3">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（1）负责全区地质灾害防范工作。组织协调开展因自然因素引发的地质灾害安全隐患的排查、巡查、检查、监测和监管，建立隐患点台账，督促落实防灾措施和责任人等群测群防工作。</w:t>
            </w:r>
          </w:p>
          <w:p w14:paraId="5B8D776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（2）承担地质灾害的有关日常工作；推进地质灾害预报预警体系的建立、落实健全应急值守制度和灾情速报制度，按有关规定报告地质灾害灾情、开展应急调查。</w:t>
            </w:r>
          </w:p>
          <w:p w14:paraId="46A5553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（3）负责收集、分析灾情信息；参与区有关部门组织的地质灾害抢险、救助工作，组织专家进行地质灾害防范，提出防治措施。</w:t>
            </w:r>
          </w:p>
          <w:p w14:paraId="38F7685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（4）会同相关责任部门开展地质灾害调查、组织地质灾害险情的动态监测。</w:t>
            </w:r>
          </w:p>
          <w:p w14:paraId="29CA955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（5）组织协调因自然因素造成的地质灾害项目治理申报、竣工验收及治理项目工程后期管理和维护。</w:t>
            </w:r>
          </w:p>
          <w:p w14:paraId="1C75920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（6）组织建立地质灾害群专结合的监测体系和建设群测群防网络，负责及督促全区地质灾害防治知识宣传、培训、应急演练。</w:t>
            </w:r>
          </w:p>
          <w:p w14:paraId="73E94AE2">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（7）在编制、审核国土空间规划时，充分考虑地质灾害防治的要求，将地质灾害防治规划作为其组成部分，从源头上避免和减轻因地质灾害造成的损失。</w:t>
            </w:r>
          </w:p>
        </w:tc>
      </w:tr>
      <w:tr w14:paraId="57B6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218" w:type="dxa"/>
            <w:noWrap w:val="0"/>
            <w:vAlign w:val="center"/>
          </w:tcPr>
          <w:p w14:paraId="2C44E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区人武部</w:t>
            </w:r>
          </w:p>
        </w:tc>
        <w:tc>
          <w:tcPr>
            <w:tcW w:w="10553" w:type="dxa"/>
            <w:noWrap w:val="0"/>
            <w:vAlign w:val="center"/>
          </w:tcPr>
          <w:p w14:paraId="1A587E4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负责组织指挥民兵参加抢险救灾工作；组织所属人员协助地方政府转移危险群众；负责协调驻地部队参加抢险救灾工作。</w:t>
            </w:r>
          </w:p>
        </w:tc>
      </w:tr>
      <w:tr w14:paraId="35A5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3764C43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区委宣传部</w:t>
            </w:r>
          </w:p>
        </w:tc>
        <w:tc>
          <w:tcPr>
            <w:tcW w:w="10553" w:type="dxa"/>
            <w:noWrap w:val="0"/>
            <w:vAlign w:val="center"/>
          </w:tcPr>
          <w:p w14:paraId="54233569">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（1）负责协助、配合相关职能部门组织、协调、监督全区防灾减灾救灾宣传报道、新闻发布和舆情导控。</w:t>
            </w:r>
          </w:p>
          <w:p w14:paraId="7822E75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（2）协调区电视中心等媒体配合应急、自然资源部门在平台上对公益性的公告及宣传视频予以免费播放。</w:t>
            </w:r>
          </w:p>
        </w:tc>
      </w:tr>
      <w:tr w14:paraId="330A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218" w:type="dxa"/>
            <w:noWrap w:val="0"/>
            <w:vAlign w:val="center"/>
          </w:tcPr>
          <w:p w14:paraId="26263B8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区发展改革局</w:t>
            </w:r>
          </w:p>
        </w:tc>
        <w:tc>
          <w:tcPr>
            <w:tcW w:w="10553" w:type="dxa"/>
            <w:noWrap w:val="0"/>
            <w:vAlign w:val="center"/>
          </w:tcPr>
          <w:p w14:paraId="3BA33FB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（1）可行性研究报告未包含地质灾害危险性评估结果的，不得批准其可行性研究报告。</w:t>
            </w:r>
          </w:p>
          <w:p w14:paraId="1B597AB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（2）负责地质灾害隐患点治理项目的立项审批。</w:t>
            </w:r>
          </w:p>
        </w:tc>
      </w:tr>
      <w:tr w14:paraId="78B9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2218" w:type="dxa"/>
            <w:noWrap w:val="0"/>
            <w:vAlign w:val="center"/>
          </w:tcPr>
          <w:p w14:paraId="0351E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区教育局</w:t>
            </w:r>
          </w:p>
        </w:tc>
        <w:tc>
          <w:tcPr>
            <w:tcW w:w="10553" w:type="dxa"/>
            <w:noWrap w:val="0"/>
            <w:vAlign w:val="center"/>
          </w:tcPr>
          <w:p w14:paraId="171B0ED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方正仿宋_GBK" w:cs="方正仿宋_GBK"/>
                <w:kern w:val="2"/>
                <w:sz w:val="24"/>
                <w:szCs w:val="24"/>
                <w:highlight w:val="none"/>
                <w:vertAlign w:val="baseline"/>
                <w:lang w:val="en-US" w:eastAsia="zh-CN" w:bidi="ar-SA"/>
              </w:rPr>
            </w:pPr>
            <w:r>
              <w:rPr>
                <w:rFonts w:hint="eastAsia" w:ascii="宋体" w:hAnsi="宋体" w:eastAsia="方正仿宋_GBK" w:cs="方正仿宋_GBK"/>
                <w:kern w:val="2"/>
                <w:sz w:val="24"/>
                <w:szCs w:val="24"/>
                <w:highlight w:val="none"/>
                <w:vertAlign w:val="baseline"/>
                <w:lang w:val="en-US" w:eastAsia="zh-CN" w:bidi="ar-SA"/>
              </w:rPr>
              <w:t>（1）组织指导和督促各中小学校、幼儿园对危及校园安全的地质灾害（含建设活动中引发的地质灾害）进行排查、巡查、检查和监管，并按照有关规定及时做好各校（园）范围内地质灾害的报告工作。</w:t>
            </w:r>
          </w:p>
          <w:p w14:paraId="42DC6D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方正仿宋_GBK" w:cs="方正仿宋_GBK"/>
                <w:kern w:val="2"/>
                <w:sz w:val="24"/>
                <w:szCs w:val="24"/>
                <w:highlight w:val="none"/>
                <w:vertAlign w:val="baseline"/>
                <w:lang w:val="en-US" w:eastAsia="zh-CN" w:bidi="ar-SA"/>
              </w:rPr>
            </w:pPr>
            <w:r>
              <w:rPr>
                <w:rFonts w:hint="eastAsia" w:ascii="宋体" w:hAnsi="宋体" w:eastAsia="方正仿宋_GBK" w:cs="方正仿宋_GBK"/>
                <w:kern w:val="2"/>
                <w:sz w:val="24"/>
                <w:szCs w:val="24"/>
                <w:highlight w:val="none"/>
                <w:vertAlign w:val="baseline"/>
                <w:lang w:val="en-US" w:eastAsia="zh-CN" w:bidi="ar-SA"/>
              </w:rPr>
              <w:t>（2）组织指导各中小学校、幼儿园按规定配合职能部门做好危及校园安全的地质灾害治理工作。</w:t>
            </w:r>
          </w:p>
          <w:p w14:paraId="0464507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方正仿宋_GBK" w:cs="方正仿宋_GBK"/>
                <w:kern w:val="2"/>
                <w:sz w:val="24"/>
                <w:szCs w:val="24"/>
                <w:highlight w:val="none"/>
                <w:vertAlign w:val="baseline"/>
                <w:lang w:val="en-US" w:eastAsia="zh-CN" w:bidi="ar-SA"/>
              </w:rPr>
            </w:pPr>
            <w:r>
              <w:rPr>
                <w:rFonts w:hint="eastAsia" w:ascii="宋体" w:hAnsi="宋体" w:eastAsia="方正仿宋_GBK" w:cs="方正仿宋_GBK"/>
                <w:kern w:val="2"/>
                <w:sz w:val="24"/>
                <w:szCs w:val="24"/>
                <w:highlight w:val="none"/>
                <w:vertAlign w:val="baseline"/>
                <w:lang w:val="en-US" w:eastAsia="zh-CN" w:bidi="ar-SA"/>
              </w:rPr>
              <w:t>（3）指导和督促各中小学校、幼儿园开展校区内的地质灾害隐患点的群测群防工作，督促责任单位在地质灾害隐患点危险区设立明显的警示标识，落实防灾责任人、监测责任人、应急预案。</w:t>
            </w:r>
          </w:p>
          <w:p w14:paraId="044A5F7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方正仿宋_GBK" w:cs="方正仿宋_GBK"/>
                <w:kern w:val="2"/>
                <w:sz w:val="24"/>
                <w:szCs w:val="24"/>
                <w:highlight w:val="none"/>
                <w:vertAlign w:val="baseline"/>
                <w:lang w:val="en-US" w:eastAsia="zh-CN" w:bidi="ar-SA"/>
              </w:rPr>
            </w:pPr>
            <w:r>
              <w:rPr>
                <w:rFonts w:hint="eastAsia" w:ascii="宋体" w:hAnsi="宋体" w:eastAsia="方正仿宋_GBK" w:cs="方正仿宋_GBK"/>
                <w:kern w:val="2"/>
                <w:sz w:val="24"/>
                <w:szCs w:val="24"/>
                <w:highlight w:val="none"/>
                <w:vertAlign w:val="baseline"/>
                <w:lang w:val="en-US" w:eastAsia="zh-CN" w:bidi="ar-SA"/>
              </w:rPr>
              <w:t>（4）组织指导或督促各中小学校、幼儿园负责的新建学校项目开展地质灾害危险性评估，经评估认为可能引发地质灾害的建设项目，要依法落实与主体工程建设配套的地质灾害治理工程。</w:t>
            </w:r>
          </w:p>
          <w:p w14:paraId="0358E7F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方正仿宋_GBK" w:cs="方正仿宋_GBK"/>
                <w:kern w:val="2"/>
                <w:sz w:val="24"/>
                <w:szCs w:val="24"/>
                <w:highlight w:val="none"/>
                <w:vertAlign w:val="baseline"/>
                <w:lang w:val="en-US" w:eastAsia="zh-CN" w:bidi="ar-SA"/>
              </w:rPr>
            </w:pPr>
            <w:r>
              <w:rPr>
                <w:rFonts w:hint="eastAsia" w:ascii="宋体" w:hAnsi="宋体" w:eastAsia="方正仿宋_GBK" w:cs="方正仿宋_GBK"/>
                <w:kern w:val="2"/>
                <w:sz w:val="24"/>
                <w:szCs w:val="24"/>
                <w:highlight w:val="none"/>
                <w:vertAlign w:val="baseline"/>
                <w:lang w:val="en-US" w:eastAsia="zh-CN" w:bidi="ar-SA"/>
              </w:rPr>
              <w:t>（5）组织指导和督促各中小学校、幼儿园对师生进行地质灾害知识的宣传培训工作，参与配合地质灾害应急演练工作。</w:t>
            </w:r>
          </w:p>
          <w:p w14:paraId="0C1C3D46">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kern w:val="2"/>
                <w:sz w:val="24"/>
                <w:szCs w:val="24"/>
                <w:highlight w:val="none"/>
                <w:vertAlign w:val="baseline"/>
                <w:lang w:val="en-US" w:eastAsia="zh-CN" w:bidi="ar-SA"/>
              </w:rPr>
              <w:t>（6）组织指导和督促各中小学校、幼儿园做好学校范围内地质灾害事件的报告工作，配合职能部门做好调查处理工作。</w:t>
            </w:r>
          </w:p>
        </w:tc>
      </w:tr>
      <w:tr w14:paraId="1B46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218" w:type="dxa"/>
            <w:noWrap w:val="0"/>
            <w:vAlign w:val="center"/>
          </w:tcPr>
          <w:p w14:paraId="4EFAD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区财政局</w:t>
            </w:r>
          </w:p>
        </w:tc>
        <w:tc>
          <w:tcPr>
            <w:tcW w:w="10553" w:type="dxa"/>
            <w:noWrap w:val="0"/>
            <w:vAlign w:val="center"/>
          </w:tcPr>
          <w:p w14:paraId="38A0CDC2">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（1）负责按国家和省、市、区有关规定安排地质灾害防治专项资金，做好财政专项预算。</w:t>
            </w:r>
          </w:p>
          <w:p w14:paraId="2C5F879C">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（2）协助自然资源部门做好中央地质灾害防治资金申报工作和分配下达省级地质灾害防治资金工作。</w:t>
            </w:r>
          </w:p>
          <w:p w14:paraId="491C508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（3）会同自然资源部门对地质灾害项目专项经费使用进行监管。</w:t>
            </w:r>
          </w:p>
        </w:tc>
      </w:tr>
      <w:tr w14:paraId="037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2218" w:type="dxa"/>
            <w:noWrap w:val="0"/>
            <w:vAlign w:val="center"/>
          </w:tcPr>
          <w:p w14:paraId="3C0B18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区住房城乡建设局</w:t>
            </w:r>
          </w:p>
        </w:tc>
        <w:tc>
          <w:tcPr>
            <w:tcW w:w="10553" w:type="dxa"/>
            <w:noWrap w:val="0"/>
            <w:vAlign w:val="center"/>
          </w:tcPr>
          <w:p w14:paraId="6CA223E5">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（1）督促指导当地政府开展农村削坡建房风险点的排查及整治，建立隐患点台账，督促落实整治措施和责任人等。</w:t>
            </w:r>
          </w:p>
          <w:p w14:paraId="33ED382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（2）指导建设单位落实重大建设项目的地质灾害危险性评估制度并实施配套防治工程。一旦发生险情或灾情，及时赶赴现场，配合相关部门抢险救灾。</w:t>
            </w:r>
          </w:p>
          <w:p w14:paraId="7A0DABA0">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（3）地质灾害治理工程的设计、施工和验收应当与主体工程的设计、施工、验收同时进行，依法监督已办理施工许可的地质灾害治理工程。</w:t>
            </w:r>
          </w:p>
        </w:tc>
      </w:tr>
      <w:tr w14:paraId="6D34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2218" w:type="dxa"/>
            <w:noWrap w:val="0"/>
            <w:vAlign w:val="center"/>
          </w:tcPr>
          <w:p w14:paraId="6153C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区交通运输局</w:t>
            </w:r>
          </w:p>
        </w:tc>
        <w:tc>
          <w:tcPr>
            <w:tcW w:w="10553" w:type="dxa"/>
            <w:noWrap w:val="0"/>
            <w:vAlign w:val="center"/>
          </w:tcPr>
          <w:p w14:paraId="1C571C0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（1）督促公路部门对辖区内的国省道、农村公路及公路用地范围内的地质灾害隐患进行排查、巡查、检查、监测等地质灾害隐患群测群防工作。</w:t>
            </w:r>
          </w:p>
          <w:p w14:paraId="0954CEE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（2）督促区公路部门在管辖范围内地质灾害危险路段设立醒目的警示标识，落实公路地质灾害防灾责任人、监测责任人，必要时采取封闭危险路段的措施。</w:t>
            </w:r>
          </w:p>
          <w:p w14:paraId="492F59C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负责督促和检查项目业主在立项、设计、建设等环节充分考虑和利用地质灾害防治规划和地质灾害危险性评估结果，对评估认为可能引发或遭受地质灾害危害的建设地段，应要求项目业主落实公路职责的地质灾害治理工程建设，并纳入工程验收工作中。</w:t>
            </w:r>
          </w:p>
          <w:p w14:paraId="62F84F9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 xml:space="preserve">（4）负责监管辖区各类公路沿线地质灾害事件的报告，督促协调落实危及群众生命财产安全的地质灾害的治理。 </w:t>
            </w:r>
          </w:p>
          <w:p w14:paraId="1DAEF5D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（5）负责协调</w:t>
            </w:r>
            <w:r>
              <w:rPr>
                <w:rFonts w:hint="eastAsia" w:ascii="宋体" w:hAnsi="宋体" w:eastAsia="方正仿宋_GBK" w:cs="方正仿宋_GBK"/>
                <w:b w:val="0"/>
                <w:i w:val="0"/>
                <w:caps w:val="0"/>
                <w:spacing w:val="0"/>
                <w:w w:val="100"/>
                <w:sz w:val="24"/>
                <w:szCs w:val="24"/>
                <w:highlight w:val="none"/>
                <w:lang w:val="en-US" w:eastAsia="zh-CN"/>
              </w:rPr>
              <w:t>辖区内</w:t>
            </w:r>
            <w:r>
              <w:rPr>
                <w:rFonts w:hint="eastAsia" w:ascii="宋体" w:hAnsi="宋体" w:eastAsia="方正仿宋_GBK" w:cs="方正仿宋_GBK"/>
                <w:b w:val="0"/>
                <w:i w:val="0"/>
                <w:caps w:val="0"/>
                <w:spacing w:val="0"/>
                <w:w w:val="100"/>
                <w:sz w:val="24"/>
                <w:szCs w:val="24"/>
                <w:lang w:val="en-US" w:eastAsia="zh-CN"/>
              </w:rPr>
              <w:t>公路部门搞好所属范围内的地质灾害防治工作。</w:t>
            </w:r>
          </w:p>
        </w:tc>
      </w:tr>
      <w:tr w14:paraId="4C40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2218" w:type="dxa"/>
            <w:noWrap w:val="0"/>
            <w:vAlign w:val="center"/>
          </w:tcPr>
          <w:p w14:paraId="3E499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区水务局</w:t>
            </w:r>
          </w:p>
        </w:tc>
        <w:tc>
          <w:tcPr>
            <w:tcW w:w="10553" w:type="dxa"/>
            <w:noWrap w:val="0"/>
            <w:vAlign w:val="center"/>
          </w:tcPr>
          <w:p w14:paraId="504AD655">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（1）督促组织对山塘水库、水电站地质灾害隐患的排查、巡查、检查、监测。落实重要水利设施地质灾害隐患点防灾预案的编制，开展地质灾害隐患的群测群防工作。</w:t>
            </w:r>
          </w:p>
          <w:p w14:paraId="64E00EB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（2）督促相关单位落实水利工程地质灾害点的防灾责任人、监测责任人，在地质灾害危险区设立明显的警示标识，督促责任人及时治理灾害隐患。</w:t>
            </w:r>
          </w:p>
          <w:p w14:paraId="2131E79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（3）督促项目业主落实水利工程项目设计、建设中的地质灾害危险性评估和相应治理方案，并将防治效果纳入工程验收和评价工作中。</w:t>
            </w:r>
          </w:p>
        </w:tc>
      </w:tr>
      <w:tr w14:paraId="7424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2218" w:type="dxa"/>
            <w:noWrap w:val="0"/>
            <w:vAlign w:val="center"/>
          </w:tcPr>
          <w:p w14:paraId="75D7D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区农业农村局</w:t>
            </w:r>
          </w:p>
        </w:tc>
        <w:tc>
          <w:tcPr>
            <w:tcW w:w="10553" w:type="dxa"/>
            <w:noWrap w:val="0"/>
            <w:vAlign w:val="center"/>
          </w:tcPr>
          <w:p w14:paraId="485D1B85">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 w:eastAsia="zh-CN"/>
              </w:rPr>
              <w:t>（</w:t>
            </w:r>
            <w:r>
              <w:rPr>
                <w:rFonts w:hint="eastAsia" w:ascii="宋体" w:hAnsi="宋体" w:eastAsia="方正仿宋_GBK" w:cs="方正仿宋_GBK"/>
                <w:b w:val="0"/>
                <w:i w:val="0"/>
                <w:caps w:val="0"/>
                <w:spacing w:val="0"/>
                <w:w w:val="100"/>
                <w:sz w:val="24"/>
                <w:szCs w:val="24"/>
                <w:lang w:val="en-US" w:eastAsia="zh-CN"/>
              </w:rPr>
              <w:t>1</w:t>
            </w:r>
            <w:r>
              <w:rPr>
                <w:rFonts w:hint="eastAsia" w:ascii="宋体" w:hAnsi="宋体" w:eastAsia="方正仿宋_GBK" w:cs="方正仿宋_GBK"/>
                <w:b w:val="0"/>
                <w:i w:val="0"/>
                <w:caps w:val="0"/>
                <w:spacing w:val="0"/>
                <w:w w:val="100"/>
                <w:sz w:val="24"/>
                <w:szCs w:val="24"/>
                <w:lang w:val="en" w:eastAsia="zh-CN"/>
              </w:rPr>
              <w:t>）</w:t>
            </w:r>
            <w:r>
              <w:rPr>
                <w:rFonts w:hint="eastAsia" w:ascii="宋体" w:hAnsi="宋体" w:eastAsia="方正仿宋_GBK" w:cs="方正仿宋_GBK"/>
                <w:b w:val="0"/>
                <w:i w:val="0"/>
                <w:caps w:val="0"/>
                <w:spacing w:val="0"/>
                <w:w w:val="100"/>
                <w:sz w:val="24"/>
                <w:szCs w:val="24"/>
                <w:lang w:val="en-US" w:eastAsia="zh-CN"/>
              </w:rPr>
              <w:t>负责指导全区风景林区、生态林区、经济林区、防护林区的地质灾害防治工作。</w:t>
            </w:r>
          </w:p>
          <w:p w14:paraId="1F613F7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（2）负责指导开展管辖区域林地范围内地质灾害隐患的排查、巡查、检查，督促责任单位在地质灾害隐患点危险区设立明显的警示标识，落实地质灾害隐患点防灾责任人、监测责任人、监测措施、应急预案。</w:t>
            </w:r>
          </w:p>
        </w:tc>
      </w:tr>
      <w:tr w14:paraId="3CA7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2218" w:type="dxa"/>
            <w:noWrap w:val="0"/>
            <w:vAlign w:val="center"/>
          </w:tcPr>
          <w:p w14:paraId="3B47F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区文化广电旅游体育局</w:t>
            </w:r>
          </w:p>
        </w:tc>
        <w:tc>
          <w:tcPr>
            <w:tcW w:w="10553" w:type="dxa"/>
            <w:noWrap w:val="0"/>
            <w:vAlign w:val="center"/>
          </w:tcPr>
          <w:p w14:paraId="7AA75A8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（1）督促全区旅游景区、景点做好地质灾害防治工作。</w:t>
            </w:r>
          </w:p>
          <w:p w14:paraId="6927E79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（2）督促对全区旅游景区、景点的地质灾害隐患进行排查、巡查、检查、监测和监管，划定地质灾害危险区域，设立明显的警示标识。</w:t>
            </w:r>
          </w:p>
          <w:p w14:paraId="65045EB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（3）督促管辖范围内的地质灾害隐患点的治理。</w:t>
            </w:r>
          </w:p>
        </w:tc>
      </w:tr>
      <w:tr w14:paraId="0DD5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218" w:type="dxa"/>
            <w:noWrap w:val="0"/>
            <w:vAlign w:val="center"/>
          </w:tcPr>
          <w:p w14:paraId="03B6D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区卫生健康局</w:t>
            </w:r>
          </w:p>
        </w:tc>
        <w:tc>
          <w:tcPr>
            <w:tcW w:w="10553" w:type="dxa"/>
            <w:noWrap w:val="0"/>
            <w:vAlign w:val="center"/>
          </w:tcPr>
          <w:p w14:paraId="1BFD2DF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（1）负责重大地质灾害发生区的卫生技术调度，组织力量及时抢救伤病员，做好灾区防疫工作，防止灾区疫情、疾病的传播、蔓延。</w:t>
            </w:r>
          </w:p>
          <w:p w14:paraId="71C32FE1">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（2）及时向区</w:t>
            </w:r>
            <w:r>
              <w:rPr>
                <w:rFonts w:hint="eastAsia" w:ascii="宋体" w:hAnsi="宋体" w:eastAsia="方正仿宋_GBK" w:cs="方正仿宋_GBK"/>
                <w:b w:val="0"/>
                <w:i w:val="0"/>
                <w:caps w:val="0"/>
                <w:spacing w:val="0"/>
                <w:w w:val="100"/>
                <w:sz w:val="24"/>
                <w:szCs w:val="24"/>
                <w:highlight w:val="none"/>
                <w:lang w:val="en-US" w:eastAsia="zh-CN"/>
              </w:rPr>
              <w:t>三防指挥部</w:t>
            </w:r>
            <w:r>
              <w:rPr>
                <w:rFonts w:hint="eastAsia" w:ascii="宋体" w:hAnsi="宋体" w:eastAsia="方正仿宋_GBK" w:cs="方正仿宋_GBK"/>
                <w:b w:val="0"/>
                <w:i w:val="0"/>
                <w:caps w:val="0"/>
                <w:spacing w:val="0"/>
                <w:w w:val="100"/>
                <w:sz w:val="24"/>
                <w:szCs w:val="24"/>
                <w:lang w:val="en-US" w:eastAsia="zh-CN"/>
              </w:rPr>
              <w:t>报告医疗救助和防疫情况。</w:t>
            </w:r>
          </w:p>
        </w:tc>
      </w:tr>
      <w:tr w14:paraId="2ED0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1A86A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区应急管理局</w:t>
            </w:r>
          </w:p>
        </w:tc>
        <w:tc>
          <w:tcPr>
            <w:tcW w:w="10553" w:type="dxa"/>
            <w:noWrap w:val="0"/>
            <w:vAlign w:val="center"/>
          </w:tcPr>
          <w:p w14:paraId="7C86E3CB">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（1）指导全区各类地质灾害防范工作，负责组织、协调救灾工作。</w:t>
            </w:r>
          </w:p>
          <w:p w14:paraId="30A59A2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（2）组织调运救灾物资，协助灾区所在镇（街道）政府（办事处）及时设置避险场所和救济物资供应点，组织转移、安置和救济受灾群众。</w:t>
            </w:r>
          </w:p>
          <w:p w14:paraId="5BDD1475">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（3）核定和报告灾情，及时向</w:t>
            </w:r>
            <w:r>
              <w:rPr>
                <w:rFonts w:hint="eastAsia" w:ascii="宋体" w:hAnsi="宋体" w:eastAsia="方正仿宋_GBK" w:cs="方正仿宋_GBK"/>
                <w:b w:val="0"/>
                <w:i w:val="0"/>
                <w:caps w:val="0"/>
                <w:spacing w:val="0"/>
                <w:w w:val="100"/>
                <w:sz w:val="24"/>
                <w:szCs w:val="24"/>
                <w:highlight w:val="none"/>
                <w:lang w:val="en-US" w:eastAsia="zh-CN"/>
              </w:rPr>
              <w:t>区三防指挥部</w:t>
            </w:r>
            <w:r>
              <w:rPr>
                <w:rFonts w:hint="eastAsia" w:ascii="宋体" w:hAnsi="宋体" w:eastAsia="方正仿宋_GBK" w:cs="方正仿宋_GBK"/>
                <w:b w:val="0"/>
                <w:i w:val="0"/>
                <w:caps w:val="0"/>
                <w:spacing w:val="0"/>
                <w:w w:val="100"/>
                <w:sz w:val="24"/>
                <w:szCs w:val="24"/>
                <w:lang w:val="en-US" w:eastAsia="zh-CN"/>
              </w:rPr>
              <w:t>报告受灾群众救助和安置情况。监督和管理对救灾款物的分配、发放工作，做好地质灾害救济经费项目的申报工作。</w:t>
            </w:r>
          </w:p>
          <w:p w14:paraId="1A45D33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（4）负责督促有关单位对危险或危及他人安全的工程活动引发的地质灾害隐患进行排查、巡查、检查和监测。</w:t>
            </w:r>
          </w:p>
          <w:p w14:paraId="6BDBCB76">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 xml:space="preserve">（5）督促矿山企业做好安全生产工作。 </w:t>
            </w:r>
          </w:p>
          <w:p w14:paraId="5406DC20">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（6）督促全区矿山企业开展尾矿库安全生产隐患排查治理。</w:t>
            </w:r>
          </w:p>
        </w:tc>
      </w:tr>
      <w:tr w14:paraId="0B5A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519D8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市公安局源城分局</w:t>
            </w:r>
          </w:p>
        </w:tc>
        <w:tc>
          <w:tcPr>
            <w:tcW w:w="10553" w:type="dxa"/>
            <w:noWrap w:val="0"/>
            <w:vAlign w:val="center"/>
          </w:tcPr>
          <w:p w14:paraId="44190C3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（1）负责组织、指挥公安机关维护灾区社会治安，参与突发性地质灾害抢险救灾，积极预防和妥善处置因地质灾害引发的群体性治安事件，做好进出灾区道路和灾区内交通疏导及管制工作。</w:t>
            </w:r>
          </w:p>
          <w:p w14:paraId="437F641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（2）协同有关部门做好地质灾害区域受灾群众的转移和临时安置工作。</w:t>
            </w:r>
          </w:p>
        </w:tc>
      </w:tr>
      <w:tr w14:paraId="531F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17727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市生态环境局源城分局</w:t>
            </w:r>
          </w:p>
        </w:tc>
        <w:tc>
          <w:tcPr>
            <w:tcW w:w="10553" w:type="dxa"/>
            <w:noWrap w:val="0"/>
            <w:vAlign w:val="center"/>
          </w:tcPr>
          <w:p w14:paraId="70986EEB">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（1）在拟订并组织实施源城区环境保护规划和计划时，把地质灾害影响作为重要内容。</w:t>
            </w:r>
          </w:p>
          <w:p w14:paraId="7F4EE418">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（2）参与、协助有关部门调查因地质灾害造成的生态环境破坏事件。</w:t>
            </w:r>
          </w:p>
        </w:tc>
      </w:tr>
      <w:tr w14:paraId="167A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36B63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方正仿宋_GBK" w:cs="方正仿宋_GBK"/>
                <w:color w:val="000000"/>
                <w:kern w:val="30"/>
                <w:sz w:val="24"/>
                <w:szCs w:val="24"/>
                <w:lang w:val="en-US" w:eastAsia="zh-CN" w:bidi="ar-SA"/>
              </w:rPr>
            </w:pPr>
            <w:r>
              <w:rPr>
                <w:rFonts w:hint="eastAsia" w:ascii="宋体" w:hAnsi="宋体" w:eastAsia="方正仿宋_GBK" w:cs="方正仿宋_GBK"/>
                <w:color w:val="000000"/>
                <w:kern w:val="30"/>
                <w:sz w:val="24"/>
                <w:szCs w:val="24"/>
                <w:lang w:val="en-US" w:eastAsia="zh-CN" w:bidi="ar-SA"/>
              </w:rPr>
              <w:t>源城供电局</w:t>
            </w:r>
          </w:p>
        </w:tc>
        <w:tc>
          <w:tcPr>
            <w:tcW w:w="10553" w:type="dxa"/>
            <w:noWrap w:val="0"/>
            <w:vAlign w:val="center"/>
          </w:tcPr>
          <w:p w14:paraId="6626AE38">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（1）负责产权范围内配电线路两侧地质灾害隐患排查、巡查、检查和监测等工作。</w:t>
            </w:r>
          </w:p>
          <w:p w14:paraId="08AE49F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宋体" w:hAnsi="宋体" w:eastAsia="方正仿宋_GBK" w:cs="方正仿宋_GBK"/>
                <w:b w:val="0"/>
                <w:i w:val="0"/>
                <w:caps w:val="0"/>
                <w:spacing w:val="0"/>
                <w:w w:val="100"/>
                <w:sz w:val="24"/>
                <w:szCs w:val="24"/>
                <w:lang w:val="en-US" w:eastAsia="zh-CN"/>
              </w:rPr>
            </w:pPr>
            <w:r>
              <w:rPr>
                <w:rFonts w:hint="eastAsia" w:ascii="宋体" w:hAnsi="宋体" w:eastAsia="方正仿宋_GBK" w:cs="方正仿宋_GBK"/>
                <w:b w:val="0"/>
                <w:i w:val="0"/>
                <w:caps w:val="0"/>
                <w:spacing w:val="0"/>
                <w:w w:val="100"/>
                <w:sz w:val="24"/>
                <w:szCs w:val="24"/>
                <w:lang w:val="en-US" w:eastAsia="zh-CN"/>
              </w:rPr>
              <w:t>（2）负责地质灾害区域的产权归属配电设备紧急断电、抢修和电力供应恢复工作。</w:t>
            </w:r>
          </w:p>
        </w:tc>
      </w:tr>
    </w:tbl>
    <w:p w14:paraId="12122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方正仿宋_GBK" w:cs="方正仿宋_GBK"/>
          <w:color w:val="000000"/>
          <w:kern w:val="30"/>
          <w:sz w:val="24"/>
          <w:szCs w:val="24"/>
          <w:lang w:val="en-US" w:eastAsia="zh-CN" w:bidi="ar-SA"/>
        </w:rPr>
        <w:sectPr>
          <w:footerReference r:id="rId3" w:type="default"/>
          <w:pgSz w:w="16838" w:h="11906" w:orient="landscape"/>
          <w:pgMar w:top="1531" w:right="1531" w:bottom="1531" w:left="2041" w:header="851" w:footer="992" w:gutter="0"/>
          <w:pgNumType w:fmt="decimal"/>
          <w:cols w:space="720" w:num="1"/>
          <w:docGrid w:type="linesAndChars" w:linePitch="631" w:charSpace="-849"/>
        </w:sectPr>
      </w:pPr>
      <w:bookmarkStart w:id="0" w:name="_GoBack"/>
      <w:bookmarkEnd w:id="0"/>
    </w:p>
    <w:p w14:paraId="2D867B9A">
      <w:pPr>
        <w:spacing w:line="20" w:lineRule="exact"/>
        <w:rPr>
          <w:rFonts w:ascii="宋体" w:hAnsi="宋体"/>
        </w:rPr>
      </w:pPr>
    </w:p>
    <w:sectPr>
      <w:footerReference r:id="rId4" w:type="default"/>
      <w:pgSz w:w="11906" w:h="16838"/>
      <w:pgMar w:top="1984" w:right="1474" w:bottom="147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2C8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3D94C">
                          <w:pPr>
                            <w:pStyle w:val="10"/>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F3D94C">
                    <w:pPr>
                      <w:pStyle w:val="10"/>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E7E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C7FD2A">
                          <w:pPr>
                            <w:pStyle w:val="10"/>
                            <w:ind w:firstLine="0" w:firstLineChars="0"/>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14:paraId="36C7FD2A">
                    <w:pPr>
                      <w:pStyle w:val="10"/>
                      <w:ind w:firstLine="0" w:firstLineChars="0"/>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jg0ZTY5OTUwMDIyY2IzZWJjNjliMGVkZTZjZTMifQ=="/>
  </w:docVars>
  <w:rsids>
    <w:rsidRoot w:val="5E9EF216"/>
    <w:rsid w:val="018F0C04"/>
    <w:rsid w:val="0E25464A"/>
    <w:rsid w:val="11DD35D9"/>
    <w:rsid w:val="144B3AE7"/>
    <w:rsid w:val="1E8239CD"/>
    <w:rsid w:val="1FC643ED"/>
    <w:rsid w:val="27745BDF"/>
    <w:rsid w:val="2BD34EC2"/>
    <w:rsid w:val="2DF2254C"/>
    <w:rsid w:val="2F9E275F"/>
    <w:rsid w:val="2FBE7E18"/>
    <w:rsid w:val="3C435237"/>
    <w:rsid w:val="43BE50E7"/>
    <w:rsid w:val="46BF5934"/>
    <w:rsid w:val="4EDF5785"/>
    <w:rsid w:val="511231B0"/>
    <w:rsid w:val="57144AC5"/>
    <w:rsid w:val="57974C39"/>
    <w:rsid w:val="5E9EF216"/>
    <w:rsid w:val="73FD5240"/>
    <w:rsid w:val="7B4F50D8"/>
    <w:rsid w:val="7B83CE33"/>
    <w:rsid w:val="7D5D9F7C"/>
    <w:rsid w:val="7DBC0431"/>
    <w:rsid w:val="7DF782D6"/>
    <w:rsid w:val="7FFDFAC2"/>
    <w:rsid w:val="CEFB100F"/>
    <w:rsid w:val="D7EF4044"/>
    <w:rsid w:val="DBFE7303"/>
    <w:rsid w:val="DD7F660B"/>
    <w:rsid w:val="DE9ED82E"/>
    <w:rsid w:val="F5BEABE7"/>
    <w:rsid w:val="F75A7F6E"/>
    <w:rsid w:val="FCFF93BD"/>
    <w:rsid w:val="FF3E771F"/>
    <w:rsid w:val="FF8F39D0"/>
    <w:rsid w:val="FFFD7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eastAsia="宋体"/>
      <w:sz w:val="21"/>
    </w:r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5">
    <w:name w:val="Body Text"/>
    <w:basedOn w:val="1"/>
    <w:next w:val="6"/>
    <w:qFormat/>
    <w:uiPriority w:val="0"/>
    <w:pPr>
      <w:spacing w:line="0" w:lineRule="atLeast"/>
    </w:pPr>
    <w:rPr>
      <w:rFonts w:eastAsia="小标宋"/>
      <w:sz w:val="44"/>
    </w:rPr>
  </w:style>
  <w:style w:type="paragraph" w:customStyle="1" w:styleId="6">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7">
    <w:name w:val="toc 5"/>
    <w:basedOn w:val="1"/>
    <w:next w:val="1"/>
    <w:qFormat/>
    <w:uiPriority w:val="0"/>
    <w:pPr>
      <w:ind w:left="1680"/>
    </w:pPr>
  </w:style>
  <w:style w:type="paragraph" w:styleId="8">
    <w:name w:val="Plain Text"/>
    <w:basedOn w:val="1"/>
    <w:qFormat/>
    <w:uiPriority w:val="0"/>
    <w:rPr>
      <w:rFonts w:ascii="仿宋_GB2312" w:hAnsi="Courier New" w:cs="Courier New"/>
    </w:rPr>
  </w:style>
  <w:style w:type="paragraph" w:styleId="9">
    <w:name w:val="Body Text Indent 2"/>
    <w:basedOn w:val="1"/>
    <w:qFormat/>
    <w:uiPriority w:val="0"/>
    <w:pPr>
      <w:ind w:firstLine="2160" w:firstLineChars="600"/>
      <w:jc w:val="center"/>
    </w:pPr>
    <w:rPr>
      <w:rFonts w:eastAsia="黑体"/>
      <w:sz w:val="36"/>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3"/>
    <w:qFormat/>
    <w:uiPriority w:val="0"/>
    <w:pPr>
      <w:widowControl/>
      <w:spacing w:before="240" w:beforeLines="0" w:after="60" w:afterLines="0" w:line="560" w:lineRule="exact"/>
      <w:jc w:val="center"/>
      <w:outlineLvl w:val="0"/>
    </w:pPr>
    <w:rPr>
      <w:rFonts w:ascii="Arial" w:hAnsi="Arial" w:eastAsia="华文中宋" w:cs="Arial"/>
      <w:b/>
      <w:bCs/>
      <w:color w:val="FF0000"/>
      <w:kern w:val="0"/>
      <w:sz w:val="84"/>
      <w:szCs w:val="32"/>
    </w:rPr>
  </w:style>
  <w:style w:type="paragraph" w:customStyle="1" w:styleId="13">
    <w:name w:val="正文文本缩进1"/>
    <w:basedOn w:val="1"/>
    <w:next w:val="1"/>
    <w:qFormat/>
    <w:uiPriority w:val="0"/>
    <w:pPr>
      <w:spacing w:line="620" w:lineRule="exact"/>
      <w:ind w:firstLine="640" w:firstLineChars="200"/>
    </w:pPr>
    <w:rPr>
      <w:rFonts w:eastAsia="仿宋_GB2312"/>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860</Words>
  <Characters>910</Characters>
  <Lines>0</Lines>
  <Paragraphs>0</Paragraphs>
  <TotalTime>28</TotalTime>
  <ScaleCrop>false</ScaleCrop>
  <LinksUpToDate>false</LinksUpToDate>
  <CharactersWithSpaces>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2024-03-23T00:58:00Z</dcterms:created>
  <dc:creator>sfj</dc:creator>
  <cp:lastModifiedBy>Jilly</cp:lastModifiedBy>
  <cp:lastPrinted>2025-04-17T03:08:00Z</cp:lastPrinted>
  <dcterms:modified xsi:type="dcterms:W3CDTF">2025-06-26T03:56:51Z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A41F9859E369481BA3CF9B0C4876A338_13</vt:lpwstr>
  </property>
  <property fmtid="{D5CDD505-2E9C-101B-9397-08002B2CF9AE}" pid="4" name="KSOTemplateDocerSaveRecord">
    <vt:lpwstr>eyJoZGlkIjoiNGE1Yzk1MzgzMjMzNmFkNTI5NmJhYWY1NTkzNDY4Y2EiLCJ1c2VySWQiOiI4MDg1NjQ2NDMifQ==</vt:lpwstr>
  </property>
</Properties>
</file>