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2C034">
      <w:pPr>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outlineLvl w:val="9"/>
        <w:rPr>
          <w:rFonts w:ascii="宋体" w:hAnsi="宋体" w:eastAsia="方正小标宋_GBK" w:cs="Times New Roman"/>
          <w:color w:val="auto"/>
          <w:sz w:val="44"/>
          <w:szCs w:val="44"/>
          <w:lang w:val="en-US" w:eastAsia="zh-CN"/>
        </w:rPr>
      </w:pPr>
      <w:r>
        <w:rPr>
          <w:rFonts w:hint="eastAsia" w:ascii="宋体" w:hAnsi="宋体" w:eastAsia="方正小标宋_GBK" w:cs="Times New Roman"/>
          <w:color w:val="auto"/>
          <w:sz w:val="44"/>
          <w:szCs w:val="44"/>
          <w:lang w:val="en-US" w:eastAsia="zh-CN"/>
        </w:rPr>
        <w:t>源城区</w:t>
      </w:r>
      <w:r>
        <w:rPr>
          <w:rFonts w:ascii="宋体" w:hAnsi="宋体" w:eastAsia="方正小标宋_GBK" w:cs="Times New Roman"/>
          <w:color w:val="auto"/>
          <w:sz w:val="44"/>
          <w:szCs w:val="44"/>
          <w:lang w:val="en-US" w:eastAsia="zh-CN"/>
        </w:rPr>
        <w:t>202</w:t>
      </w:r>
      <w:r>
        <w:rPr>
          <w:rFonts w:hint="eastAsia" w:ascii="宋体" w:hAnsi="宋体" w:eastAsia="方正小标宋_GBK" w:cs="Times New Roman"/>
          <w:color w:val="auto"/>
          <w:sz w:val="44"/>
          <w:szCs w:val="44"/>
          <w:lang w:val="en-US" w:eastAsia="zh-CN"/>
        </w:rPr>
        <w:t>5</w:t>
      </w:r>
      <w:r>
        <w:rPr>
          <w:rFonts w:ascii="宋体" w:hAnsi="宋体" w:eastAsia="方正小标宋_GBK" w:cs="Times New Roman"/>
          <w:color w:val="auto"/>
          <w:sz w:val="44"/>
          <w:szCs w:val="44"/>
          <w:lang w:val="en-US" w:eastAsia="zh-CN"/>
        </w:rPr>
        <w:t>年国民经济和社会发展计划</w:t>
      </w:r>
    </w:p>
    <w:p w14:paraId="0E90C5FC">
      <w:pPr>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outlineLvl w:val="9"/>
        <w:rPr>
          <w:rFonts w:ascii="宋体" w:hAnsi="宋体" w:eastAsia="方正楷体_GBK" w:cs="Times New Roman"/>
          <w:color w:val="auto"/>
          <w:sz w:val="32"/>
          <w:szCs w:val="32"/>
          <w:lang w:val="en-US" w:eastAsia="zh-CN"/>
        </w:rPr>
      </w:pPr>
    </w:p>
    <w:p w14:paraId="566D9B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cs="方正楷体_GBK"/>
          <w:b/>
          <w:bCs/>
          <w:color w:val="auto"/>
          <w:spacing w:val="0"/>
          <w:kern w:val="0"/>
          <w:sz w:val="32"/>
          <w:szCs w:val="44"/>
          <w:highlight w:val="none"/>
          <w:u w:val="none"/>
          <w:lang w:val="en-US" w:eastAsia="zh-CN"/>
        </w:rPr>
      </w:pPr>
      <w:r>
        <w:rPr>
          <w:rFonts w:hint="eastAsia" w:ascii="宋体" w:hAnsi="宋体" w:eastAsia="宋体" w:cs="宋体"/>
          <w:color w:val="auto"/>
          <w:spacing w:val="0"/>
          <w:kern w:val="0"/>
          <w:sz w:val="32"/>
          <w:szCs w:val="44"/>
          <w:highlight w:val="none"/>
          <w:u w:val="none"/>
          <w:lang w:val="en-US" w:eastAsia="zh-CN"/>
        </w:rPr>
        <w:t>2025</w:t>
      </w:r>
      <w:r>
        <w:rPr>
          <w:rFonts w:hint="eastAsia" w:ascii="宋体" w:hAnsi="宋体" w:eastAsia="方正仿宋_GBK"/>
          <w:color w:val="auto"/>
          <w:spacing w:val="0"/>
          <w:kern w:val="0"/>
          <w:sz w:val="32"/>
          <w:szCs w:val="44"/>
          <w:highlight w:val="none"/>
          <w:u w:val="none"/>
          <w:lang w:val="en-US" w:eastAsia="zh-CN"/>
        </w:rPr>
        <w:t>年是“十四五”规划收官之年，做好经济社会发展工作意义重大。全区上下要坚持</w:t>
      </w:r>
      <w:r>
        <w:rPr>
          <w:rFonts w:hint="eastAsia" w:ascii="宋体" w:hAnsi="宋体" w:eastAsia="方正仿宋_GBK" w:cs="Arial"/>
          <w:i w:val="0"/>
          <w:iCs w:val="0"/>
          <w:caps w:val="0"/>
          <w:color w:val="auto"/>
          <w:spacing w:val="0"/>
          <w:kern w:val="0"/>
          <w:sz w:val="32"/>
          <w:szCs w:val="44"/>
          <w:highlight w:val="none"/>
          <w:u w:val="none"/>
          <w:shd w:val="clear" w:fill="auto"/>
        </w:rPr>
        <w:t>以习近平新时代中国特色社会主义思想为指导，全面贯彻落实党的二十大和二十届二中、三中全会以及中央经济工作会议精神，深入学习贯彻习近平总书记对广东系列重要讲话和重要指示精神，认真贯彻落实省委“1310”具体部署和市委“138”具体安排，全面落实区委八届七次全会精神</w:t>
      </w:r>
      <w:r>
        <w:rPr>
          <w:rFonts w:hint="eastAsia" w:ascii="宋体" w:hAnsi="宋体" w:eastAsia="方正仿宋_GBK"/>
          <w:color w:val="auto"/>
          <w:spacing w:val="0"/>
          <w:kern w:val="0"/>
          <w:sz w:val="32"/>
          <w:szCs w:val="44"/>
          <w:highlight w:val="none"/>
          <w:u w:val="none"/>
          <w:lang w:val="en-US" w:eastAsia="zh-CN"/>
        </w:rPr>
        <w:t>，坚持稳中求进工作总基调，完整准确全面贯彻新发展理念，服务和融入新发展格局，扎实推动高质量发展，进一步全面深化改革、扩大对外开放，因地制宜发展新质生产力，着力建设现代化产业体系，更好统筹发展和安全，全力推动经济持续稳中向好，不断提高人民生活水平，保持社会和谐稳定，努力完成“十四五”规划目标任务，加快建设绿色崛起现代化枢纽城区，奋力推进中国式现代化的源城实践。</w:t>
      </w:r>
    </w:p>
    <w:p w14:paraId="1CC98936">
      <w:pPr>
        <w:pStyle w:val="9"/>
        <w:keepNext w:val="0"/>
        <w:keepLines w:val="0"/>
        <w:pageBreakBefore w:val="0"/>
        <w:widowControl w:val="0"/>
        <w:suppressAutoHyphens/>
        <w:kinsoku/>
        <w:wordWrap/>
        <w:overflowPunct/>
        <w:topLinePunct w:val="0"/>
        <w:autoSpaceDE/>
        <w:autoSpaceDN/>
        <w:bidi w:val="0"/>
        <w:adjustRightInd w:val="0"/>
        <w:snapToGrid w:val="0"/>
        <w:spacing w:after="0" w:line="600" w:lineRule="exact"/>
        <w:ind w:left="0" w:firstLine="640" w:firstLineChars="200"/>
        <w:rPr>
          <w:rFonts w:hint="eastAsia" w:ascii="宋体" w:hAnsi="宋体" w:eastAsia="方正仿宋_GBK" w:cs="宋体"/>
          <w:color w:val="auto"/>
          <w:spacing w:val="0"/>
          <w:sz w:val="32"/>
          <w:szCs w:val="32"/>
          <w:highlight w:val="none"/>
          <w:lang w:val="en-US" w:eastAsia="zh-CN"/>
        </w:rPr>
      </w:pPr>
      <w:r>
        <w:rPr>
          <w:rFonts w:hint="eastAsia" w:ascii="宋体" w:hAnsi="宋体" w:eastAsia="方正仿宋_GBK" w:cs="宋体"/>
          <w:color w:val="auto"/>
          <w:spacing w:val="0"/>
          <w:kern w:val="0"/>
          <w:sz w:val="32"/>
          <w:szCs w:val="32"/>
          <w:highlight w:val="none"/>
          <w:lang w:val="en-US" w:eastAsia="zh-CN"/>
        </w:rPr>
        <w:t>综合考虑我区发展基础和趋势、使命和担当，对接“十四五”规划，</w:t>
      </w:r>
      <w:r>
        <w:rPr>
          <w:rFonts w:hint="eastAsia" w:ascii="宋体" w:hAnsi="宋体" w:eastAsia="宋体" w:cs="宋体"/>
          <w:color w:val="auto"/>
          <w:spacing w:val="0"/>
          <w:kern w:val="0"/>
          <w:sz w:val="32"/>
          <w:szCs w:val="32"/>
          <w:highlight w:val="none"/>
          <w:lang w:val="en-US" w:eastAsia="zh-CN"/>
        </w:rPr>
        <w:t>2025</w:t>
      </w:r>
      <w:r>
        <w:rPr>
          <w:rFonts w:hint="eastAsia" w:ascii="宋体" w:hAnsi="宋体" w:eastAsia="方正仿宋_GBK" w:cs="宋体"/>
          <w:color w:val="auto"/>
          <w:spacing w:val="0"/>
          <w:kern w:val="0"/>
          <w:sz w:val="32"/>
          <w:szCs w:val="32"/>
          <w:highlight w:val="none"/>
          <w:lang w:val="en-US" w:eastAsia="zh-CN"/>
        </w:rPr>
        <w:t>年我区</w:t>
      </w:r>
      <w:r>
        <w:rPr>
          <w:rFonts w:hint="eastAsia" w:ascii="宋体" w:hAnsi="宋体" w:eastAsia="方正仿宋_GBK" w:cs="宋体"/>
          <w:color w:val="auto"/>
          <w:spacing w:val="0"/>
          <w:kern w:val="0"/>
          <w:sz w:val="32"/>
          <w:szCs w:val="32"/>
          <w:highlight w:val="none"/>
        </w:rPr>
        <w:t>经济社会发展的主要预期目标</w:t>
      </w:r>
      <w:r>
        <w:rPr>
          <w:rFonts w:hint="eastAsia" w:ascii="宋体" w:hAnsi="宋体" w:eastAsia="方正仿宋_GBK" w:cs="宋体"/>
          <w:color w:val="auto"/>
          <w:spacing w:val="0"/>
          <w:kern w:val="0"/>
          <w:sz w:val="32"/>
          <w:szCs w:val="32"/>
          <w:highlight w:val="none"/>
          <w:lang w:val="en-US" w:eastAsia="zh-CN"/>
        </w:rPr>
        <w:t>和重点建设项目初步计划如下：</w:t>
      </w:r>
      <w:r>
        <w:rPr>
          <w:rFonts w:ascii="宋体" w:hAnsi="宋体" w:eastAsia="方正仿宋_GBK" w:cs="宋体"/>
          <w:color w:val="auto"/>
          <w:spacing w:val="0"/>
          <w:kern w:val="0"/>
          <w:sz w:val="32"/>
          <w:szCs w:val="32"/>
          <w:highlight w:val="none"/>
        </w:rPr>
        <w:t>（</w:t>
      </w:r>
      <w:r>
        <w:rPr>
          <w:rFonts w:hint="eastAsia" w:ascii="宋体" w:hAnsi="宋体" w:eastAsia="宋体" w:cs="宋体"/>
          <w:color w:val="auto"/>
          <w:spacing w:val="0"/>
          <w:kern w:val="0"/>
          <w:sz w:val="32"/>
          <w:szCs w:val="32"/>
          <w:highlight w:val="none"/>
        </w:rPr>
        <w:t>1</w:t>
      </w:r>
      <w:r>
        <w:rPr>
          <w:rFonts w:ascii="宋体" w:hAnsi="宋体" w:eastAsia="方正仿宋_GBK" w:cs="宋体"/>
          <w:color w:val="auto"/>
          <w:spacing w:val="0"/>
          <w:kern w:val="0"/>
          <w:sz w:val="32"/>
          <w:szCs w:val="32"/>
          <w:highlight w:val="none"/>
        </w:rPr>
        <w:t>）主要指标预期目标。</w:t>
      </w:r>
      <w:r>
        <w:rPr>
          <w:rFonts w:hint="eastAsia" w:ascii="宋体" w:hAnsi="宋体" w:eastAsia="方正仿宋_GBK" w:cs="宋体"/>
          <w:color w:val="auto"/>
          <w:spacing w:val="0"/>
          <w:kern w:val="2"/>
          <w:sz w:val="32"/>
          <w:szCs w:val="32"/>
          <w:highlight w:val="none"/>
          <w:u w:val="none" w:color="auto"/>
          <w:lang w:val="en-US" w:eastAsia="zh-CN" w:bidi="ar-SA"/>
        </w:rPr>
        <w:t>地区生产总值增长</w:t>
      </w:r>
      <w:r>
        <w:rPr>
          <w:rFonts w:hint="eastAsia" w:ascii="宋体" w:hAnsi="宋体" w:eastAsia="宋体" w:cs="宋体"/>
          <w:color w:val="auto"/>
          <w:spacing w:val="0"/>
          <w:kern w:val="2"/>
          <w:sz w:val="32"/>
          <w:szCs w:val="32"/>
          <w:highlight w:val="none"/>
          <w:u w:val="none" w:color="auto"/>
          <w:lang w:val="en-US" w:eastAsia="zh-CN" w:bidi="ar-SA"/>
        </w:rPr>
        <w:t>5</w:t>
      </w:r>
      <w:r>
        <w:rPr>
          <w:rFonts w:hint="eastAsia" w:ascii="宋体" w:hAnsi="宋体" w:eastAsia="方正仿宋_GBK" w:cs="宋体"/>
          <w:color w:val="auto"/>
          <w:spacing w:val="0"/>
          <w:kern w:val="2"/>
          <w:sz w:val="32"/>
          <w:szCs w:val="32"/>
          <w:highlight w:val="none"/>
          <w:u w:val="none" w:color="auto"/>
          <w:lang w:val="en-US" w:eastAsia="zh-CN" w:bidi="ar-SA"/>
        </w:rPr>
        <w:t>%</w:t>
      </w:r>
      <w:r>
        <w:rPr>
          <w:rFonts w:ascii="宋体" w:hAnsi="宋体" w:eastAsia="方正仿宋_GBK" w:cs="宋体"/>
          <w:color w:val="auto"/>
          <w:spacing w:val="0"/>
          <w:kern w:val="2"/>
          <w:sz w:val="32"/>
          <w:szCs w:val="32"/>
          <w:highlight w:val="none"/>
          <w:u w:val="none" w:color="auto"/>
          <w:lang w:val="en-US" w:eastAsia="zh-CN" w:bidi="ar-SA"/>
        </w:rPr>
        <w:t>；</w:t>
      </w:r>
      <w:r>
        <w:rPr>
          <w:rFonts w:hint="eastAsia" w:ascii="宋体" w:hAnsi="宋体" w:eastAsia="方正仿宋_GBK" w:cs="宋体"/>
          <w:color w:val="auto"/>
          <w:spacing w:val="0"/>
          <w:kern w:val="2"/>
          <w:sz w:val="32"/>
          <w:szCs w:val="32"/>
          <w:highlight w:val="none"/>
          <w:u w:val="none" w:color="auto"/>
          <w:lang w:val="en-US" w:eastAsia="zh-CN" w:bidi="ar-SA"/>
        </w:rPr>
        <w:t>规上工业增加值增长</w:t>
      </w:r>
      <w:r>
        <w:rPr>
          <w:rFonts w:hint="eastAsia" w:ascii="宋体" w:hAnsi="宋体" w:eastAsia="宋体" w:cs="宋体"/>
          <w:color w:val="auto"/>
          <w:spacing w:val="0"/>
          <w:kern w:val="2"/>
          <w:sz w:val="32"/>
          <w:szCs w:val="32"/>
          <w:highlight w:val="none"/>
          <w:u w:val="none" w:color="auto"/>
          <w:lang w:val="en-US" w:eastAsia="zh-CN" w:bidi="ar-SA"/>
        </w:rPr>
        <w:t>9</w:t>
      </w:r>
      <w:r>
        <w:rPr>
          <w:rFonts w:hint="eastAsia" w:ascii="宋体" w:hAnsi="宋体" w:eastAsia="方正仿宋_GBK" w:cs="宋体"/>
          <w:color w:val="auto"/>
          <w:spacing w:val="0"/>
          <w:kern w:val="2"/>
          <w:sz w:val="32"/>
          <w:szCs w:val="32"/>
          <w:highlight w:val="none"/>
          <w:u w:val="none" w:color="auto"/>
          <w:lang w:val="en-US" w:eastAsia="zh-CN" w:bidi="ar-SA"/>
        </w:rPr>
        <w:t>%，固定资产投资总额增长</w:t>
      </w:r>
      <w:r>
        <w:rPr>
          <w:rFonts w:hint="eastAsia" w:ascii="宋体" w:hAnsi="宋体" w:eastAsia="宋体" w:cs="宋体"/>
          <w:color w:val="auto"/>
          <w:spacing w:val="0"/>
          <w:kern w:val="2"/>
          <w:sz w:val="32"/>
          <w:szCs w:val="32"/>
          <w:highlight w:val="none"/>
          <w:u w:val="none" w:color="auto"/>
          <w:lang w:val="en-US" w:eastAsia="zh-CN" w:bidi="ar-SA"/>
        </w:rPr>
        <w:t>6</w:t>
      </w:r>
      <w:r>
        <w:rPr>
          <w:rFonts w:hint="eastAsia" w:ascii="宋体" w:hAnsi="宋体" w:eastAsia="方正仿宋_GBK" w:cs="宋体"/>
          <w:color w:val="auto"/>
          <w:spacing w:val="0"/>
          <w:kern w:val="2"/>
          <w:sz w:val="32"/>
          <w:szCs w:val="32"/>
          <w:highlight w:val="none"/>
          <w:u w:val="none" w:color="auto"/>
          <w:lang w:val="en-US" w:eastAsia="zh-CN" w:bidi="ar-SA"/>
        </w:rPr>
        <w:t>%，社会消费品零售总额增长</w:t>
      </w:r>
      <w:r>
        <w:rPr>
          <w:rFonts w:hint="eastAsia" w:ascii="宋体" w:hAnsi="宋体" w:eastAsia="宋体" w:cs="宋体"/>
          <w:color w:val="auto"/>
          <w:spacing w:val="0"/>
          <w:kern w:val="2"/>
          <w:sz w:val="32"/>
          <w:szCs w:val="32"/>
          <w:highlight w:val="none"/>
          <w:u w:val="none" w:color="auto"/>
          <w:lang w:val="en-US" w:eastAsia="zh-CN" w:bidi="ar-SA"/>
        </w:rPr>
        <w:t>4</w:t>
      </w:r>
      <w:r>
        <w:rPr>
          <w:rFonts w:hint="eastAsia" w:ascii="宋体" w:hAnsi="宋体" w:eastAsia="方正仿宋_GBK" w:cs="宋体"/>
          <w:color w:val="auto"/>
          <w:spacing w:val="0"/>
          <w:kern w:val="2"/>
          <w:sz w:val="32"/>
          <w:szCs w:val="32"/>
          <w:highlight w:val="none"/>
          <w:u w:val="none" w:color="auto"/>
          <w:lang w:val="en-US" w:eastAsia="zh-CN" w:bidi="ar-SA"/>
        </w:rPr>
        <w:t>%，一般公共预算收入增长</w:t>
      </w:r>
      <w:r>
        <w:rPr>
          <w:rFonts w:hint="eastAsia" w:ascii="宋体" w:hAnsi="宋体" w:eastAsia="宋体" w:cs="宋体"/>
          <w:color w:val="auto"/>
          <w:spacing w:val="0"/>
          <w:kern w:val="2"/>
          <w:sz w:val="32"/>
          <w:szCs w:val="32"/>
          <w:highlight w:val="none"/>
          <w:u w:val="none" w:color="auto"/>
          <w:lang w:val="en-US" w:eastAsia="zh-CN" w:bidi="ar-SA"/>
        </w:rPr>
        <w:t>3</w:t>
      </w:r>
      <w:r>
        <w:rPr>
          <w:rFonts w:hint="eastAsia" w:ascii="宋体" w:hAnsi="宋体" w:eastAsia="方正仿宋_GBK" w:cs="宋体"/>
          <w:color w:val="auto"/>
          <w:spacing w:val="0"/>
          <w:kern w:val="2"/>
          <w:sz w:val="32"/>
          <w:szCs w:val="32"/>
          <w:highlight w:val="none"/>
          <w:u w:val="none" w:color="auto"/>
          <w:lang w:val="en-US" w:eastAsia="zh-CN" w:bidi="ar-SA"/>
        </w:rPr>
        <w:t>%，农林牧渔</w:t>
      </w:r>
      <w:r>
        <w:rPr>
          <w:rFonts w:ascii="宋体" w:hAnsi="宋体" w:eastAsia="方正仿宋_GBK" w:cs="宋体"/>
          <w:color w:val="auto"/>
          <w:spacing w:val="0"/>
          <w:kern w:val="2"/>
          <w:sz w:val="32"/>
          <w:szCs w:val="32"/>
          <w:highlight w:val="none"/>
          <w:u w:val="none" w:color="auto"/>
          <w:lang w:val="en-US" w:eastAsia="zh-CN" w:bidi="ar-SA"/>
        </w:rPr>
        <w:t>业总产值</w:t>
      </w:r>
      <w:r>
        <w:rPr>
          <w:rFonts w:hint="eastAsia" w:ascii="宋体" w:hAnsi="宋体" w:eastAsia="方正仿宋_GBK" w:cs="宋体"/>
          <w:color w:val="auto"/>
          <w:spacing w:val="0"/>
          <w:kern w:val="2"/>
          <w:sz w:val="32"/>
          <w:szCs w:val="32"/>
          <w:highlight w:val="none"/>
          <w:u w:val="none" w:color="auto"/>
          <w:lang w:val="en-US" w:eastAsia="zh-CN" w:bidi="ar-SA"/>
        </w:rPr>
        <w:t>增长</w:t>
      </w:r>
      <w:r>
        <w:rPr>
          <w:rFonts w:hint="eastAsia" w:ascii="宋体" w:hAnsi="宋体" w:eastAsia="宋体" w:cs="宋体"/>
          <w:color w:val="auto"/>
          <w:spacing w:val="0"/>
          <w:sz w:val="32"/>
          <w:szCs w:val="32"/>
          <w:highlight w:val="none"/>
          <w:lang w:val="en-US" w:eastAsia="zh-CN"/>
        </w:rPr>
        <w:t>5</w:t>
      </w:r>
      <w:r>
        <w:rPr>
          <w:rFonts w:hint="eastAsia" w:ascii="宋体" w:hAnsi="宋体" w:eastAsia="方正仿宋_GBK" w:cs="宋体"/>
          <w:color w:val="auto"/>
          <w:spacing w:val="0"/>
          <w:sz w:val="32"/>
          <w:szCs w:val="32"/>
          <w:highlight w:val="none"/>
          <w:lang w:eastAsia="zh-CN"/>
        </w:rPr>
        <w:t>%</w:t>
      </w:r>
      <w:r>
        <w:rPr>
          <w:rFonts w:hint="eastAsia" w:ascii="宋体" w:hAnsi="宋体" w:eastAsia="方正仿宋_GBK" w:cs="宋体"/>
          <w:color w:val="auto"/>
          <w:spacing w:val="0"/>
          <w:kern w:val="2"/>
          <w:sz w:val="32"/>
          <w:szCs w:val="32"/>
          <w:highlight w:val="none"/>
          <w:u w:val="none" w:color="auto"/>
          <w:lang w:val="en-US" w:eastAsia="zh-CN" w:bidi="ar-SA"/>
        </w:rPr>
        <w:t>，外贸进出口总额增速持平，城乡居民人均可支配收入增长与经济增长基本同步，居民消费价格指数</w:t>
      </w:r>
      <w:r>
        <w:rPr>
          <w:rFonts w:ascii="宋体" w:hAnsi="宋体" w:eastAsia="方正仿宋_GBK" w:cs="宋体"/>
          <w:color w:val="auto"/>
          <w:spacing w:val="0"/>
          <w:kern w:val="2"/>
          <w:sz w:val="32"/>
          <w:szCs w:val="32"/>
          <w:highlight w:val="none"/>
          <w:u w:val="none" w:color="auto"/>
          <w:lang w:val="en-US" w:eastAsia="zh-CN" w:bidi="ar-SA"/>
        </w:rPr>
        <w:t>增幅</w:t>
      </w:r>
      <w:r>
        <w:rPr>
          <w:rFonts w:hint="eastAsia" w:ascii="宋体" w:hAnsi="宋体" w:eastAsia="方正仿宋_GBK" w:cs="宋体"/>
          <w:color w:val="auto"/>
          <w:spacing w:val="0"/>
          <w:kern w:val="2"/>
          <w:sz w:val="32"/>
          <w:szCs w:val="32"/>
          <w:highlight w:val="none"/>
          <w:u w:val="none" w:color="auto"/>
          <w:lang w:val="en-US" w:eastAsia="zh-CN" w:bidi="ar-SA"/>
        </w:rPr>
        <w:t>控制在</w:t>
      </w:r>
      <w:r>
        <w:rPr>
          <w:rFonts w:hint="eastAsia" w:ascii="宋体" w:hAnsi="宋体" w:eastAsia="宋体" w:cs="宋体"/>
          <w:color w:val="auto"/>
          <w:spacing w:val="0"/>
          <w:kern w:val="2"/>
          <w:sz w:val="32"/>
          <w:szCs w:val="32"/>
          <w:highlight w:val="none"/>
          <w:u w:val="none" w:color="auto"/>
          <w:lang w:val="en-US" w:eastAsia="zh-CN" w:bidi="ar-SA"/>
        </w:rPr>
        <w:t>3</w:t>
      </w:r>
      <w:r>
        <w:rPr>
          <w:rFonts w:hint="eastAsia" w:ascii="宋体" w:hAnsi="宋体" w:eastAsia="方正仿宋_GBK" w:cs="宋体"/>
          <w:color w:val="auto"/>
          <w:spacing w:val="0"/>
          <w:kern w:val="2"/>
          <w:sz w:val="32"/>
          <w:szCs w:val="32"/>
          <w:highlight w:val="none"/>
          <w:u w:val="none" w:color="auto"/>
          <w:lang w:val="en-US" w:eastAsia="zh-CN" w:bidi="ar-SA"/>
        </w:rPr>
        <w:t>%左右，新增城镇就业约</w:t>
      </w:r>
      <w:r>
        <w:rPr>
          <w:rFonts w:hint="eastAsia" w:ascii="宋体" w:hAnsi="宋体" w:eastAsia="宋体" w:cs="宋体"/>
          <w:color w:val="auto"/>
          <w:spacing w:val="0"/>
          <w:kern w:val="2"/>
          <w:sz w:val="32"/>
          <w:szCs w:val="32"/>
          <w:highlight w:val="none"/>
          <w:u w:val="none" w:color="auto"/>
          <w:lang w:val="en-US" w:eastAsia="zh-CN" w:bidi="ar-SA"/>
        </w:rPr>
        <w:t>3500</w:t>
      </w:r>
      <w:r>
        <w:rPr>
          <w:rFonts w:hint="eastAsia" w:ascii="宋体" w:hAnsi="宋体" w:eastAsia="方正仿宋_GBK" w:cs="宋体"/>
          <w:color w:val="auto"/>
          <w:spacing w:val="0"/>
          <w:kern w:val="2"/>
          <w:sz w:val="32"/>
          <w:szCs w:val="32"/>
          <w:highlight w:val="none"/>
          <w:u w:val="none" w:color="auto"/>
          <w:lang w:val="en-US" w:eastAsia="zh-CN" w:bidi="ar-SA"/>
        </w:rPr>
        <w:t>人，完成市下达的粮食生产目标任务。</w:t>
      </w:r>
      <w:r>
        <w:rPr>
          <w:rFonts w:ascii="宋体" w:hAnsi="宋体" w:eastAsia="方正仿宋_GBK" w:cs="宋体"/>
          <w:color w:val="auto"/>
          <w:spacing w:val="0"/>
          <w:kern w:val="2"/>
          <w:sz w:val="32"/>
          <w:szCs w:val="32"/>
          <w:highlight w:val="none"/>
          <w:u w:val="none" w:color="auto"/>
          <w:lang w:val="en-US" w:eastAsia="zh-CN" w:bidi="ar-SA"/>
        </w:rPr>
        <w:t>（</w:t>
      </w:r>
      <w:r>
        <w:rPr>
          <w:rFonts w:hint="eastAsia" w:ascii="宋体" w:hAnsi="宋体" w:eastAsia="宋体" w:cs="宋体"/>
          <w:color w:val="auto"/>
          <w:spacing w:val="0"/>
          <w:kern w:val="2"/>
          <w:sz w:val="32"/>
          <w:szCs w:val="32"/>
          <w:highlight w:val="none"/>
          <w:u w:val="none" w:color="auto"/>
          <w:lang w:val="en-US" w:eastAsia="zh-CN" w:bidi="ar-SA"/>
        </w:rPr>
        <w:t>2</w:t>
      </w:r>
      <w:r>
        <w:rPr>
          <w:rFonts w:ascii="宋体" w:hAnsi="宋体" w:eastAsia="方正仿宋_GBK" w:cs="宋体"/>
          <w:color w:val="auto"/>
          <w:spacing w:val="0"/>
          <w:kern w:val="2"/>
          <w:sz w:val="32"/>
          <w:szCs w:val="32"/>
          <w:highlight w:val="none"/>
          <w:u w:val="none" w:color="auto"/>
          <w:lang w:val="en-US" w:eastAsia="zh-CN" w:bidi="ar-SA"/>
        </w:rPr>
        <w:t>）重点建设项目计划。初步计划安排重点建设项目</w:t>
      </w:r>
      <w:r>
        <w:rPr>
          <w:rFonts w:hint="eastAsia" w:ascii="宋体" w:hAnsi="宋体" w:eastAsia="宋体" w:cs="宋体"/>
          <w:color w:val="auto"/>
          <w:spacing w:val="0"/>
          <w:kern w:val="2"/>
          <w:sz w:val="32"/>
          <w:szCs w:val="32"/>
          <w:highlight w:val="none"/>
          <w:u w:val="none" w:color="auto"/>
          <w:lang w:val="en-US" w:eastAsia="zh-CN" w:bidi="ar-SA"/>
        </w:rPr>
        <w:t>74</w:t>
      </w:r>
      <w:r>
        <w:rPr>
          <w:rFonts w:ascii="宋体" w:hAnsi="宋体" w:eastAsia="方正仿宋_GBK" w:cs="宋体"/>
          <w:color w:val="auto"/>
          <w:spacing w:val="0"/>
          <w:kern w:val="2"/>
          <w:sz w:val="32"/>
          <w:szCs w:val="32"/>
          <w:highlight w:val="none"/>
          <w:u w:val="none" w:color="auto"/>
          <w:lang w:val="en-US" w:eastAsia="zh-CN" w:bidi="ar-SA"/>
        </w:rPr>
        <w:t>个，总投资约</w:t>
      </w:r>
      <w:r>
        <w:rPr>
          <w:rFonts w:hint="eastAsia" w:ascii="宋体" w:hAnsi="宋体" w:eastAsia="宋体" w:cs="宋体"/>
          <w:color w:val="auto"/>
          <w:spacing w:val="0"/>
          <w:kern w:val="2"/>
          <w:sz w:val="32"/>
          <w:szCs w:val="32"/>
          <w:highlight w:val="none"/>
          <w:u w:val="none" w:color="auto"/>
          <w:lang w:val="en-US" w:eastAsia="zh-CN" w:bidi="ar-SA"/>
        </w:rPr>
        <w:t>51</w:t>
      </w:r>
      <w:r>
        <w:rPr>
          <w:rFonts w:hint="eastAsia" w:ascii="宋体" w:hAnsi="宋体" w:cs="宋体"/>
          <w:color w:val="auto"/>
          <w:spacing w:val="0"/>
          <w:kern w:val="2"/>
          <w:sz w:val="32"/>
          <w:szCs w:val="32"/>
          <w:highlight w:val="none"/>
          <w:u w:val="none" w:color="auto"/>
          <w:lang w:val="en-US" w:eastAsia="zh-CN" w:bidi="ar-SA"/>
        </w:rPr>
        <w:t>2</w:t>
      </w:r>
      <w:r>
        <w:rPr>
          <w:rFonts w:hint="eastAsia" w:ascii="宋体" w:hAnsi="宋体" w:eastAsia="方正仿宋_GBK" w:cs="宋体"/>
          <w:color w:val="auto"/>
          <w:spacing w:val="0"/>
          <w:kern w:val="2"/>
          <w:sz w:val="32"/>
          <w:szCs w:val="32"/>
          <w:highlight w:val="none"/>
          <w:u w:val="none" w:color="auto"/>
          <w:lang w:val="en-US" w:eastAsia="zh-CN" w:bidi="ar-SA"/>
        </w:rPr>
        <w:t>.</w:t>
      </w:r>
      <w:r>
        <w:rPr>
          <w:rFonts w:hint="eastAsia" w:ascii="宋体" w:hAnsi="宋体" w:eastAsia="宋体" w:cs="宋体"/>
          <w:color w:val="auto"/>
          <w:spacing w:val="0"/>
          <w:kern w:val="2"/>
          <w:sz w:val="32"/>
          <w:szCs w:val="32"/>
          <w:highlight w:val="none"/>
          <w:u w:val="none" w:color="auto"/>
          <w:lang w:val="en-US" w:eastAsia="zh-CN" w:bidi="ar-SA"/>
        </w:rPr>
        <w:t>3</w:t>
      </w:r>
      <w:r>
        <w:rPr>
          <w:rFonts w:ascii="宋体" w:hAnsi="宋体" w:eastAsia="方正仿宋_GBK" w:cs="宋体"/>
          <w:color w:val="auto"/>
          <w:spacing w:val="0"/>
          <w:kern w:val="2"/>
          <w:sz w:val="32"/>
          <w:szCs w:val="32"/>
          <w:highlight w:val="none"/>
          <w:u w:val="none" w:color="auto"/>
          <w:lang w:val="en-US" w:eastAsia="zh-CN" w:bidi="ar-SA"/>
        </w:rPr>
        <w:t>亿元，年度投资约</w:t>
      </w:r>
      <w:r>
        <w:rPr>
          <w:rFonts w:hint="eastAsia" w:ascii="宋体" w:hAnsi="宋体" w:eastAsia="宋体" w:cs="宋体"/>
          <w:color w:val="auto"/>
          <w:spacing w:val="0"/>
          <w:kern w:val="2"/>
          <w:sz w:val="32"/>
          <w:szCs w:val="32"/>
          <w:highlight w:val="none"/>
          <w:u w:val="none" w:color="auto"/>
          <w:lang w:val="en-US" w:eastAsia="zh-CN" w:bidi="ar-SA"/>
        </w:rPr>
        <w:t>5</w:t>
      </w:r>
      <w:r>
        <w:rPr>
          <w:rFonts w:hint="eastAsia" w:ascii="宋体" w:hAnsi="宋体" w:cs="宋体"/>
          <w:color w:val="auto"/>
          <w:spacing w:val="0"/>
          <w:kern w:val="2"/>
          <w:sz w:val="32"/>
          <w:szCs w:val="32"/>
          <w:highlight w:val="none"/>
          <w:u w:val="none" w:color="auto"/>
          <w:lang w:val="en-US" w:eastAsia="zh-CN" w:bidi="ar-SA"/>
        </w:rPr>
        <w:t>4</w:t>
      </w:r>
      <w:r>
        <w:rPr>
          <w:rFonts w:hint="eastAsia" w:ascii="宋体" w:hAnsi="宋体" w:eastAsia="方正仿宋_GBK" w:cs="宋体"/>
          <w:color w:val="auto"/>
          <w:spacing w:val="0"/>
          <w:kern w:val="2"/>
          <w:sz w:val="32"/>
          <w:szCs w:val="32"/>
          <w:highlight w:val="none"/>
          <w:u w:val="none" w:color="auto"/>
          <w:lang w:val="en-US" w:eastAsia="zh-CN" w:bidi="ar-SA"/>
        </w:rPr>
        <w:t>.</w:t>
      </w:r>
      <w:r>
        <w:rPr>
          <w:rFonts w:hint="eastAsia" w:ascii="宋体" w:hAnsi="宋体" w:eastAsia="宋体" w:cs="宋体"/>
          <w:color w:val="auto"/>
          <w:spacing w:val="0"/>
          <w:kern w:val="2"/>
          <w:sz w:val="32"/>
          <w:szCs w:val="32"/>
          <w:highlight w:val="none"/>
          <w:u w:val="none" w:color="auto"/>
          <w:lang w:val="en-US" w:eastAsia="zh-CN" w:bidi="ar-SA"/>
        </w:rPr>
        <w:t>3</w:t>
      </w:r>
      <w:r>
        <w:rPr>
          <w:rFonts w:ascii="宋体" w:hAnsi="宋体" w:eastAsia="方正仿宋_GBK" w:cs="宋体"/>
          <w:color w:val="auto"/>
          <w:spacing w:val="0"/>
          <w:kern w:val="2"/>
          <w:sz w:val="32"/>
          <w:szCs w:val="32"/>
          <w:highlight w:val="none"/>
          <w:u w:val="none" w:color="auto"/>
          <w:lang w:val="en-US" w:eastAsia="zh-CN" w:bidi="ar-SA"/>
        </w:rPr>
        <w:t>亿元；重点前期预备项目</w:t>
      </w:r>
      <w:r>
        <w:rPr>
          <w:rFonts w:hint="default" w:ascii="宋体" w:hAnsi="宋体" w:eastAsia="宋体" w:cs="宋体"/>
          <w:color w:val="auto"/>
          <w:spacing w:val="0"/>
          <w:kern w:val="2"/>
          <w:sz w:val="32"/>
          <w:szCs w:val="32"/>
          <w:highlight w:val="none"/>
          <w:u w:val="none" w:color="auto"/>
          <w:lang w:val="en-US" w:eastAsia="zh-CN" w:bidi="ar-SA"/>
        </w:rPr>
        <w:t>7</w:t>
      </w:r>
      <w:r>
        <w:rPr>
          <w:rFonts w:ascii="宋体" w:hAnsi="宋体" w:eastAsia="方正仿宋_GBK" w:cs="宋体"/>
          <w:color w:val="auto"/>
          <w:spacing w:val="0"/>
          <w:kern w:val="2"/>
          <w:sz w:val="32"/>
          <w:szCs w:val="32"/>
          <w:highlight w:val="none"/>
          <w:u w:val="none" w:color="auto"/>
          <w:lang w:val="en-US" w:eastAsia="zh-CN" w:bidi="ar-SA"/>
        </w:rPr>
        <w:t>个，估算总投资约</w:t>
      </w:r>
      <w:r>
        <w:rPr>
          <w:rFonts w:hint="eastAsia" w:ascii="宋体" w:hAnsi="宋体" w:eastAsia="宋体" w:cs="宋体"/>
          <w:color w:val="auto"/>
          <w:spacing w:val="0"/>
          <w:kern w:val="2"/>
          <w:sz w:val="32"/>
          <w:szCs w:val="32"/>
          <w:highlight w:val="none"/>
          <w:u w:val="none" w:color="auto"/>
          <w:lang w:val="en-US" w:eastAsia="zh-CN" w:bidi="ar-SA"/>
        </w:rPr>
        <w:t>4</w:t>
      </w:r>
      <w:r>
        <w:rPr>
          <w:rFonts w:hint="default" w:ascii="宋体" w:hAnsi="宋体" w:eastAsia="宋体" w:cs="宋体"/>
          <w:color w:val="auto"/>
          <w:spacing w:val="0"/>
          <w:kern w:val="2"/>
          <w:sz w:val="32"/>
          <w:szCs w:val="32"/>
          <w:highlight w:val="none"/>
          <w:u w:val="none" w:color="auto"/>
          <w:lang w:val="en-US" w:eastAsia="zh-CN" w:bidi="ar-SA"/>
        </w:rPr>
        <w:t>3</w:t>
      </w:r>
      <w:r>
        <w:rPr>
          <w:rFonts w:hint="eastAsia" w:ascii="宋体" w:hAnsi="宋体" w:eastAsia="方正仿宋_GBK" w:cs="宋体"/>
          <w:color w:val="auto"/>
          <w:spacing w:val="0"/>
          <w:kern w:val="2"/>
          <w:sz w:val="32"/>
          <w:szCs w:val="32"/>
          <w:highlight w:val="none"/>
          <w:u w:val="none" w:color="auto"/>
          <w:lang w:val="en-US" w:eastAsia="zh-CN" w:bidi="ar-SA"/>
        </w:rPr>
        <w:t>.</w:t>
      </w:r>
      <w:r>
        <w:rPr>
          <w:rFonts w:hint="eastAsia" w:ascii="宋体" w:hAnsi="宋体" w:eastAsia="宋体" w:cs="宋体"/>
          <w:color w:val="auto"/>
          <w:spacing w:val="0"/>
          <w:kern w:val="2"/>
          <w:sz w:val="32"/>
          <w:szCs w:val="32"/>
          <w:highlight w:val="none"/>
          <w:u w:val="none" w:color="auto"/>
          <w:lang w:val="en-US" w:eastAsia="zh-CN" w:bidi="ar-SA"/>
        </w:rPr>
        <w:t>7</w:t>
      </w:r>
      <w:r>
        <w:rPr>
          <w:rFonts w:ascii="宋体" w:hAnsi="宋体" w:eastAsia="方正仿宋_GBK" w:cs="宋体"/>
          <w:color w:val="auto"/>
          <w:spacing w:val="0"/>
          <w:kern w:val="2"/>
          <w:sz w:val="32"/>
          <w:szCs w:val="32"/>
          <w:highlight w:val="none"/>
          <w:u w:val="none" w:color="auto"/>
          <w:lang w:val="en-US" w:eastAsia="zh-CN" w:bidi="ar-SA"/>
        </w:rPr>
        <w:t>亿元。</w:t>
      </w:r>
    </w:p>
    <w:p w14:paraId="61D1DE3D">
      <w:pPr>
        <w:keepNext w:val="0"/>
        <w:keepLines w:val="0"/>
        <w:pageBreakBefore w:val="0"/>
        <w:widowControl w:val="0"/>
        <w:kinsoku/>
        <w:wordWrap/>
        <w:overflowPunct/>
        <w:topLinePunct w:val="0"/>
        <w:autoSpaceDE/>
        <w:autoSpaceDN/>
        <w:bidi w:val="0"/>
        <w:spacing w:line="600" w:lineRule="exact"/>
        <w:ind w:left="0" w:firstLine="640" w:firstLineChars="200"/>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仿宋_GBK" w:cs="Times New Roman"/>
          <w:b w:val="0"/>
          <w:bCs w:val="0"/>
          <w:color w:val="auto"/>
          <w:spacing w:val="0"/>
          <w:sz w:val="32"/>
          <w:szCs w:val="32"/>
          <w:highlight w:val="none"/>
          <w:lang w:val="en-US" w:eastAsia="zh-CN"/>
        </w:rPr>
        <w:t>为推动实现</w:t>
      </w:r>
      <w:r>
        <w:rPr>
          <w:rFonts w:hint="eastAsia" w:ascii="宋体" w:hAnsi="宋体" w:eastAsia="宋体" w:cs="宋体"/>
          <w:b w:val="0"/>
          <w:bCs w:val="0"/>
          <w:color w:val="auto"/>
          <w:spacing w:val="0"/>
          <w:sz w:val="32"/>
          <w:szCs w:val="32"/>
          <w:highlight w:val="none"/>
          <w:lang w:val="en-US" w:eastAsia="zh-CN"/>
        </w:rPr>
        <w:t>2025</w:t>
      </w:r>
      <w:r>
        <w:rPr>
          <w:rFonts w:hint="eastAsia" w:ascii="宋体" w:hAnsi="宋体" w:eastAsia="方正仿宋_GBK" w:cs="Times New Roman"/>
          <w:b w:val="0"/>
          <w:bCs w:val="0"/>
          <w:color w:val="auto"/>
          <w:spacing w:val="0"/>
          <w:sz w:val="32"/>
          <w:szCs w:val="32"/>
          <w:highlight w:val="none"/>
          <w:lang w:val="en-US" w:eastAsia="zh-CN"/>
        </w:rPr>
        <w:t>年国民经济和社会发展预期目标，计划重点做好以下八方面工作：</w:t>
      </w:r>
    </w:p>
    <w:p w14:paraId="0871F33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黑体" w:cs="黑体"/>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一、统筹推进“百千万工程”，奋力实现“三年初见成效”</w:t>
      </w:r>
    </w:p>
    <w:p w14:paraId="77487F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（一）强化区域发展基础</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pacing w:val="0"/>
          <w:sz w:val="32"/>
          <w:szCs w:val="32"/>
          <w:highlight w:val="none"/>
          <w:u w:val="none" w:color="auto"/>
          <w:lang w:val="en-US" w:eastAsia="zh-CN"/>
        </w:rPr>
        <w:t>谋划布局新型基础设施建设，启动</w:t>
      </w:r>
      <w:r>
        <w:rPr>
          <w:rFonts w:hint="eastAsia" w:ascii="宋体" w:hAnsi="宋体" w:eastAsia="宋体" w:cs="宋体"/>
          <w:color w:val="auto"/>
          <w:spacing w:val="0"/>
          <w:sz w:val="32"/>
          <w:szCs w:val="32"/>
          <w:highlight w:val="none"/>
          <w:u w:val="none" w:color="auto"/>
          <w:lang w:val="en-US" w:eastAsia="zh-CN"/>
        </w:rPr>
        <w:t>32</w:t>
      </w:r>
      <w:r>
        <w:rPr>
          <w:rFonts w:hint="eastAsia" w:ascii="宋体" w:hAnsi="宋体" w:eastAsia="方正仿宋_GBK" w:cs="方正仿宋_GBK"/>
          <w:color w:val="auto"/>
          <w:spacing w:val="0"/>
          <w:sz w:val="32"/>
          <w:szCs w:val="32"/>
          <w:highlight w:val="none"/>
          <w:u w:val="none" w:color="auto"/>
          <w:lang w:val="en-US" w:eastAsia="zh-CN"/>
        </w:rPr>
        <w:t>个老旧小区改造，稳步推进城中村改造项目，加快智慧社区、智慧交通、智慧水务等智慧城市建设，有序推进城区微空间微改造，着力建设现代化中心城区。深化源城区综合网格治理平台应用推广，扎实开展“两违”“六乱”专项整治，</w:t>
      </w:r>
      <w:r>
        <w:rPr>
          <w:rFonts w:hint="eastAsia" w:ascii="宋体" w:hAnsi="宋体" w:eastAsia="方正仿宋_GBK" w:cs="Times New Roman"/>
          <w:color w:val="auto"/>
          <w:spacing w:val="0"/>
          <w:sz w:val="32"/>
          <w:szCs w:val="32"/>
          <w:highlight w:val="none"/>
          <w:lang w:val="en-US" w:eastAsia="zh-CN"/>
        </w:rPr>
        <w:t>加快补齐公共服务设施、市政公用设施和环境基础设施等领域短板，用好用活智慧停车、屋顶分布式光伏发电、城市广告等资源资产，</w:t>
      </w:r>
      <w:r>
        <w:rPr>
          <w:rFonts w:hint="eastAsia" w:ascii="宋体" w:hAnsi="宋体" w:eastAsia="方正仿宋_GBK" w:cs="方正仿宋_GBK"/>
          <w:color w:val="auto"/>
          <w:spacing w:val="0"/>
          <w:sz w:val="32"/>
          <w:szCs w:val="32"/>
          <w:highlight w:val="none"/>
          <w:u w:val="none" w:color="auto"/>
          <w:lang w:val="en-US" w:eastAsia="zh-CN"/>
        </w:rPr>
        <w:t>稳步提升科学化精细化智能化管理水平。加大力度推进全域土地综合整治，优化空间布局，大力盘活存量土地和低效用地，增强经济发展的土地要素保障。</w:t>
      </w:r>
    </w:p>
    <w:p w14:paraId="34B5D1D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firstLine="640" w:firstLineChars="200"/>
        <w:jc w:val="both"/>
        <w:textAlignment w:val="auto"/>
        <w:rPr>
          <w:rFonts w:hint="eastAsia" w:ascii="宋体" w:hAnsi="宋体" w:eastAsia="方正仿宋_GBK" w:cs="方正仿宋_GBK"/>
          <w:color w:val="auto"/>
          <w:sz w:val="32"/>
          <w:szCs w:val="32"/>
          <w:highlight w:val="none"/>
          <w:u w:val="none" w:color="auto"/>
          <w:lang w:val="en-US" w:eastAsia="zh-CN"/>
        </w:rPr>
      </w:pPr>
      <w:r>
        <w:rPr>
          <w:rFonts w:hint="eastAsia" w:ascii="宋体" w:hAnsi="宋体" w:eastAsia="方正楷体_GBK" w:cs="方正楷体_GBK"/>
          <w:b w:val="0"/>
          <w:bCs w:val="0"/>
          <w:color w:val="auto"/>
          <w:spacing w:val="0"/>
          <w:sz w:val="32"/>
          <w:szCs w:val="32"/>
          <w:highlight w:val="none"/>
          <w:lang w:val="en-US" w:eastAsia="zh-CN"/>
        </w:rPr>
        <w:t>（二）建强乡镇联城带村节点功能</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z w:val="32"/>
          <w:szCs w:val="32"/>
          <w:highlight w:val="none"/>
          <w:u w:val="none" w:color="auto"/>
          <w:lang w:val="en-US" w:eastAsia="zh-CN"/>
        </w:rPr>
        <w:t>抓实埔前镇典型培育，做优做活源南镇工业类专业镇，</w:t>
      </w:r>
      <w:r>
        <w:rPr>
          <w:rFonts w:hint="eastAsia" w:ascii="宋体" w:hAnsi="宋体" w:eastAsia="方正仿宋_GBK" w:cs="方正仿宋_GBK"/>
          <w:color w:val="auto"/>
          <w:kern w:val="0"/>
          <w:sz w:val="31"/>
          <w:szCs w:val="31"/>
          <w:highlight w:val="none"/>
          <w:u w:val="none" w:color="auto"/>
          <w:lang w:val="en-US" w:eastAsia="zh-CN" w:bidi="ar-SA"/>
        </w:rPr>
        <w:t>深化美丽圩镇“七个一”建设，统筹推进圩镇基础设施融合发展，着力构建完善的服务圈、兴旺的商业圈、便捷的生活圈。聚焦服务提质扩容，</w:t>
      </w:r>
      <w:r>
        <w:rPr>
          <w:rFonts w:hint="eastAsia" w:ascii="宋体" w:hAnsi="宋体" w:eastAsia="方正仿宋_GBK" w:cs="Times New Roman"/>
          <w:color w:val="auto"/>
          <w:spacing w:val="0"/>
          <w:sz w:val="32"/>
          <w:szCs w:val="32"/>
          <w:highlight w:val="none"/>
          <w:lang w:val="en-US" w:eastAsia="zh-CN"/>
        </w:rPr>
        <w:t>有序推进央企国企助力“百千万工程”第二批项目建设，</w:t>
      </w:r>
      <w:r>
        <w:rPr>
          <w:rFonts w:hint="eastAsia" w:ascii="宋体" w:hAnsi="宋体" w:eastAsia="方正仿宋_GBK" w:cs="方正仿宋_GBK"/>
          <w:color w:val="auto"/>
          <w:kern w:val="0"/>
          <w:sz w:val="31"/>
          <w:szCs w:val="31"/>
          <w:highlight w:val="none"/>
          <w:u w:val="none" w:color="auto"/>
          <w:lang w:val="en-US" w:eastAsia="zh-CN" w:bidi="ar-SA"/>
        </w:rPr>
        <w:t>做优已有特色民宿、酒店，推动美丽圩镇综合服务功能和承载力提档升级。继续深入推进</w:t>
      </w:r>
      <w:r>
        <w:rPr>
          <w:rFonts w:hint="eastAsia" w:ascii="宋体" w:hAnsi="宋体" w:eastAsia="方正仿宋_GBK" w:cs="方正仿宋_GBK"/>
          <w:color w:val="auto"/>
          <w:sz w:val="32"/>
          <w:szCs w:val="32"/>
          <w:highlight w:val="none"/>
          <w:u w:val="none" w:color="auto"/>
          <w:lang w:val="en-US" w:eastAsia="zh-CN"/>
        </w:rPr>
        <w:t>乡村振兴示范带建设，串联起旅游资源、农特产品等资源，催生更多特色产业强村、生态宜居美村。</w:t>
      </w:r>
    </w:p>
    <w:p w14:paraId="7BE631D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firstLine="640" w:firstLineChars="200"/>
        <w:jc w:val="both"/>
        <w:textAlignment w:val="auto"/>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（三）加快建设和美乡村</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z w:val="32"/>
          <w:szCs w:val="32"/>
          <w:highlight w:val="none"/>
          <w:u w:val="none" w:color="auto"/>
          <w:lang w:val="en-US" w:eastAsia="zh-CN"/>
        </w:rPr>
        <w:t>按照“多规合一”实用性规划编制要求，结合村庄现状与发展方向，优化村庄分类和布局，着力实现村庄规划全覆盖。整合综合帮扶力量，统筹各类惠农项目、对口帮扶资金、优惠政策等资源，精心谋划一批强基础、利长远、能造血的项目，打造更多“百万村”，助力全区村集体经济收入</w:t>
      </w:r>
      <w:r>
        <w:rPr>
          <w:rFonts w:hint="eastAsia" w:ascii="宋体" w:hAnsi="宋体" w:eastAsia="宋体" w:cs="宋体"/>
          <w:color w:val="auto"/>
          <w:sz w:val="32"/>
          <w:szCs w:val="32"/>
          <w:highlight w:val="none"/>
          <w:u w:val="none" w:color="auto"/>
          <w:lang w:val="en-US" w:eastAsia="zh-CN"/>
        </w:rPr>
        <w:t>2025</w:t>
      </w:r>
      <w:r>
        <w:rPr>
          <w:rFonts w:hint="eastAsia" w:ascii="宋体" w:hAnsi="宋体" w:eastAsia="方正仿宋_GBK" w:cs="方正仿宋_GBK"/>
          <w:color w:val="auto"/>
          <w:sz w:val="32"/>
          <w:szCs w:val="32"/>
          <w:highlight w:val="none"/>
          <w:u w:val="none" w:color="auto"/>
          <w:lang w:val="en-US" w:eastAsia="zh-CN"/>
        </w:rPr>
        <w:t>年突破</w:t>
      </w:r>
      <w:r>
        <w:rPr>
          <w:rFonts w:hint="eastAsia" w:ascii="宋体" w:hAnsi="宋体" w:eastAsia="宋体" w:cs="宋体"/>
          <w:color w:val="auto"/>
          <w:sz w:val="32"/>
          <w:szCs w:val="32"/>
          <w:highlight w:val="none"/>
          <w:u w:val="none" w:color="auto"/>
          <w:lang w:val="en-US" w:eastAsia="zh-CN"/>
        </w:rPr>
        <w:t>4700</w:t>
      </w:r>
      <w:r>
        <w:rPr>
          <w:rFonts w:hint="eastAsia" w:ascii="宋体" w:hAnsi="宋体" w:eastAsia="方正仿宋_GBK" w:cs="方正仿宋_GBK"/>
          <w:color w:val="auto"/>
          <w:sz w:val="32"/>
          <w:szCs w:val="32"/>
          <w:highlight w:val="none"/>
          <w:u w:val="none" w:color="auto"/>
          <w:lang w:val="en-US" w:eastAsia="zh-CN"/>
        </w:rPr>
        <w:t>万元、增长</w:t>
      </w:r>
      <w:r>
        <w:rPr>
          <w:rFonts w:hint="eastAsia" w:ascii="宋体" w:hAnsi="宋体" w:eastAsia="宋体" w:cs="宋体"/>
          <w:color w:val="auto"/>
          <w:sz w:val="32"/>
          <w:szCs w:val="32"/>
          <w:highlight w:val="none"/>
          <w:u w:val="none" w:color="auto"/>
          <w:lang w:val="en-US" w:eastAsia="zh-CN"/>
        </w:rPr>
        <w:t>5</w:t>
      </w:r>
      <w:r>
        <w:rPr>
          <w:rFonts w:hint="eastAsia" w:ascii="宋体" w:hAnsi="宋体" w:eastAsia="方正仿宋_GBK" w:cs="方正仿宋_GBK"/>
          <w:color w:val="auto"/>
          <w:sz w:val="32"/>
          <w:szCs w:val="32"/>
          <w:highlight w:val="none"/>
          <w:u w:val="none" w:color="auto"/>
          <w:lang w:val="en-US" w:eastAsia="zh-CN"/>
        </w:rPr>
        <w:t>%以上。</w:t>
      </w:r>
      <w:r>
        <w:rPr>
          <w:rFonts w:ascii="宋体" w:hAnsi="宋体" w:eastAsia="方正仿宋_GBK" w:cs="方正仿宋_GBK"/>
          <w:color w:val="auto"/>
          <w:kern w:val="0"/>
          <w:sz w:val="31"/>
          <w:szCs w:val="31"/>
          <w:highlight w:val="none"/>
          <w:u w:val="none" w:color="auto"/>
          <w:lang w:val="en-US" w:eastAsia="zh-CN" w:bidi="ar-SA"/>
        </w:rPr>
        <w:t>深入实施农村人居环境整治提升</w:t>
      </w:r>
      <w:r>
        <w:rPr>
          <w:rFonts w:hint="eastAsia" w:ascii="宋体" w:hAnsi="宋体" w:eastAsia="方正仿宋_GBK" w:cs="方正仿宋_GBK"/>
          <w:color w:val="auto"/>
          <w:kern w:val="0"/>
          <w:sz w:val="31"/>
          <w:szCs w:val="31"/>
          <w:highlight w:val="none"/>
          <w:u w:val="none" w:color="auto"/>
          <w:lang w:val="en-US" w:eastAsia="zh-CN" w:bidi="ar-SA"/>
        </w:rPr>
        <w:t>五年行动，因地制宜健全农村人居环境长效管护机制，持续改善镇村风貌和人居环境，统筹推进农房改造、管线序化和村道提升，高质量建设好陂角村、白田村等省级典型村，新培育一批典型村（社区）。扎实推进农村厕所、垃圾处理和生活污水“三大革命”，加大力度推进农村生活污水治理，力争自然村污水治理率达</w:t>
      </w:r>
      <w:r>
        <w:rPr>
          <w:rFonts w:hint="eastAsia" w:ascii="宋体" w:hAnsi="宋体" w:eastAsia="宋体" w:cs="宋体"/>
          <w:color w:val="auto"/>
          <w:kern w:val="0"/>
          <w:sz w:val="31"/>
          <w:szCs w:val="31"/>
          <w:highlight w:val="none"/>
          <w:u w:val="none" w:color="auto"/>
          <w:lang w:val="en-US" w:eastAsia="zh-CN" w:bidi="ar-SA"/>
        </w:rPr>
        <w:t>87</w:t>
      </w:r>
      <w:r>
        <w:rPr>
          <w:rFonts w:hint="eastAsia" w:ascii="宋体" w:hAnsi="宋体" w:eastAsia="方正仿宋_GBK" w:cs="方正仿宋_GBK"/>
          <w:color w:val="auto"/>
          <w:kern w:val="0"/>
          <w:sz w:val="31"/>
          <w:szCs w:val="31"/>
          <w:highlight w:val="none"/>
          <w:u w:val="none" w:color="auto"/>
          <w:lang w:val="en-US" w:eastAsia="zh-CN" w:bidi="ar-SA"/>
        </w:rPr>
        <w:t>%以上。持续深化农村精神文明建设，大力推进移风易俗，健全完善乡村治理体系，充分发挥村规民约、居民公约、家庭家教家风建设在基层治理中的作用，不断提升基层治理能力和水平。</w:t>
      </w:r>
    </w:p>
    <w:p w14:paraId="517A22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6"/>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（四）发展壮大都市农业</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全面落实耕地保护和粮食安全党政同责，加大耕地撂荒治理力度，确保粮食播种面积稳定在</w:t>
      </w:r>
      <w:r>
        <w:rPr>
          <w:rFonts w:hint="eastAsia" w:ascii="宋体" w:hAnsi="宋体" w:eastAsia="宋体" w:cs="宋体"/>
          <w:color w:val="auto"/>
          <w:spacing w:val="0"/>
          <w:sz w:val="32"/>
          <w:szCs w:val="32"/>
          <w:highlight w:val="none"/>
          <w:lang w:val="en-US" w:eastAsia="zh-CN"/>
        </w:rPr>
        <w:t>2</w:t>
      </w:r>
      <w:r>
        <w:rPr>
          <w:rFonts w:hint="eastAsia" w:ascii="宋体" w:hAnsi="宋体" w:eastAsia="方正仿宋_GBK" w:cs="Times New Roman"/>
          <w:color w:val="auto"/>
          <w:spacing w:val="0"/>
          <w:sz w:val="32"/>
          <w:szCs w:val="32"/>
          <w:highlight w:val="none"/>
          <w:lang w:val="en-US" w:eastAsia="zh-CN"/>
        </w:rPr>
        <w:t>.</w:t>
      </w:r>
      <w:r>
        <w:rPr>
          <w:rFonts w:hint="eastAsia" w:ascii="宋体" w:hAnsi="宋体" w:eastAsia="宋体" w:cs="宋体"/>
          <w:color w:val="auto"/>
          <w:spacing w:val="0"/>
          <w:sz w:val="32"/>
          <w:szCs w:val="32"/>
          <w:highlight w:val="none"/>
          <w:lang w:val="en-US" w:eastAsia="zh-CN"/>
        </w:rPr>
        <w:t>85</w:t>
      </w:r>
      <w:r>
        <w:rPr>
          <w:rFonts w:hint="eastAsia" w:ascii="宋体" w:hAnsi="宋体" w:eastAsia="方正仿宋_GBK" w:cs="Times New Roman"/>
          <w:color w:val="auto"/>
          <w:spacing w:val="0"/>
          <w:sz w:val="32"/>
          <w:szCs w:val="32"/>
          <w:highlight w:val="none"/>
          <w:lang w:val="en-US" w:eastAsia="zh-CN"/>
        </w:rPr>
        <w:t>万亩以上。</w:t>
      </w:r>
      <w:r>
        <w:rPr>
          <w:rFonts w:hint="eastAsia" w:ascii="宋体" w:hAnsi="宋体" w:eastAsia="方正仿宋_GBK" w:cs="方正仿宋_GBK"/>
          <w:color w:val="auto"/>
          <w:sz w:val="32"/>
          <w:szCs w:val="40"/>
          <w:highlight w:val="none"/>
        </w:rPr>
        <w:t>深入实施农业龙头企业培优工程，</w:t>
      </w:r>
      <w:r>
        <w:rPr>
          <w:rFonts w:hint="eastAsia" w:ascii="宋体" w:hAnsi="宋体" w:eastAsia="方正仿宋_GBK" w:cs="方正仿宋_GBK"/>
          <w:color w:val="auto"/>
          <w:sz w:val="32"/>
          <w:szCs w:val="32"/>
          <w:highlight w:val="none"/>
          <w:u w:val="none"/>
          <w:lang w:val="en-US" w:eastAsia="zh-CN"/>
        </w:rPr>
        <w:t>持续提升蔬菜产业园和畜禽产业园建设水平，培育壮大有机果蔬、生态畜禽等主导产业</w:t>
      </w:r>
      <w:r>
        <w:rPr>
          <w:rFonts w:hint="eastAsia" w:ascii="宋体" w:hAnsi="宋体" w:eastAsia="方正仿宋_GBK"/>
          <w:color w:val="auto"/>
          <w:sz w:val="32"/>
          <w:szCs w:val="32"/>
          <w:highlight w:val="none"/>
        </w:rPr>
        <w:t>，推动</w:t>
      </w:r>
      <w:r>
        <w:rPr>
          <w:rFonts w:hint="eastAsia" w:ascii="宋体" w:hAnsi="宋体" w:eastAsia="方正仿宋_GBK"/>
          <w:color w:val="auto"/>
          <w:sz w:val="32"/>
          <w:szCs w:val="32"/>
          <w:highlight w:val="none"/>
          <w:lang w:eastAsia="zh-CN"/>
        </w:rPr>
        <w:t>“</w:t>
      </w:r>
      <w:r>
        <w:rPr>
          <w:rFonts w:hint="eastAsia" w:ascii="宋体" w:hAnsi="宋体" w:eastAsia="方正仿宋_GBK"/>
          <w:color w:val="auto"/>
          <w:sz w:val="32"/>
          <w:szCs w:val="32"/>
          <w:highlight w:val="none"/>
        </w:rPr>
        <w:t>温氏</w:t>
      </w:r>
      <w:r>
        <w:rPr>
          <w:rFonts w:hint="eastAsia" w:ascii="宋体" w:hAnsi="宋体" w:eastAsia="方正仿宋_GBK"/>
          <w:color w:val="auto"/>
          <w:sz w:val="32"/>
          <w:szCs w:val="32"/>
          <w:highlight w:val="none"/>
          <w:lang w:val="en-US" w:eastAsia="zh-CN"/>
        </w:rPr>
        <w:t>畜禽</w:t>
      </w:r>
      <w:r>
        <w:rPr>
          <w:rFonts w:hint="eastAsia" w:ascii="宋体" w:hAnsi="宋体" w:eastAsia="方正仿宋_GBK"/>
          <w:color w:val="auto"/>
          <w:sz w:val="32"/>
          <w:szCs w:val="32"/>
          <w:highlight w:val="none"/>
          <w:lang w:eastAsia="zh-CN"/>
        </w:rPr>
        <w:t>”</w:t>
      </w:r>
      <w:r>
        <w:rPr>
          <w:rFonts w:hint="eastAsia" w:ascii="宋体" w:hAnsi="宋体" w:eastAsia="方正仿宋_GBK"/>
          <w:color w:val="auto"/>
          <w:sz w:val="32"/>
          <w:szCs w:val="32"/>
          <w:highlight w:val="none"/>
        </w:rPr>
        <w:t>高效</w:t>
      </w:r>
      <w:r>
        <w:rPr>
          <w:rFonts w:hint="eastAsia" w:ascii="宋体" w:hAnsi="宋体" w:eastAsia="方正仿宋_GBK"/>
          <w:color w:val="auto"/>
          <w:sz w:val="32"/>
          <w:szCs w:val="32"/>
          <w:highlight w:val="none"/>
          <w:lang w:val="en-US" w:eastAsia="zh-CN"/>
        </w:rPr>
        <w:t>生态</w:t>
      </w:r>
      <w:r>
        <w:rPr>
          <w:rFonts w:hint="eastAsia" w:ascii="宋体" w:hAnsi="宋体" w:eastAsia="方正仿宋_GBK"/>
          <w:color w:val="auto"/>
          <w:sz w:val="32"/>
          <w:szCs w:val="32"/>
          <w:highlight w:val="none"/>
        </w:rPr>
        <w:t>养殖</w:t>
      </w:r>
      <w:r>
        <w:rPr>
          <w:rFonts w:hint="eastAsia" w:ascii="宋体" w:hAnsi="宋体" w:eastAsia="方正仿宋_GBK"/>
          <w:color w:val="auto"/>
          <w:sz w:val="32"/>
          <w:szCs w:val="32"/>
          <w:highlight w:val="none"/>
          <w:lang w:val="en-US" w:eastAsia="zh-CN"/>
        </w:rPr>
        <w:t>示范</w:t>
      </w:r>
      <w:r>
        <w:rPr>
          <w:rFonts w:hint="eastAsia" w:ascii="宋体" w:hAnsi="宋体" w:eastAsia="方正仿宋_GBK"/>
          <w:color w:val="auto"/>
          <w:sz w:val="32"/>
          <w:szCs w:val="32"/>
          <w:highlight w:val="none"/>
        </w:rPr>
        <w:t>小区全面</w:t>
      </w:r>
      <w:r>
        <w:rPr>
          <w:rFonts w:hint="eastAsia" w:ascii="宋体" w:hAnsi="宋体" w:eastAsia="方正仿宋_GBK"/>
          <w:color w:val="auto"/>
          <w:sz w:val="32"/>
          <w:szCs w:val="32"/>
          <w:highlight w:val="none"/>
          <w:lang w:val="en-US" w:eastAsia="zh-CN"/>
        </w:rPr>
        <w:t>达</w:t>
      </w:r>
      <w:r>
        <w:rPr>
          <w:rFonts w:hint="eastAsia" w:ascii="宋体" w:hAnsi="宋体" w:eastAsia="方正仿宋_GBK"/>
          <w:color w:val="auto"/>
          <w:sz w:val="32"/>
          <w:szCs w:val="32"/>
          <w:highlight w:val="none"/>
        </w:rPr>
        <w:t>产</w:t>
      </w:r>
      <w:r>
        <w:rPr>
          <w:rFonts w:hint="eastAsia" w:ascii="宋体" w:hAnsi="宋体" w:eastAsia="方正仿宋_GBK"/>
          <w:color w:val="auto"/>
          <w:sz w:val="32"/>
          <w:szCs w:val="32"/>
          <w:highlight w:val="none"/>
          <w:lang w:eastAsia="zh-CN"/>
        </w:rPr>
        <w:t>，</w:t>
      </w:r>
      <w:r>
        <w:rPr>
          <w:rFonts w:hint="eastAsia" w:ascii="宋体" w:hAnsi="宋体" w:eastAsia="方正仿宋_GBK"/>
          <w:color w:val="auto"/>
          <w:sz w:val="32"/>
          <w:szCs w:val="32"/>
          <w:highlight w:val="none"/>
          <w:lang w:val="en-US" w:eastAsia="zh-CN"/>
        </w:rPr>
        <w:t>发展油茶、食用菌等特色优势农产品精深加工业</w:t>
      </w:r>
      <w:r>
        <w:rPr>
          <w:rFonts w:hint="eastAsia" w:ascii="宋体" w:hAnsi="宋体" w:eastAsia="方正仿宋_GBK" w:cs="方正仿宋_GBK"/>
          <w:color w:val="auto"/>
          <w:sz w:val="32"/>
          <w:szCs w:val="32"/>
          <w:highlight w:val="none"/>
          <w:u w:val="none" w:color="auto"/>
          <w:lang w:val="en-US" w:eastAsia="zh-CN"/>
        </w:rPr>
        <w:t>，推动“河源五指毛桃”成功申报国家地理标志产品。加快</w:t>
      </w:r>
      <w:r>
        <w:rPr>
          <w:rFonts w:hint="eastAsia" w:ascii="宋体" w:hAnsi="宋体" w:eastAsia="方正仿宋_GBK" w:cs="方正仿宋_GBK"/>
          <w:color w:val="auto"/>
          <w:sz w:val="32"/>
          <w:szCs w:val="32"/>
          <w:highlight w:val="none"/>
          <w:u w:val="none" w:color="auto"/>
        </w:rPr>
        <w:t>城乡冷链物流网络布局，完善畜禽、蔬菜省级现代农业产业园和“菜篮子”基地冷链仓储设施设备</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color="auto"/>
        </w:rPr>
        <w:t>扎实推进源城区冷链物流基础设施、绿色农产品冷链物流及生产供应基地、区镇一体化冷链仓储配送中心等项目建设</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lang w:val="en-US" w:eastAsia="zh-CN"/>
        </w:rPr>
        <w:t>深入推进农旅融合</w:t>
      </w:r>
      <w:r>
        <w:rPr>
          <w:rFonts w:hint="eastAsia" w:ascii="宋体" w:hAnsi="宋体" w:eastAsia="方正仿宋_GBK" w:cs="方正仿宋_GBK"/>
          <w:color w:val="auto"/>
          <w:sz w:val="32"/>
          <w:szCs w:val="32"/>
          <w:highlight w:val="none"/>
          <w:u w:val="none" w:color="auto"/>
        </w:rPr>
        <w:t>，打造源城特色的五指毛桃“康养IP”，推动现代农业</w:t>
      </w:r>
      <w:r>
        <w:rPr>
          <w:rFonts w:hint="eastAsia" w:ascii="宋体" w:hAnsi="宋体" w:eastAsia="方正仿宋_GBK" w:cs="方正仿宋_GBK"/>
          <w:color w:val="auto"/>
          <w:sz w:val="32"/>
          <w:szCs w:val="32"/>
          <w:highlight w:val="none"/>
          <w:u w:val="none" w:color="auto"/>
          <w:lang w:eastAsia="zh-CN"/>
        </w:rPr>
        <w:t>与</w:t>
      </w:r>
      <w:r>
        <w:rPr>
          <w:rFonts w:hint="eastAsia" w:ascii="宋体" w:hAnsi="宋体" w:eastAsia="方正仿宋_GBK" w:cs="方正仿宋_GBK"/>
          <w:color w:val="auto"/>
          <w:sz w:val="32"/>
          <w:szCs w:val="32"/>
          <w:highlight w:val="none"/>
          <w:u w:val="none" w:color="auto"/>
        </w:rPr>
        <w:t>冷链物流</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color="auto"/>
        </w:rPr>
        <w:t>电子商务、商贸零售</w:t>
      </w:r>
      <w:r>
        <w:rPr>
          <w:rFonts w:hint="eastAsia" w:ascii="宋体" w:hAnsi="宋体" w:eastAsia="方正仿宋_GBK" w:cs="方正仿宋_GBK"/>
          <w:color w:val="auto"/>
          <w:sz w:val="32"/>
          <w:szCs w:val="32"/>
          <w:highlight w:val="none"/>
          <w:u w:val="none" w:color="auto"/>
          <w:lang w:eastAsia="zh-CN"/>
        </w:rPr>
        <w:t>等产业</w:t>
      </w:r>
      <w:r>
        <w:rPr>
          <w:rFonts w:hint="eastAsia" w:ascii="宋体" w:hAnsi="宋体" w:eastAsia="方正仿宋_GBK" w:cs="方正仿宋_GBK"/>
          <w:color w:val="auto"/>
          <w:sz w:val="32"/>
          <w:szCs w:val="32"/>
          <w:highlight w:val="none"/>
          <w:u w:val="none" w:color="auto"/>
        </w:rPr>
        <w:t>融合发展，打造</w:t>
      </w:r>
      <w:r>
        <w:rPr>
          <w:rFonts w:hint="eastAsia" w:ascii="宋体" w:hAnsi="宋体" w:eastAsia="方正仿宋_GBK" w:cs="方正仿宋_GBK"/>
          <w:color w:val="auto"/>
          <w:spacing w:val="-6"/>
          <w:sz w:val="32"/>
          <w:szCs w:val="32"/>
          <w:highlight w:val="none"/>
          <w:u w:val="none" w:color="auto"/>
        </w:rPr>
        <w:t>集展销、运输、仓储、分拣、配送于一体的市域农副产品集散中心。</w:t>
      </w:r>
    </w:p>
    <w:p w14:paraId="520105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黑体" w:cs="黑体"/>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二、全力抓实工业经济，加快建设现代化产业体系</w:t>
      </w:r>
    </w:p>
    <w:p w14:paraId="7A5C402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方正仿宋_GBK"/>
          <w:color w:val="auto"/>
          <w:spacing w:val="-6"/>
          <w:sz w:val="32"/>
          <w:szCs w:val="32"/>
          <w:highlight w:val="none"/>
          <w:u w:val="none" w:color="auto"/>
          <w:lang w:val="en-US" w:eastAsia="zh-CN"/>
        </w:rPr>
      </w:pPr>
      <w:r>
        <w:rPr>
          <w:rFonts w:hint="eastAsia" w:ascii="宋体" w:hAnsi="宋体" w:eastAsia="方正楷体_GBK" w:cs="方正楷体_GBK"/>
          <w:b w:val="0"/>
          <w:bCs w:val="0"/>
          <w:color w:val="auto"/>
          <w:spacing w:val="0"/>
          <w:sz w:val="32"/>
          <w:szCs w:val="32"/>
          <w:highlight w:val="none"/>
          <w:lang w:val="en-US" w:eastAsia="zh-CN"/>
        </w:rPr>
        <w:t>（一）提速发展抓产业。</w:t>
      </w:r>
      <w:r>
        <w:rPr>
          <w:rFonts w:hint="eastAsia" w:ascii="宋体" w:hAnsi="宋体" w:eastAsia="方正仿宋_GBK" w:cs="方正仿宋_GBK"/>
          <w:color w:val="auto"/>
          <w:sz w:val="32"/>
          <w:szCs w:val="32"/>
          <w:highlight w:val="none"/>
          <w:u w:val="none" w:color="auto"/>
        </w:rPr>
        <w:t>坚持制造业当家，</w:t>
      </w:r>
      <w:r>
        <w:rPr>
          <w:rFonts w:hint="eastAsia" w:ascii="宋体" w:hAnsi="宋体" w:eastAsia="方正仿宋_GBK" w:cs="方正仿宋_GBK"/>
          <w:color w:val="auto"/>
          <w:sz w:val="32"/>
          <w:szCs w:val="32"/>
          <w:highlight w:val="none"/>
          <w:u w:val="none" w:color="auto"/>
          <w:lang w:eastAsia="zh-CN"/>
        </w:rPr>
        <w:t>积极参与市“</w:t>
      </w:r>
      <w:r>
        <w:rPr>
          <w:rFonts w:hint="eastAsia" w:ascii="宋体" w:hAnsi="宋体" w:eastAsia="宋体" w:cs="宋体"/>
          <w:color w:val="auto"/>
          <w:sz w:val="32"/>
          <w:szCs w:val="32"/>
          <w:highlight w:val="none"/>
          <w:u w:val="none" w:color="auto"/>
          <w:lang w:eastAsia="zh-CN"/>
        </w:rPr>
        <w:t>1</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宋体" w:cs="宋体"/>
          <w:color w:val="auto"/>
          <w:sz w:val="32"/>
          <w:szCs w:val="32"/>
          <w:highlight w:val="none"/>
          <w:u w:val="none" w:color="auto"/>
          <w:lang w:eastAsia="zh-CN"/>
        </w:rPr>
        <w:t>3</w:t>
      </w:r>
      <w:r>
        <w:rPr>
          <w:rFonts w:hint="eastAsia" w:ascii="宋体" w:hAnsi="宋体" w:eastAsia="方正仿宋_GBK" w:cs="方正仿宋_GBK"/>
          <w:color w:val="auto"/>
          <w:sz w:val="32"/>
          <w:szCs w:val="32"/>
          <w:highlight w:val="none"/>
          <w:u w:val="none" w:color="auto"/>
          <w:lang w:eastAsia="zh-CN"/>
        </w:rPr>
        <w:t>”产业集群，</w:t>
      </w:r>
      <w:r>
        <w:rPr>
          <w:rFonts w:hint="eastAsia" w:ascii="宋体" w:hAnsi="宋体" w:eastAsia="方正仿宋_GBK" w:cs="方正仿宋_GBK"/>
          <w:color w:val="auto"/>
          <w:sz w:val="32"/>
          <w:szCs w:val="32"/>
          <w:highlight w:val="none"/>
          <w:u w:val="none" w:color="auto"/>
        </w:rPr>
        <w:t>做强做大主导产业、改造提升传统优势产业、培育壮大战略性新兴产业，</w:t>
      </w:r>
      <w:r>
        <w:rPr>
          <w:rFonts w:hint="eastAsia" w:ascii="宋体" w:hAnsi="宋体" w:eastAsia="方正仿宋_GBK" w:cs="方正仿宋_GBK"/>
          <w:color w:val="auto"/>
          <w:sz w:val="32"/>
          <w:szCs w:val="32"/>
          <w:highlight w:val="none"/>
          <w:u w:val="none" w:color="auto"/>
          <w:lang w:val="en-US" w:eastAsia="zh-CN"/>
        </w:rPr>
        <w:t>因地制宜发展新质生产力，提升制造业规模能级，</w:t>
      </w:r>
      <w:r>
        <w:rPr>
          <w:rFonts w:hint="eastAsia" w:ascii="宋体" w:hAnsi="宋体" w:eastAsia="方正仿宋_GBK" w:cs="方正仿宋_GBK"/>
          <w:color w:val="auto"/>
          <w:sz w:val="32"/>
          <w:szCs w:val="32"/>
          <w:highlight w:val="none"/>
          <w:u w:val="none" w:color="auto"/>
        </w:rPr>
        <w:t>着力打造区域性先进制造业中心</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color="auto"/>
          <w:lang w:val="en-US" w:eastAsia="zh-CN"/>
        </w:rPr>
        <w:t>大力发展电子信息产业，加快精电增资扩产项目、聚芯源科技等项目动工建设，推动航嘉工业园三期、安焕电子等项目竣工投产。全力做优水饮料及食品产业，推进聚酷客、裕诚新霸等项目建设，推动水饮料及食品产业产值超</w:t>
      </w:r>
      <w:r>
        <w:rPr>
          <w:rFonts w:hint="eastAsia" w:ascii="宋体" w:hAnsi="宋体" w:eastAsia="宋体" w:cs="宋体"/>
          <w:color w:val="auto"/>
          <w:sz w:val="32"/>
          <w:szCs w:val="32"/>
          <w:highlight w:val="none"/>
          <w:u w:val="none" w:color="auto"/>
          <w:lang w:val="en-US" w:eastAsia="zh-CN"/>
        </w:rPr>
        <w:t>15</w:t>
      </w:r>
      <w:r>
        <w:rPr>
          <w:rFonts w:hint="eastAsia" w:ascii="宋体" w:hAnsi="宋体" w:eastAsia="方正仿宋_GBK" w:cs="方正仿宋_GBK"/>
          <w:color w:val="auto"/>
          <w:sz w:val="32"/>
          <w:szCs w:val="32"/>
          <w:highlight w:val="none"/>
          <w:u w:val="none" w:color="auto"/>
          <w:lang w:val="en-US" w:eastAsia="zh-CN"/>
        </w:rPr>
        <w:t>亿元。培育壮大先进材</w:t>
      </w:r>
      <w:r>
        <w:rPr>
          <w:rFonts w:hint="eastAsia" w:ascii="宋体" w:hAnsi="宋体" w:eastAsia="方正仿宋_GBK" w:cs="方正仿宋_GBK"/>
          <w:color w:val="auto"/>
          <w:spacing w:val="-6"/>
          <w:sz w:val="32"/>
          <w:szCs w:val="32"/>
          <w:highlight w:val="none"/>
          <w:u w:val="none" w:color="auto"/>
          <w:lang w:val="en-US" w:eastAsia="zh-CN"/>
        </w:rPr>
        <w:t>料产业，力促艾迪克思、</w:t>
      </w:r>
      <w:r>
        <w:rPr>
          <w:rFonts w:ascii="宋体" w:hAnsi="宋体" w:eastAsia="方正仿宋_GBK" w:cs="方正仿宋_GBK"/>
          <w:color w:val="auto"/>
          <w:spacing w:val="-6"/>
          <w:sz w:val="32"/>
          <w:szCs w:val="32"/>
          <w:highlight w:val="none"/>
          <w:u w:val="none" w:color="auto"/>
          <w:lang w:val="en-US" w:eastAsia="zh-CN"/>
        </w:rPr>
        <w:t>春旺新材料</w:t>
      </w:r>
      <w:r>
        <w:rPr>
          <w:rFonts w:hint="eastAsia" w:ascii="宋体" w:hAnsi="宋体" w:eastAsia="方正仿宋_GBK" w:cs="方正仿宋_GBK"/>
          <w:color w:val="auto"/>
          <w:spacing w:val="-6"/>
          <w:sz w:val="32"/>
          <w:szCs w:val="32"/>
          <w:highlight w:val="none"/>
          <w:u w:val="none" w:color="auto"/>
          <w:lang w:val="en-US" w:eastAsia="zh-CN"/>
        </w:rPr>
        <w:t>等项目建设进度加快，支持广晟源城、特区建工、华域重工等企业向精深加工延伸、做大做强，谋划打造在全市乃至全省具有影响力的先进材料产业基地。提档升级模具、现代轻工纺织、钢铁等传统产业，提升产业品牌附加值。</w:t>
      </w:r>
    </w:p>
    <w:p w14:paraId="1B1097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（二）提档升级抓平台</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实施“拓空间”行动，集中清理整治园区闲置土地和低效用地，促进土地集约节约利用和产业转型升级，</w:t>
      </w:r>
      <w:r>
        <w:rPr>
          <w:rFonts w:hint="eastAsia" w:ascii="宋体" w:hAnsi="宋体" w:eastAsia="方正仿宋_GBK" w:cs="方正仿宋_GBK"/>
          <w:color w:val="auto"/>
          <w:sz w:val="32"/>
          <w:szCs w:val="32"/>
          <w:highlight w:val="none"/>
          <w:u w:val="none" w:color="auto"/>
        </w:rPr>
        <w:t>探索开展“标准地”改革工作，</w:t>
      </w:r>
      <w:r>
        <w:rPr>
          <w:rFonts w:hint="eastAsia" w:ascii="宋体" w:hAnsi="宋体" w:eastAsia="方正仿宋_GBK" w:cs="Times New Roman"/>
          <w:color w:val="auto"/>
          <w:spacing w:val="0"/>
          <w:sz w:val="32"/>
          <w:szCs w:val="32"/>
          <w:highlight w:val="none"/>
          <w:lang w:val="en-US" w:eastAsia="zh-CN"/>
        </w:rPr>
        <w:t>力争清理盘活低效闲置用地</w:t>
      </w:r>
      <w:r>
        <w:rPr>
          <w:rFonts w:hint="eastAsia" w:ascii="宋体" w:hAnsi="宋体" w:eastAsia="宋体" w:cs="宋体"/>
          <w:color w:val="auto"/>
          <w:spacing w:val="0"/>
          <w:sz w:val="32"/>
          <w:szCs w:val="32"/>
          <w:highlight w:val="none"/>
          <w:lang w:val="en-US" w:eastAsia="zh-CN"/>
        </w:rPr>
        <w:t>200</w:t>
      </w:r>
      <w:r>
        <w:rPr>
          <w:rFonts w:hint="eastAsia" w:ascii="宋体" w:hAnsi="宋体" w:eastAsia="方正仿宋_GBK" w:cs="Times New Roman"/>
          <w:color w:val="auto"/>
          <w:spacing w:val="0"/>
          <w:sz w:val="32"/>
          <w:szCs w:val="32"/>
          <w:highlight w:val="none"/>
          <w:lang w:val="en-US" w:eastAsia="zh-CN"/>
        </w:rPr>
        <w:t>亩，完成批而未供土地</w:t>
      </w:r>
      <w:r>
        <w:rPr>
          <w:rFonts w:hint="eastAsia" w:ascii="宋体" w:hAnsi="宋体" w:eastAsia="宋体" w:cs="宋体"/>
          <w:color w:val="auto"/>
          <w:spacing w:val="0"/>
          <w:sz w:val="32"/>
          <w:szCs w:val="32"/>
          <w:highlight w:val="none"/>
          <w:lang w:val="en-US" w:eastAsia="zh-CN"/>
        </w:rPr>
        <w:t>200</w:t>
      </w:r>
      <w:r>
        <w:rPr>
          <w:rFonts w:hint="eastAsia" w:ascii="宋体" w:hAnsi="宋体" w:eastAsia="方正仿宋_GBK" w:cs="Times New Roman"/>
          <w:color w:val="auto"/>
          <w:spacing w:val="0"/>
          <w:sz w:val="32"/>
          <w:szCs w:val="32"/>
          <w:highlight w:val="none"/>
          <w:lang w:val="en-US" w:eastAsia="zh-CN"/>
        </w:rPr>
        <w:t>亩。积极参与市承接产业有序转移主平台建设，支持源城区工业园申报省级电子元器件及显示器特色产业园，</w:t>
      </w:r>
      <w:r>
        <w:rPr>
          <w:rFonts w:hint="eastAsia" w:ascii="宋体" w:hAnsi="宋体" w:eastAsia="方正仿宋_GBK" w:cs="方正仿宋_GBK"/>
          <w:color w:val="auto"/>
          <w:sz w:val="32"/>
          <w:szCs w:val="32"/>
          <w:highlight w:val="none"/>
          <w:u w:val="none" w:color="auto"/>
        </w:rPr>
        <w:t>加快电子科技信息产业园、水主题产业园、低碳产业园等“产业集群+特色园区”建设</w:t>
      </w:r>
      <w:r>
        <w:rPr>
          <w:rFonts w:hint="eastAsia" w:ascii="宋体" w:hAnsi="宋体" w:eastAsia="方正仿宋_GBK" w:cs="方正仿宋_GBK"/>
          <w:color w:val="auto"/>
          <w:sz w:val="32"/>
          <w:szCs w:val="32"/>
          <w:highlight w:val="none"/>
          <w:u w:val="none" w:color="auto"/>
          <w:lang w:eastAsia="zh-CN"/>
        </w:rPr>
        <w:t>，推动</w:t>
      </w:r>
      <w:r>
        <w:rPr>
          <w:rFonts w:hint="eastAsia" w:ascii="宋体" w:hAnsi="宋体" w:eastAsia="方正仿宋_GBK" w:cs="方正仿宋_GBK"/>
          <w:color w:val="auto"/>
          <w:sz w:val="32"/>
          <w:szCs w:val="32"/>
          <w:highlight w:val="none"/>
          <w:u w:val="none" w:color="auto"/>
          <w:lang w:val="en-US" w:eastAsia="zh-CN"/>
        </w:rPr>
        <w:t>工业园</w:t>
      </w:r>
      <w:r>
        <w:rPr>
          <w:rFonts w:hint="eastAsia" w:ascii="宋体" w:hAnsi="宋体" w:eastAsia="方正仿宋_GBK" w:cs="方正仿宋_GBK"/>
          <w:color w:val="auto"/>
          <w:sz w:val="32"/>
          <w:szCs w:val="32"/>
          <w:highlight w:val="none"/>
          <w:u w:val="none" w:color="auto"/>
          <w:lang w:eastAsia="zh-CN"/>
        </w:rPr>
        <w:t>三期扩园部分用地纳入深河产业共建园</w:t>
      </w:r>
      <w:r>
        <w:rPr>
          <w:rFonts w:hint="eastAsia" w:ascii="宋体" w:hAnsi="宋体" w:eastAsia="方正仿宋_GBK" w:cs="方正仿宋_GBK"/>
          <w:color w:val="auto"/>
          <w:sz w:val="32"/>
          <w:szCs w:val="32"/>
          <w:highlight w:val="none"/>
          <w:u w:val="none" w:color="auto"/>
          <w:lang w:val="en-US" w:eastAsia="zh-CN"/>
        </w:rPr>
        <w:t>，力争扩园</w:t>
      </w:r>
      <w:r>
        <w:rPr>
          <w:rFonts w:hint="eastAsia" w:ascii="宋体" w:hAnsi="宋体" w:eastAsia="宋体" w:cs="宋体"/>
          <w:color w:val="auto"/>
          <w:sz w:val="32"/>
          <w:szCs w:val="32"/>
          <w:highlight w:val="none"/>
          <w:u w:val="none" w:color="auto"/>
          <w:lang w:val="en-US" w:eastAsia="zh-CN"/>
        </w:rPr>
        <w:t>750</w:t>
      </w:r>
      <w:r>
        <w:rPr>
          <w:rFonts w:hint="eastAsia" w:ascii="宋体" w:hAnsi="宋体" w:eastAsia="方正仿宋_GBK" w:cs="方正仿宋_GBK"/>
          <w:color w:val="auto"/>
          <w:sz w:val="32"/>
          <w:szCs w:val="32"/>
          <w:highlight w:val="none"/>
          <w:u w:val="none" w:color="auto"/>
          <w:lang w:val="en-US" w:eastAsia="zh-CN"/>
        </w:rPr>
        <w:t>亩，实现“三通一平”</w:t>
      </w:r>
      <w:r>
        <w:rPr>
          <w:rFonts w:hint="eastAsia" w:ascii="宋体" w:hAnsi="宋体" w:eastAsia="宋体" w:cs="宋体"/>
          <w:color w:val="auto"/>
          <w:sz w:val="32"/>
          <w:szCs w:val="32"/>
          <w:highlight w:val="none"/>
          <w:u w:val="none" w:color="auto"/>
          <w:lang w:val="en-US" w:eastAsia="zh-CN"/>
        </w:rPr>
        <w:t>750</w:t>
      </w:r>
      <w:r>
        <w:rPr>
          <w:rFonts w:hint="eastAsia" w:ascii="宋体" w:hAnsi="宋体" w:eastAsia="方正仿宋_GBK" w:cs="方正仿宋_GBK"/>
          <w:color w:val="auto"/>
          <w:sz w:val="32"/>
          <w:szCs w:val="32"/>
          <w:highlight w:val="none"/>
          <w:u w:val="none" w:color="auto"/>
          <w:lang w:val="en-US" w:eastAsia="zh-CN"/>
        </w:rPr>
        <w:t>亩</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color="auto"/>
          <w:lang w:val="en-US" w:eastAsia="zh-CN"/>
        </w:rPr>
        <w:t>建设标准厂房</w:t>
      </w:r>
      <w:r>
        <w:rPr>
          <w:rFonts w:hint="eastAsia" w:ascii="宋体" w:hAnsi="宋体" w:eastAsia="宋体" w:cs="宋体"/>
          <w:color w:val="auto"/>
          <w:sz w:val="32"/>
          <w:szCs w:val="32"/>
          <w:highlight w:val="none"/>
          <w:u w:val="none" w:color="auto"/>
          <w:lang w:val="en-US" w:eastAsia="zh-CN"/>
        </w:rPr>
        <w:t>11</w:t>
      </w:r>
      <w:r>
        <w:rPr>
          <w:rFonts w:hint="eastAsia" w:ascii="宋体" w:hAnsi="宋体" w:eastAsia="方正仿宋_GBK" w:cs="方正仿宋_GBK"/>
          <w:color w:val="auto"/>
          <w:sz w:val="32"/>
          <w:szCs w:val="32"/>
          <w:highlight w:val="none"/>
          <w:u w:val="none" w:color="auto"/>
          <w:lang w:val="en-US" w:eastAsia="zh-CN"/>
        </w:rPr>
        <w:t>万平方米</w:t>
      </w:r>
      <w:r>
        <w:rPr>
          <w:rFonts w:hint="eastAsia" w:ascii="宋体" w:hAnsi="宋体" w:eastAsia="方正仿宋_GBK" w:cs="方正仿宋_GBK"/>
          <w:color w:val="auto"/>
          <w:sz w:val="32"/>
          <w:szCs w:val="32"/>
          <w:highlight w:val="none"/>
          <w:u w:val="none" w:color="auto"/>
          <w:lang w:eastAsia="zh-CN"/>
        </w:rPr>
        <w:t>。</w:t>
      </w:r>
      <w:r>
        <w:rPr>
          <w:rFonts w:hint="eastAsia" w:ascii="宋体" w:hAnsi="宋体" w:eastAsia="方正仿宋_GBK" w:cs="方正仿宋_GBK"/>
          <w:color w:val="auto"/>
          <w:sz w:val="32"/>
          <w:szCs w:val="32"/>
          <w:highlight w:val="none"/>
          <w:u w:val="none" w:color="auto"/>
          <w:lang w:val="en-US" w:eastAsia="zh-CN"/>
        </w:rPr>
        <w:t>完善工业园区基础设施，补齐园区生产生活配套等短板，提档升级园区环境，提升园区吸引力。健全“指挥部+管委会+平台公司”模式，</w:t>
      </w:r>
      <w:r>
        <w:rPr>
          <w:rFonts w:hint="eastAsia" w:ascii="宋体" w:hAnsi="宋体" w:eastAsia="方正仿宋_GBK" w:cs="方正仿宋_GBK"/>
          <w:b w:val="0"/>
          <w:bCs w:val="0"/>
          <w:color w:val="auto"/>
          <w:sz w:val="32"/>
          <w:szCs w:val="32"/>
          <w:highlight w:val="none"/>
          <w:u w:val="none" w:color="auto"/>
          <w:lang w:val="en-US" w:eastAsia="zh-CN"/>
        </w:rPr>
        <w:t>探索建立园区收益“反哺”模式，增强产业园区自主发展、滚动造血能力。</w:t>
      </w:r>
    </w:p>
    <w:p w14:paraId="5E1C1D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b/>
          <w:bCs/>
          <w:color w:val="auto"/>
          <w:spacing w:val="-6"/>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（三）提优扩面抓培育</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z w:val="32"/>
          <w:szCs w:val="32"/>
          <w:highlight w:val="none"/>
          <w:u w:val="none" w:color="auto"/>
          <w:lang w:val="en-US" w:eastAsia="zh-CN"/>
        </w:rPr>
        <w:t>加大</w:t>
      </w:r>
      <w:r>
        <w:rPr>
          <w:rFonts w:hint="eastAsia" w:ascii="宋体" w:hAnsi="宋体" w:eastAsia="方正仿宋_GBK" w:cs="方正仿宋_GBK"/>
          <w:color w:val="auto"/>
          <w:sz w:val="32"/>
          <w:szCs w:val="32"/>
          <w:highlight w:val="none"/>
        </w:rPr>
        <w:t>龙头企业、专精特新等成长性较好企业的扶持力度，</w:t>
      </w:r>
      <w:r>
        <w:rPr>
          <w:rFonts w:hint="eastAsia" w:ascii="宋体" w:hAnsi="宋体" w:eastAsia="方正仿宋_GBK" w:cs="方正仿宋_GBK"/>
          <w:color w:val="auto"/>
          <w:sz w:val="32"/>
          <w:szCs w:val="32"/>
          <w:highlight w:val="none"/>
          <w:u w:val="none" w:color="auto"/>
          <w:lang w:val="en-US" w:eastAsia="zh-CN"/>
        </w:rPr>
        <w:t>用好区领导挂钩联系服务企业、“</w:t>
      </w:r>
      <w:r>
        <w:rPr>
          <w:rFonts w:hint="eastAsia" w:ascii="宋体" w:hAnsi="宋体" w:eastAsia="宋体" w:cs="宋体"/>
          <w:color w:val="auto"/>
          <w:sz w:val="32"/>
          <w:szCs w:val="32"/>
          <w:highlight w:val="none"/>
          <w:u w:val="none" w:color="auto"/>
          <w:lang w:val="en-US" w:eastAsia="zh-CN"/>
        </w:rPr>
        <w:t>1</w:t>
      </w:r>
      <w:r>
        <w:rPr>
          <w:rFonts w:hint="eastAsia" w:ascii="宋体" w:hAnsi="宋体" w:eastAsia="方正仿宋_GBK" w:cs="方正仿宋_GBK"/>
          <w:color w:val="auto"/>
          <w:sz w:val="32"/>
          <w:szCs w:val="32"/>
          <w:highlight w:val="none"/>
          <w:u w:val="none" w:color="auto"/>
          <w:lang w:val="en-US" w:eastAsia="zh-CN"/>
        </w:rPr>
        <w:t>+</w:t>
      </w:r>
      <w:r>
        <w:rPr>
          <w:rFonts w:hint="eastAsia" w:ascii="宋体" w:hAnsi="宋体" w:eastAsia="宋体" w:cs="宋体"/>
          <w:color w:val="auto"/>
          <w:sz w:val="32"/>
          <w:szCs w:val="32"/>
          <w:highlight w:val="none"/>
          <w:u w:val="none" w:color="auto"/>
          <w:lang w:val="en-US" w:eastAsia="zh-CN"/>
        </w:rPr>
        <w:t>1</w:t>
      </w:r>
      <w:r>
        <w:rPr>
          <w:rFonts w:hint="eastAsia" w:ascii="宋体" w:hAnsi="宋体" w:eastAsia="方正仿宋_GBK" w:cs="方正仿宋_GBK"/>
          <w:color w:val="auto"/>
          <w:sz w:val="32"/>
          <w:szCs w:val="32"/>
          <w:highlight w:val="none"/>
          <w:u w:val="none" w:color="auto"/>
          <w:lang w:val="en-US" w:eastAsia="zh-CN"/>
        </w:rPr>
        <w:t>+N”等工作机制，</w:t>
      </w:r>
      <w:r>
        <w:rPr>
          <w:rFonts w:hint="eastAsia" w:ascii="宋体" w:hAnsi="宋体" w:eastAsia="方正仿宋_GBK" w:cs="方正仿宋_GBK"/>
          <w:color w:val="auto"/>
          <w:sz w:val="32"/>
          <w:szCs w:val="32"/>
          <w:highlight w:val="none"/>
          <w:lang w:val="en-US" w:eastAsia="zh-CN"/>
        </w:rPr>
        <w:t>全力</w:t>
      </w:r>
      <w:r>
        <w:rPr>
          <w:rFonts w:hint="eastAsia" w:ascii="宋体" w:hAnsi="宋体" w:eastAsia="方正仿宋_GBK" w:cs="方正仿宋_GBK"/>
          <w:color w:val="auto"/>
          <w:sz w:val="32"/>
          <w:szCs w:val="32"/>
          <w:highlight w:val="none"/>
          <w:u w:val="none" w:color="auto"/>
          <w:lang w:val="en-US" w:eastAsia="zh-CN"/>
        </w:rPr>
        <w:t>支持锦鹏科技、伊罗卡等优质企业增资扩产，力争新上规工业企业</w:t>
      </w:r>
      <w:r>
        <w:rPr>
          <w:rFonts w:hint="eastAsia" w:ascii="宋体" w:hAnsi="宋体" w:eastAsia="宋体" w:cs="宋体"/>
          <w:color w:val="auto"/>
          <w:sz w:val="32"/>
          <w:szCs w:val="32"/>
          <w:highlight w:val="none"/>
          <w:u w:val="none" w:color="auto"/>
          <w:lang w:val="en-US" w:eastAsia="zh-CN"/>
        </w:rPr>
        <w:t>8</w:t>
      </w:r>
      <w:r>
        <w:rPr>
          <w:rFonts w:hint="eastAsia" w:ascii="宋体" w:hAnsi="宋体" w:eastAsia="方正仿宋_GBK" w:cs="方正仿宋_GBK"/>
          <w:color w:val="auto"/>
          <w:sz w:val="32"/>
          <w:szCs w:val="32"/>
          <w:highlight w:val="none"/>
          <w:u w:val="none" w:color="auto"/>
          <w:lang w:val="en-US" w:eastAsia="zh-CN"/>
        </w:rPr>
        <w:t>家以上、新增“专精特新”企业</w:t>
      </w:r>
      <w:r>
        <w:rPr>
          <w:rFonts w:hint="eastAsia" w:ascii="宋体" w:hAnsi="宋体" w:eastAsia="宋体" w:cs="宋体"/>
          <w:color w:val="auto"/>
          <w:sz w:val="32"/>
          <w:szCs w:val="32"/>
          <w:highlight w:val="none"/>
          <w:u w:val="none" w:color="auto"/>
          <w:lang w:val="en-US" w:eastAsia="zh-CN"/>
        </w:rPr>
        <w:t>3</w:t>
      </w:r>
      <w:r>
        <w:rPr>
          <w:rFonts w:hint="eastAsia" w:ascii="宋体" w:hAnsi="宋体" w:eastAsia="方正仿宋_GBK" w:cs="方正仿宋_GBK"/>
          <w:color w:val="auto"/>
          <w:sz w:val="32"/>
          <w:szCs w:val="32"/>
          <w:highlight w:val="none"/>
          <w:u w:val="none" w:color="auto"/>
          <w:lang w:val="en-US" w:eastAsia="zh-CN"/>
        </w:rPr>
        <w:t>家以上，在培育行业“单打冠军”企业上取得新突破。支持丰田纺织、联弘玩具等骨干企业加快研发、品牌、供应等核心能力建设，开发高附加值特色产品，向价值链中高端环节迈进，实现卡位入链、融链固链。用好工业技改有效手段，实施联腾信息等</w:t>
      </w:r>
      <w:r>
        <w:rPr>
          <w:rFonts w:hint="eastAsia" w:ascii="宋体" w:hAnsi="宋体" w:eastAsia="宋体" w:cs="宋体"/>
          <w:color w:val="auto"/>
          <w:sz w:val="32"/>
          <w:szCs w:val="32"/>
          <w:highlight w:val="none"/>
          <w:u w:val="none" w:color="auto"/>
          <w:lang w:val="en-US" w:eastAsia="zh-CN"/>
        </w:rPr>
        <w:t>10</w:t>
      </w:r>
      <w:r>
        <w:rPr>
          <w:rFonts w:hint="eastAsia" w:ascii="宋体" w:hAnsi="宋体" w:eastAsia="方正仿宋_GBK" w:cs="方正仿宋_GBK"/>
          <w:color w:val="auto"/>
          <w:sz w:val="32"/>
          <w:szCs w:val="32"/>
          <w:highlight w:val="none"/>
          <w:u w:val="none" w:color="auto"/>
          <w:lang w:val="en-US" w:eastAsia="zh-CN"/>
        </w:rPr>
        <w:t>个技改</w:t>
      </w:r>
      <w:r>
        <w:rPr>
          <w:rFonts w:hint="eastAsia" w:ascii="宋体" w:hAnsi="宋体" w:eastAsia="方正仿宋_GBK" w:cs="方正仿宋_GBK"/>
          <w:color w:val="auto"/>
          <w:spacing w:val="-6"/>
          <w:sz w:val="32"/>
          <w:szCs w:val="32"/>
          <w:highlight w:val="none"/>
          <w:u w:val="none" w:color="auto"/>
          <w:lang w:val="en-US" w:eastAsia="zh-CN"/>
        </w:rPr>
        <w:t>项目，推动企业加快智能化、数字化、绿色化改造提升，加快推动工业产业提级扩能，培育集聚更多牵引性强、带动力大的产业项目。</w:t>
      </w:r>
    </w:p>
    <w:p w14:paraId="1D38A1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（四）提质增量抓招商</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实施“大招商”行动，认真落实招商引资“一把手”工程，完善细分行业招商图谱，统筹推进驻点招商、以商引商、以链引商、联合招商，每季度至少举办</w:t>
      </w:r>
      <w:r>
        <w:rPr>
          <w:rFonts w:hint="eastAsia" w:ascii="宋体" w:hAnsi="宋体" w:eastAsia="宋体" w:cs="宋体"/>
          <w:color w:val="auto"/>
          <w:spacing w:val="0"/>
          <w:sz w:val="32"/>
          <w:szCs w:val="32"/>
          <w:highlight w:val="none"/>
          <w:lang w:val="en-US" w:eastAsia="zh-CN"/>
        </w:rPr>
        <w:t>1</w:t>
      </w:r>
      <w:r>
        <w:rPr>
          <w:rFonts w:hint="eastAsia" w:ascii="宋体" w:hAnsi="宋体" w:eastAsia="方正仿宋_GBK" w:cs="Times New Roman"/>
          <w:color w:val="auto"/>
          <w:spacing w:val="0"/>
          <w:sz w:val="32"/>
          <w:szCs w:val="32"/>
          <w:highlight w:val="none"/>
          <w:lang w:val="en-US" w:eastAsia="zh-CN"/>
        </w:rPr>
        <w:t>次精准招商推介活动</w:t>
      </w:r>
      <w:r>
        <w:rPr>
          <w:rFonts w:hint="eastAsia" w:ascii="宋体" w:hAnsi="宋体" w:eastAsia="方正仿宋_GBK" w:cs="方正仿宋_GBK"/>
          <w:color w:val="auto"/>
          <w:sz w:val="32"/>
          <w:szCs w:val="32"/>
          <w:highlight w:val="none"/>
          <w:lang w:val="en-US" w:eastAsia="zh-CN"/>
        </w:rPr>
        <w:t>，力争引进超亿元制造业项目</w:t>
      </w:r>
      <w:r>
        <w:rPr>
          <w:rFonts w:hint="eastAsia" w:ascii="宋体" w:hAnsi="宋体" w:eastAsia="宋体" w:cs="宋体"/>
          <w:color w:val="auto"/>
          <w:sz w:val="32"/>
          <w:szCs w:val="32"/>
          <w:highlight w:val="none"/>
          <w:lang w:val="en-US" w:eastAsia="zh-CN"/>
        </w:rPr>
        <w:t>22</w:t>
      </w:r>
      <w:r>
        <w:rPr>
          <w:rFonts w:hint="eastAsia" w:ascii="宋体" w:hAnsi="宋体" w:eastAsia="方正仿宋_GBK" w:cs="方正仿宋_GBK"/>
          <w:color w:val="auto"/>
          <w:sz w:val="32"/>
          <w:szCs w:val="32"/>
          <w:highlight w:val="none"/>
          <w:lang w:val="en-US" w:eastAsia="zh-CN"/>
        </w:rPr>
        <w:t>个以上，引进超千万元现代农业、现代服务业项目共</w:t>
      </w:r>
      <w:r>
        <w:rPr>
          <w:rFonts w:hint="eastAsia" w:ascii="宋体" w:hAnsi="宋体" w:eastAsia="宋体" w:cs="宋体"/>
          <w:color w:val="auto"/>
          <w:sz w:val="32"/>
          <w:szCs w:val="32"/>
          <w:highlight w:val="none"/>
          <w:lang w:val="en-US" w:eastAsia="zh-CN"/>
        </w:rPr>
        <w:t>21</w:t>
      </w:r>
      <w:r>
        <w:rPr>
          <w:rFonts w:hint="eastAsia" w:ascii="宋体" w:hAnsi="宋体" w:eastAsia="方正仿宋_GBK" w:cs="方正仿宋_GBK"/>
          <w:color w:val="auto"/>
          <w:sz w:val="32"/>
          <w:szCs w:val="32"/>
          <w:highlight w:val="none"/>
          <w:lang w:val="en-US" w:eastAsia="zh-CN"/>
        </w:rPr>
        <w:t>个以上</w:t>
      </w:r>
      <w:r>
        <w:rPr>
          <w:rFonts w:hint="eastAsia" w:ascii="宋体" w:hAnsi="宋体" w:eastAsia="方正仿宋_GBK" w:cs="Times New Roman"/>
          <w:color w:val="auto"/>
          <w:spacing w:val="0"/>
          <w:sz w:val="32"/>
          <w:szCs w:val="32"/>
          <w:highlight w:val="none"/>
          <w:lang w:val="en-US" w:eastAsia="zh-CN"/>
        </w:rPr>
        <w:t>。实施产业招商导流计划，紧盯粤港澳大湾区产业转移，发挥雅达电子、华润怡宝、特区建工等企业作用，沿链靶向引进一批符合产业发展方向、落地投产快、造血功能强的链上企业，实现主导产业补链延链壮链。加快新兴产业、未来产业前瞻布局，紧盯低空经济、动力电池、氢能储能等战略性新兴产业，聚焦人工智能、新型显示、量子科技等未来产业，谋划招引一批适合源城发展的“风口”项目。</w:t>
      </w:r>
      <w:r>
        <w:rPr>
          <w:rFonts w:hint="eastAsia" w:ascii="宋体" w:hAnsi="宋体" w:eastAsia="方正仿宋_GBK" w:cs="方正仿宋_GBK"/>
          <w:color w:val="auto"/>
          <w:sz w:val="32"/>
          <w:szCs w:val="32"/>
          <w:highlight w:val="none"/>
          <w:lang w:val="en-US" w:eastAsia="zh-CN"/>
        </w:rPr>
        <w:t>严格落实大招商优服务等机制，全力推动签约项目尽快落地、动工项目早投产、投产项目早达效，力争全年新开工业项目</w:t>
      </w:r>
      <w:r>
        <w:rPr>
          <w:rFonts w:hint="eastAsia" w:ascii="宋体" w:hAnsi="宋体" w:eastAsia="宋体" w:cs="宋体"/>
          <w:color w:val="auto"/>
          <w:sz w:val="32"/>
          <w:szCs w:val="32"/>
          <w:highlight w:val="none"/>
          <w:lang w:val="en-US" w:eastAsia="zh-CN"/>
        </w:rPr>
        <w:t>10</w:t>
      </w:r>
      <w:r>
        <w:rPr>
          <w:rFonts w:hint="eastAsia" w:ascii="宋体" w:hAnsi="宋体" w:eastAsia="方正仿宋_GBK" w:cs="方正仿宋_GBK"/>
          <w:color w:val="auto"/>
          <w:sz w:val="32"/>
          <w:szCs w:val="32"/>
          <w:highlight w:val="none"/>
          <w:lang w:val="en-US" w:eastAsia="zh-CN"/>
        </w:rPr>
        <w:t>个以上、新投产工业项目</w:t>
      </w:r>
      <w:r>
        <w:rPr>
          <w:rFonts w:hint="eastAsia" w:ascii="宋体" w:hAnsi="宋体" w:eastAsia="宋体" w:cs="宋体"/>
          <w:color w:val="auto"/>
          <w:sz w:val="32"/>
          <w:szCs w:val="32"/>
          <w:highlight w:val="none"/>
          <w:lang w:val="en-US" w:eastAsia="zh-CN"/>
        </w:rPr>
        <w:t>10</w:t>
      </w:r>
      <w:r>
        <w:rPr>
          <w:rFonts w:hint="eastAsia" w:ascii="宋体" w:hAnsi="宋体" w:eastAsia="方正仿宋_GBK" w:cs="方正仿宋_GBK"/>
          <w:color w:val="auto"/>
          <w:sz w:val="32"/>
          <w:szCs w:val="32"/>
          <w:highlight w:val="none"/>
          <w:lang w:val="en-US" w:eastAsia="zh-CN"/>
        </w:rPr>
        <w:t>个以上。</w:t>
      </w:r>
    </w:p>
    <w:p w14:paraId="615665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方正楷体_GBK" w:cs="方正楷体_GBK"/>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三、深入实施绿美生态建设，聚力打造生态宜居城区</w:t>
      </w:r>
    </w:p>
    <w:p w14:paraId="079F96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（一）强化绿美源城牵引</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深入实施绿美源城生态建设“六大行动”，科学精准提升森林质量，力争完成林分优化提升</w:t>
      </w:r>
      <w:r>
        <w:rPr>
          <w:rFonts w:hint="eastAsia" w:ascii="宋体" w:hAnsi="宋体" w:eastAsia="宋体" w:cs="宋体"/>
          <w:color w:val="auto"/>
          <w:spacing w:val="0"/>
          <w:sz w:val="32"/>
          <w:szCs w:val="32"/>
          <w:highlight w:val="none"/>
          <w:lang w:val="en-US" w:eastAsia="zh-CN"/>
        </w:rPr>
        <w:t>4250</w:t>
      </w:r>
      <w:r>
        <w:rPr>
          <w:rFonts w:hint="eastAsia" w:ascii="宋体" w:hAnsi="宋体" w:eastAsia="方正仿宋_GBK" w:cs="Times New Roman"/>
          <w:color w:val="auto"/>
          <w:spacing w:val="0"/>
          <w:sz w:val="32"/>
          <w:szCs w:val="32"/>
          <w:highlight w:val="none"/>
          <w:lang w:val="en-US" w:eastAsia="zh-CN"/>
        </w:rPr>
        <w:t>亩以上、森林抚育</w:t>
      </w:r>
      <w:r>
        <w:rPr>
          <w:rFonts w:hint="eastAsia" w:ascii="宋体" w:hAnsi="宋体" w:eastAsia="宋体" w:cs="宋体"/>
          <w:color w:val="auto"/>
          <w:spacing w:val="0"/>
          <w:sz w:val="32"/>
          <w:szCs w:val="32"/>
          <w:highlight w:val="none"/>
          <w:lang w:val="en-US" w:eastAsia="zh-CN"/>
        </w:rPr>
        <w:t>2500</w:t>
      </w:r>
      <w:r>
        <w:rPr>
          <w:rFonts w:hint="eastAsia" w:ascii="宋体" w:hAnsi="宋体" w:eastAsia="方正仿宋_GBK" w:cs="Times New Roman"/>
          <w:color w:val="auto"/>
          <w:spacing w:val="0"/>
          <w:sz w:val="32"/>
          <w:szCs w:val="32"/>
          <w:highlight w:val="none"/>
          <w:lang w:val="en-US" w:eastAsia="zh-CN"/>
        </w:rPr>
        <w:t>亩以上。完善区、镇（街道）、村（社区）绿化美化管护、古树名木保护长效机制，深入推进“四横一纵”、绿美广东省级综合型示范点建设，因地制宜建设一批口袋公园、社区绿地、林荫步道，提升城乡绿化美化。广泛动员群众开展义务植树活动，持续营建支部林、乡贤林、青年林等主题林，深化开展认种认捐活动，力争全区完成植树</w:t>
      </w:r>
      <w:r>
        <w:rPr>
          <w:rFonts w:hint="eastAsia" w:ascii="宋体" w:hAnsi="宋体" w:eastAsia="宋体" w:cs="宋体"/>
          <w:color w:val="auto"/>
          <w:spacing w:val="0"/>
          <w:sz w:val="32"/>
          <w:szCs w:val="32"/>
          <w:highlight w:val="none"/>
          <w:lang w:val="en-US" w:eastAsia="zh-CN"/>
        </w:rPr>
        <w:t>6</w:t>
      </w:r>
      <w:r>
        <w:rPr>
          <w:rFonts w:hint="eastAsia" w:ascii="宋体" w:hAnsi="宋体" w:eastAsia="方正仿宋_GBK" w:cs="Times New Roman"/>
          <w:color w:val="auto"/>
          <w:spacing w:val="0"/>
          <w:sz w:val="32"/>
          <w:szCs w:val="32"/>
          <w:highlight w:val="none"/>
          <w:lang w:val="en-US" w:eastAsia="zh-CN"/>
        </w:rPr>
        <w:t>.</w:t>
      </w:r>
      <w:r>
        <w:rPr>
          <w:rFonts w:hint="eastAsia" w:ascii="宋体" w:hAnsi="宋体" w:eastAsia="宋体" w:cs="宋体"/>
          <w:color w:val="auto"/>
          <w:spacing w:val="0"/>
          <w:sz w:val="32"/>
          <w:szCs w:val="32"/>
          <w:highlight w:val="none"/>
          <w:lang w:val="en-US" w:eastAsia="zh-CN"/>
        </w:rPr>
        <w:t>6</w:t>
      </w:r>
      <w:r>
        <w:rPr>
          <w:rFonts w:hint="eastAsia" w:ascii="宋体" w:hAnsi="宋体" w:eastAsia="方正仿宋_GBK" w:cs="Times New Roman"/>
          <w:color w:val="auto"/>
          <w:spacing w:val="0"/>
          <w:sz w:val="32"/>
          <w:szCs w:val="32"/>
          <w:highlight w:val="none"/>
          <w:lang w:val="en-US" w:eastAsia="zh-CN"/>
        </w:rPr>
        <w:t>万株以上、增绿</w:t>
      </w:r>
      <w:r>
        <w:rPr>
          <w:rFonts w:hint="eastAsia" w:ascii="宋体" w:hAnsi="宋体" w:eastAsia="宋体" w:cs="宋体"/>
          <w:color w:val="auto"/>
          <w:spacing w:val="0"/>
          <w:sz w:val="32"/>
          <w:szCs w:val="32"/>
          <w:highlight w:val="none"/>
          <w:lang w:val="en-US" w:eastAsia="zh-CN"/>
        </w:rPr>
        <w:t>700</w:t>
      </w:r>
      <w:r>
        <w:rPr>
          <w:rFonts w:hint="eastAsia" w:ascii="宋体" w:hAnsi="宋体" w:eastAsia="方正仿宋_GBK" w:cs="Times New Roman"/>
          <w:color w:val="auto"/>
          <w:spacing w:val="0"/>
          <w:sz w:val="32"/>
          <w:szCs w:val="32"/>
          <w:highlight w:val="none"/>
          <w:lang w:val="en-US" w:eastAsia="zh-CN"/>
        </w:rPr>
        <w:t>亩以上，新建主题林</w:t>
      </w:r>
      <w:r>
        <w:rPr>
          <w:rFonts w:hint="eastAsia" w:ascii="宋体" w:hAnsi="宋体" w:eastAsia="宋体" w:cs="宋体"/>
          <w:color w:val="auto"/>
          <w:spacing w:val="0"/>
          <w:sz w:val="32"/>
          <w:szCs w:val="32"/>
          <w:highlight w:val="none"/>
          <w:lang w:val="en-US" w:eastAsia="zh-CN"/>
        </w:rPr>
        <w:t>48</w:t>
      </w:r>
      <w:r>
        <w:rPr>
          <w:rFonts w:hint="eastAsia" w:ascii="宋体" w:hAnsi="宋体" w:eastAsia="方正仿宋_GBK" w:cs="Times New Roman"/>
          <w:color w:val="auto"/>
          <w:spacing w:val="0"/>
          <w:sz w:val="32"/>
          <w:szCs w:val="32"/>
          <w:highlight w:val="none"/>
          <w:lang w:val="en-US" w:eastAsia="zh-CN"/>
        </w:rPr>
        <w:t>片。</w:t>
      </w:r>
    </w:p>
    <w:p w14:paraId="797DD2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（二）强化污染防治攻坚</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高质量落实第二轮中央和省生态环境保护督察交办案件及反馈问题整改工作，以点带面解决一批突出问题。全面落实河（湖）长制、林长制，加强饮用水水源保护管理，紧盯国考断面水质，持续保障东江及其一级支流水质。深化扬尘污染综合治理，精细化管控扬尘、露天焚烧及餐饮油烟等面源污染，持续提升大气污染治理效能。强化土壤污染源头防控和风险管控，持续开展耕地周边涉镉等重金属行业企业排查，保持良好土壤环境。探索“生态修复+产业导入”的矿山治理模式，推动山子尾石场、横坑石场等历史遗留矿山生态修复与旅游、种植等产业融合发展，着力改善生态环境。</w:t>
      </w:r>
    </w:p>
    <w:p w14:paraId="72183B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6"/>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（三）强化绿色发展基础</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pacing w:val="0"/>
          <w:sz w:val="32"/>
          <w:szCs w:val="32"/>
          <w:highlight w:val="none"/>
          <w:lang w:val="en-US" w:eastAsia="zh-CN"/>
        </w:rPr>
        <w:t>加快培育林下经济示范基地、林业龙头企业等林业经营主体，培育壮大油茶、五指毛桃、食用菌等优势特色林业产业。深入推进林权改革，加快推进国储林建设项目落地，努力实现植绿增绿与群众增收共赢。推广节能低碳和清洁生产技术装备，争创低碳、零碳产业园建设试点，综合推进光伏、储能、智慧充电桩、分布式能源站等绿色改造，以国家标准提升引领粤东钢铁、华发金属等传统行业企业绿色低碳转型，支持雅达电子等企业建设绿色工厂，推进工业节能降碳增效。健全绿色消费激励机制，鼓励培育工厂化循环养殖、</w:t>
      </w:r>
      <w:r>
        <w:rPr>
          <w:rFonts w:hint="eastAsia" w:ascii="宋体" w:hAnsi="宋体" w:eastAsia="方正仿宋_GBK" w:cs="方正仿宋_GBK"/>
          <w:color w:val="auto"/>
          <w:spacing w:val="-6"/>
          <w:sz w:val="32"/>
          <w:szCs w:val="32"/>
          <w:highlight w:val="none"/>
          <w:lang w:val="en-US" w:eastAsia="zh-CN"/>
        </w:rPr>
        <w:t>绿色生态养殖模式，营造绿色生产与绿色消费互利共生的发展局面。</w:t>
      </w:r>
    </w:p>
    <w:p w14:paraId="33F257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黑体" w:cs="黑体"/>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四、持续增强发展后劲，千方百计扩内需稳外需</w:t>
      </w:r>
    </w:p>
    <w:p w14:paraId="1B5A80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b/>
          <w:bCs/>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（一）推动投资扩量增效</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紧盯国家增加发行超长期特别国债支持</w:t>
      </w:r>
      <w:r>
        <w:rPr>
          <w:rFonts w:hint="eastAsia" w:ascii="宋体" w:hAnsi="宋体" w:eastAsia="方正仿宋_GBK" w:cs="方正仿宋_GBK"/>
          <w:b w:val="0"/>
          <w:bCs w:val="0"/>
          <w:color w:val="auto"/>
          <w:sz w:val="32"/>
          <w:szCs w:val="32"/>
          <w:highlight w:val="none"/>
          <w:lang w:val="en-US" w:eastAsia="zh-CN"/>
        </w:rPr>
        <w:t>“两重”项目建设的</w:t>
      </w:r>
      <w:r>
        <w:rPr>
          <w:rFonts w:hint="eastAsia" w:ascii="宋体" w:hAnsi="宋体" w:eastAsia="方正仿宋_GBK" w:cs="Times New Roman"/>
          <w:color w:val="auto"/>
          <w:spacing w:val="0"/>
          <w:sz w:val="32"/>
          <w:szCs w:val="32"/>
          <w:highlight w:val="none"/>
          <w:lang w:val="en-US" w:eastAsia="zh-CN"/>
        </w:rPr>
        <w:t>方向，围绕“百千万工程”、制造业当家、绿美生态建设等重点工作，精准谋划一批政策性资金项目，做深做实项目前期工作，提高项目成熟度，争取更多项目纳入国家、省“盘子”</w:t>
      </w:r>
      <w:r>
        <w:rPr>
          <w:rFonts w:hint="eastAsia" w:ascii="宋体" w:hAnsi="宋体" w:eastAsia="方正仿宋_GBK" w:cs="方正仿宋_GBK"/>
          <w:b w:val="0"/>
          <w:bCs w:val="0"/>
          <w:color w:val="auto"/>
          <w:sz w:val="32"/>
          <w:szCs w:val="32"/>
          <w:highlight w:val="none"/>
          <w:lang w:val="en-US" w:eastAsia="zh-CN"/>
        </w:rPr>
        <w:t>。实施项目全周期管理，</w:t>
      </w:r>
      <w:r>
        <w:rPr>
          <w:rFonts w:hint="eastAsia" w:ascii="宋体" w:hAnsi="宋体" w:eastAsia="方正仿宋_GBK" w:cs="Times New Roman"/>
          <w:color w:val="auto"/>
          <w:spacing w:val="0"/>
          <w:sz w:val="32"/>
          <w:szCs w:val="32"/>
          <w:highlight w:val="none"/>
          <w:lang w:val="en-US" w:eastAsia="zh-CN"/>
        </w:rPr>
        <w:t>优化升级“首席服务官”等机制，强化要素保障，全力推进君合新能源、中储粮河源直属库仓储扩建等</w:t>
      </w:r>
      <w:r>
        <w:rPr>
          <w:rFonts w:hint="eastAsia" w:ascii="宋体" w:hAnsi="宋体" w:eastAsia="宋体" w:cs="宋体"/>
          <w:color w:val="auto"/>
          <w:spacing w:val="0"/>
          <w:sz w:val="32"/>
          <w:szCs w:val="32"/>
          <w:highlight w:val="none"/>
          <w:lang w:val="en-US" w:eastAsia="zh-CN"/>
        </w:rPr>
        <w:t>74</w:t>
      </w:r>
      <w:r>
        <w:rPr>
          <w:rFonts w:hint="eastAsia" w:ascii="宋体" w:hAnsi="宋体" w:eastAsia="方正仿宋_GBK" w:cs="Times New Roman"/>
          <w:color w:val="auto"/>
          <w:spacing w:val="0"/>
          <w:sz w:val="32"/>
          <w:szCs w:val="32"/>
          <w:highlight w:val="none"/>
          <w:lang w:val="en-US" w:eastAsia="zh-CN"/>
        </w:rPr>
        <w:t>个重点项目建设，力争全年完成年度投资</w:t>
      </w:r>
      <w:r>
        <w:rPr>
          <w:rFonts w:hint="eastAsia" w:ascii="宋体" w:hAnsi="宋体" w:eastAsia="宋体" w:cs="宋体"/>
          <w:color w:val="auto"/>
          <w:spacing w:val="0"/>
          <w:sz w:val="32"/>
          <w:szCs w:val="32"/>
          <w:highlight w:val="none"/>
          <w:lang w:val="en-US" w:eastAsia="zh-CN"/>
        </w:rPr>
        <w:t>5</w:t>
      </w:r>
      <w:r>
        <w:rPr>
          <w:rFonts w:hint="eastAsia" w:ascii="宋体" w:hAnsi="宋体" w:cs="宋体"/>
          <w:color w:val="auto"/>
          <w:spacing w:val="0"/>
          <w:sz w:val="32"/>
          <w:szCs w:val="32"/>
          <w:highlight w:val="none"/>
          <w:lang w:val="en-US" w:eastAsia="zh-CN"/>
        </w:rPr>
        <w:t>4</w:t>
      </w:r>
      <w:r>
        <w:rPr>
          <w:rFonts w:hint="eastAsia" w:ascii="宋体" w:hAnsi="宋体" w:eastAsia="方正仿宋_GBK" w:cs="Times New Roman"/>
          <w:color w:val="auto"/>
          <w:spacing w:val="0"/>
          <w:sz w:val="32"/>
          <w:szCs w:val="32"/>
          <w:highlight w:val="none"/>
          <w:lang w:val="en-US" w:eastAsia="zh-CN"/>
        </w:rPr>
        <w:t>.</w:t>
      </w:r>
      <w:r>
        <w:rPr>
          <w:rFonts w:hint="eastAsia" w:ascii="宋体" w:hAnsi="宋体" w:eastAsia="宋体" w:cs="宋体"/>
          <w:color w:val="auto"/>
          <w:spacing w:val="0"/>
          <w:sz w:val="32"/>
          <w:szCs w:val="32"/>
          <w:highlight w:val="none"/>
          <w:lang w:val="en-US" w:eastAsia="zh-CN"/>
        </w:rPr>
        <w:t>3</w:t>
      </w:r>
      <w:r>
        <w:rPr>
          <w:rFonts w:hint="eastAsia" w:ascii="宋体" w:hAnsi="宋体" w:eastAsia="方正仿宋_GBK" w:cs="Times New Roman"/>
          <w:color w:val="auto"/>
          <w:spacing w:val="0"/>
          <w:sz w:val="32"/>
          <w:szCs w:val="32"/>
          <w:highlight w:val="none"/>
          <w:lang w:val="en-US" w:eastAsia="zh-CN"/>
        </w:rPr>
        <w:t>亿元以上。加强</w:t>
      </w:r>
      <w:r>
        <w:rPr>
          <w:rFonts w:hint="eastAsia" w:ascii="宋体" w:hAnsi="宋体" w:eastAsia="宋体" w:cs="宋体"/>
          <w:color w:val="auto"/>
          <w:spacing w:val="0"/>
          <w:sz w:val="32"/>
          <w:szCs w:val="32"/>
          <w:highlight w:val="none"/>
          <w:lang w:val="en-US" w:eastAsia="zh-CN"/>
        </w:rPr>
        <w:t>86</w:t>
      </w:r>
      <w:r>
        <w:rPr>
          <w:rFonts w:hint="eastAsia" w:ascii="宋体" w:hAnsi="宋体" w:eastAsia="方正仿宋_GBK" w:cs="Times New Roman"/>
          <w:color w:val="auto"/>
          <w:spacing w:val="0"/>
          <w:sz w:val="32"/>
          <w:szCs w:val="32"/>
          <w:highlight w:val="none"/>
          <w:lang w:val="en-US" w:eastAsia="zh-CN"/>
        </w:rPr>
        <w:t>个全域土地综合整治项目调度，加快农村生活污水治理项目、埔前镇耕地连片整治项目建设，服务保障源城区废弃矿山生态修复、废弃产业用地增减挂钩(拆旧复垦)、产业园基础设施提升等项目落地动工建设，全力培育新增长点。更好发挥财政资金“杠杆”作用，撬动金融、民间、社会资本支持实体经济发展，力争新增政府债券资金</w:t>
      </w:r>
      <w:r>
        <w:rPr>
          <w:rFonts w:hint="eastAsia" w:ascii="宋体" w:hAnsi="宋体" w:eastAsia="宋体" w:cs="宋体"/>
          <w:color w:val="auto"/>
          <w:spacing w:val="0"/>
          <w:sz w:val="32"/>
          <w:szCs w:val="32"/>
          <w:highlight w:val="none"/>
          <w:lang w:val="en-US" w:eastAsia="zh-CN"/>
        </w:rPr>
        <w:t>12</w:t>
      </w:r>
      <w:r>
        <w:rPr>
          <w:rFonts w:hint="eastAsia" w:ascii="宋体" w:hAnsi="宋体" w:eastAsia="方正仿宋_GBK" w:cs="Times New Roman"/>
          <w:color w:val="auto"/>
          <w:spacing w:val="0"/>
          <w:sz w:val="32"/>
          <w:szCs w:val="32"/>
          <w:highlight w:val="none"/>
          <w:lang w:val="en-US" w:eastAsia="zh-CN"/>
        </w:rPr>
        <w:t>亿元以上，新增社会融资</w:t>
      </w:r>
      <w:r>
        <w:rPr>
          <w:rFonts w:hint="eastAsia" w:ascii="宋体" w:hAnsi="宋体" w:eastAsia="宋体" w:cs="宋体"/>
          <w:color w:val="auto"/>
          <w:spacing w:val="0"/>
          <w:sz w:val="32"/>
          <w:szCs w:val="32"/>
          <w:highlight w:val="none"/>
          <w:lang w:val="en-US" w:eastAsia="zh-CN"/>
        </w:rPr>
        <w:t>6</w:t>
      </w:r>
      <w:r>
        <w:rPr>
          <w:rFonts w:hint="eastAsia" w:ascii="宋体" w:hAnsi="宋体" w:eastAsia="方正仿宋_GBK" w:cs="Times New Roman"/>
          <w:color w:val="auto"/>
          <w:spacing w:val="0"/>
          <w:sz w:val="32"/>
          <w:szCs w:val="32"/>
          <w:highlight w:val="none"/>
          <w:lang w:val="en-US" w:eastAsia="zh-CN"/>
        </w:rPr>
        <w:t>亿元以上。</w:t>
      </w:r>
    </w:p>
    <w:p w14:paraId="559950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color w:val="auto"/>
          <w:lang w:val="en-US" w:eastAsia="zh-CN"/>
        </w:rPr>
      </w:pPr>
      <w:r>
        <w:rPr>
          <w:rFonts w:hint="eastAsia" w:ascii="宋体" w:hAnsi="宋体" w:eastAsia="方正楷体_GBK" w:cs="方正楷体_GBK"/>
          <w:b w:val="0"/>
          <w:bCs w:val="0"/>
          <w:color w:val="auto"/>
          <w:spacing w:val="0"/>
          <w:sz w:val="32"/>
          <w:szCs w:val="32"/>
          <w:highlight w:val="none"/>
          <w:lang w:val="en-US" w:eastAsia="zh-CN"/>
        </w:rPr>
        <w:t>（二）持续激发消费潜力</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扩大“两新”政策效应，落实上级促消费政策，积极开展新一轮大规模设备更新和消费品以旧换新，精心谋划各种促消费活动，促进消费市场升温回暖。多渠道推动坚基、万隆城等核心商圈引流，完善太平古街、潮玩文化街等商业街区功能配套，提质升级红星东路、大同路等夜间经济街区，挖掘义乌批发市场转型、一通汽车城数字化升级潜力，建设改造一批镇级商贸中心和传统商业网点，着力打造区域性现代商贸中心。培育“演出+”“体育+”“直播+”等聚人气引客流的消费模式，积极发展国货国潮、文创文艺、银发经济、首店经济、老店经济等消费业态，做大做优养老、家政、托育、宠物等服务市场，推动消费提质升级。</w:t>
      </w:r>
      <w:r>
        <w:rPr>
          <w:rFonts w:hint="eastAsia" w:ascii="宋体" w:hAnsi="宋体" w:eastAsia="方正仿宋_GBK" w:cs="方正仿宋_GBK"/>
          <w:i w:val="0"/>
          <w:iCs w:val="0"/>
          <w:caps w:val="0"/>
          <w:color w:val="auto"/>
          <w:spacing w:val="0"/>
          <w:sz w:val="32"/>
          <w:szCs w:val="32"/>
          <w:shd w:val="clear" w:color="auto" w:fill="FFFFFF"/>
          <w:lang w:val="en-US" w:eastAsia="zh-CN"/>
        </w:rPr>
        <w:t>抓好巴伐利亚庄园、客天下水晶温泉度假区旅游产品业态和服务的完善提升</w:t>
      </w:r>
      <w:r>
        <w:rPr>
          <w:rFonts w:hint="eastAsia" w:ascii="宋体" w:hAnsi="宋体" w:eastAsia="方正仿宋_GBK" w:cs="方正仿宋_GBK"/>
          <w:color w:val="auto"/>
          <w:spacing w:val="0"/>
          <w:sz w:val="32"/>
          <w:szCs w:val="32"/>
          <w:highlight w:val="none"/>
          <w:lang w:val="en-US" w:eastAsia="zh-CN"/>
        </w:rPr>
        <w:t>，提档升级野趣沟、“老城四宝”等景区（点），</w:t>
      </w:r>
      <w:r>
        <w:rPr>
          <w:rFonts w:hint="eastAsia" w:ascii="宋体" w:hAnsi="宋体" w:eastAsia="方正仿宋_GBK" w:cs="方正仿宋_GBK"/>
          <w:i w:val="0"/>
          <w:iCs w:val="0"/>
          <w:caps w:val="0"/>
          <w:color w:val="auto"/>
          <w:spacing w:val="0"/>
          <w:sz w:val="32"/>
          <w:szCs w:val="32"/>
          <w:shd w:val="clear" w:color="auto" w:fill="FFFFFF"/>
          <w:lang w:val="en-US" w:eastAsia="zh-CN"/>
        </w:rPr>
        <w:t>推动</w:t>
      </w:r>
      <w:r>
        <w:rPr>
          <w:rFonts w:hint="eastAsia" w:ascii="宋体" w:hAnsi="宋体" w:eastAsia="方正仿宋_GBK" w:cs="方正仿宋_GBK"/>
          <w:b w:val="0"/>
          <w:bCs w:val="0"/>
          <w:i w:val="0"/>
          <w:iCs w:val="0"/>
          <w:caps w:val="0"/>
          <w:color w:val="auto"/>
          <w:spacing w:val="0"/>
          <w:sz w:val="32"/>
          <w:szCs w:val="32"/>
          <w:shd w:val="clear" w:color="auto" w:fill="FFFFFF"/>
          <w:lang w:val="en-US" w:eastAsia="zh-CN"/>
        </w:rPr>
        <w:t>宝枫生态园</w:t>
      </w:r>
      <w:r>
        <w:rPr>
          <w:rFonts w:hint="eastAsia" w:ascii="宋体" w:hAnsi="宋体" w:eastAsia="方正仿宋_GBK" w:cs="方正仿宋_GBK"/>
          <w:i w:val="0"/>
          <w:iCs w:val="0"/>
          <w:caps w:val="0"/>
          <w:color w:val="auto"/>
          <w:spacing w:val="0"/>
          <w:sz w:val="32"/>
          <w:szCs w:val="32"/>
          <w:shd w:val="clear" w:color="auto" w:fill="FFFFFF"/>
          <w:lang w:val="en-US" w:eastAsia="zh-CN"/>
        </w:rPr>
        <w:t>等旅游点创建国家3A级旅游景区</w:t>
      </w:r>
      <w:r>
        <w:rPr>
          <w:rFonts w:hint="eastAsia" w:ascii="宋体" w:hAnsi="宋体" w:eastAsia="方正仿宋_GBK" w:cs="方正仿宋_GBK"/>
          <w:color w:val="auto"/>
          <w:spacing w:val="0"/>
          <w:sz w:val="32"/>
          <w:szCs w:val="32"/>
          <w:highlight w:val="none"/>
          <w:lang w:val="en-US" w:eastAsia="zh-CN"/>
        </w:rPr>
        <w:t>，发展体验式、沉浸式农文旅新业态，打造更多“一晚两天”“两晚三天”旅游经典线路。</w:t>
      </w:r>
    </w:p>
    <w:p w14:paraId="4E3D7D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color w:val="auto"/>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（三）深化外贸产业培育</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发挥香港源城同乡会、深圳源城商会等作用，支持企业通过广交会、进博会、“粤贸全球”系列展会等平台，抢抓更多外贸订单，助力企业开拓海外市场。推动精电、伊罗卡等外资企业增资扩产，力争实现利用外资超</w:t>
      </w:r>
      <w:r>
        <w:rPr>
          <w:rFonts w:hint="eastAsia" w:ascii="宋体" w:hAnsi="宋体" w:eastAsia="宋体" w:cs="宋体"/>
          <w:color w:val="auto"/>
          <w:spacing w:val="0"/>
          <w:sz w:val="32"/>
          <w:szCs w:val="32"/>
          <w:highlight w:val="none"/>
          <w:lang w:val="en-US" w:eastAsia="zh-CN"/>
        </w:rPr>
        <w:t>1</w:t>
      </w:r>
      <w:r>
        <w:rPr>
          <w:rFonts w:hint="eastAsia" w:ascii="宋体" w:hAnsi="宋体" w:eastAsia="方正仿宋_GBK" w:cs="Times New Roman"/>
          <w:color w:val="auto"/>
          <w:spacing w:val="0"/>
          <w:sz w:val="32"/>
          <w:szCs w:val="32"/>
          <w:highlight w:val="none"/>
          <w:lang w:val="en-US" w:eastAsia="zh-CN"/>
        </w:rPr>
        <w:t>.</w:t>
      </w:r>
      <w:r>
        <w:rPr>
          <w:rFonts w:hint="eastAsia" w:ascii="宋体" w:hAnsi="宋体" w:eastAsia="宋体" w:cs="宋体"/>
          <w:color w:val="auto"/>
          <w:spacing w:val="0"/>
          <w:sz w:val="32"/>
          <w:szCs w:val="32"/>
          <w:highlight w:val="none"/>
          <w:lang w:val="en-US" w:eastAsia="zh-CN"/>
        </w:rPr>
        <w:t>4</w:t>
      </w:r>
      <w:r>
        <w:rPr>
          <w:rFonts w:hint="eastAsia" w:ascii="宋体" w:hAnsi="宋体" w:eastAsia="方正仿宋_GBK" w:cs="Times New Roman"/>
          <w:color w:val="auto"/>
          <w:spacing w:val="0"/>
          <w:sz w:val="32"/>
          <w:szCs w:val="32"/>
          <w:highlight w:val="none"/>
          <w:lang w:val="en-US" w:eastAsia="zh-CN"/>
        </w:rPr>
        <w:t>亿元、增长</w:t>
      </w:r>
      <w:r>
        <w:rPr>
          <w:rFonts w:hint="eastAsia" w:ascii="宋体" w:hAnsi="宋体" w:eastAsia="宋体" w:cs="宋体"/>
          <w:color w:val="auto"/>
          <w:spacing w:val="0"/>
          <w:sz w:val="32"/>
          <w:szCs w:val="32"/>
          <w:highlight w:val="none"/>
          <w:lang w:val="en-US" w:eastAsia="zh-CN"/>
        </w:rPr>
        <w:t>6</w:t>
      </w:r>
      <w:r>
        <w:rPr>
          <w:rFonts w:hint="eastAsia" w:ascii="宋体" w:hAnsi="宋体" w:eastAsia="方正仿宋_GBK" w:cs="Times New Roman"/>
          <w:color w:val="auto"/>
          <w:spacing w:val="0"/>
          <w:sz w:val="32"/>
          <w:szCs w:val="32"/>
          <w:highlight w:val="none"/>
          <w:lang w:val="en-US" w:eastAsia="zh-CN"/>
        </w:rPr>
        <w:t>%。加快源城区跨境电子商务产业园建设，开展跨境电商对接交流、人才培训等活动，引导更多企业开展跨境电商业务，扩大跨境电商进出口增量。保护外企合法权益，引导外商宣传推介源城，提升对外资的吸引力，努力引进一批符合区域发展规划和产业功能定位的外向型项目。</w:t>
      </w:r>
    </w:p>
    <w:p w14:paraId="1ECFF8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方正楷体_GBK" w:cs="方正楷体_GBK"/>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五、抓好重点领域改革，不断激发发展内生动力。</w:t>
      </w:r>
    </w:p>
    <w:p w14:paraId="057F46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color w:val="auto"/>
          <w:spacing w:val="-6"/>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（一）持续优化营商环境</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大力实施“优服务”行动，</w:t>
      </w:r>
      <w:r>
        <w:rPr>
          <w:rFonts w:hint="eastAsia" w:ascii="宋体" w:hAnsi="宋体" w:eastAsia="方正仿宋_GBK" w:cs="方正仿宋_GBK"/>
          <w:color w:val="auto"/>
          <w:sz w:val="32"/>
          <w:szCs w:val="32"/>
          <w:highlight w:val="none"/>
          <w:lang w:val="en-US" w:eastAsia="zh-CN"/>
        </w:rPr>
        <w:t>对标广州</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深圳</w:t>
      </w:r>
      <w:r>
        <w:rPr>
          <w:rFonts w:hint="eastAsia" w:ascii="宋体" w:hAnsi="宋体" w:eastAsia="方正仿宋_GBK" w:cs="方正仿宋_GBK"/>
          <w:color w:val="auto"/>
          <w:sz w:val="32"/>
          <w:szCs w:val="32"/>
          <w:highlight w:val="none"/>
          <w:lang w:val="en-US" w:eastAsia="zh-CN"/>
        </w:rPr>
        <w:t>等湾区城市</w:t>
      </w:r>
      <w:r>
        <w:rPr>
          <w:rFonts w:hint="eastAsia" w:ascii="宋体" w:hAnsi="宋体" w:eastAsia="方正仿宋_GBK" w:cs="方正仿宋_GBK"/>
          <w:color w:val="auto"/>
          <w:sz w:val="32"/>
          <w:szCs w:val="32"/>
          <w:highlight w:val="none"/>
        </w:rPr>
        <w:t>优化营商环境先进做法，</w:t>
      </w:r>
      <w:r>
        <w:rPr>
          <w:rFonts w:hint="eastAsia" w:ascii="宋体" w:hAnsi="宋体" w:eastAsia="方正仿宋_GBK" w:cs="方正仿宋_GBK"/>
          <w:color w:val="auto"/>
          <w:sz w:val="32"/>
          <w:szCs w:val="32"/>
          <w:highlight w:val="none"/>
          <w:lang w:val="en-US" w:eastAsia="zh-CN"/>
        </w:rPr>
        <w:t>推行“高效办成一件事”集成服务，创新推进政务服务“立即办、集成办、专题办”等三办服务，</w:t>
      </w:r>
      <w:r>
        <w:rPr>
          <w:rFonts w:hint="eastAsia" w:ascii="宋体" w:hAnsi="宋体" w:eastAsia="方正仿宋_GBK" w:cs="方正仿宋_GBK"/>
          <w:color w:val="auto"/>
          <w:sz w:val="32"/>
          <w:szCs w:val="32"/>
          <w:highlight w:val="none"/>
        </w:rPr>
        <w:t>推动全区办事标准</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服务质效</w:t>
      </w:r>
      <w:r>
        <w:rPr>
          <w:rFonts w:hint="eastAsia" w:ascii="宋体" w:hAnsi="宋体" w:eastAsia="方正仿宋_GBK" w:cs="方正仿宋_GBK"/>
          <w:color w:val="auto"/>
          <w:sz w:val="32"/>
          <w:szCs w:val="32"/>
          <w:highlight w:val="none"/>
          <w:lang w:val="en-US" w:eastAsia="zh-CN"/>
        </w:rPr>
        <w:t>等方面</w:t>
      </w:r>
      <w:r>
        <w:rPr>
          <w:rFonts w:hint="eastAsia" w:ascii="宋体" w:hAnsi="宋体" w:eastAsia="方正仿宋_GBK" w:cs="方正仿宋_GBK"/>
          <w:color w:val="auto"/>
          <w:sz w:val="32"/>
          <w:szCs w:val="32"/>
          <w:highlight w:val="none"/>
        </w:rPr>
        <w:t>与</w:t>
      </w:r>
      <w:r>
        <w:rPr>
          <w:rFonts w:hint="eastAsia" w:ascii="宋体" w:hAnsi="宋体" w:eastAsia="方正仿宋_GBK" w:cs="方正仿宋_GBK"/>
          <w:color w:val="auto"/>
          <w:sz w:val="32"/>
          <w:szCs w:val="32"/>
          <w:highlight w:val="none"/>
          <w:lang w:val="en-US" w:eastAsia="zh-CN"/>
        </w:rPr>
        <w:t>湾区城市</w:t>
      </w:r>
      <w:r>
        <w:rPr>
          <w:rFonts w:hint="eastAsia" w:ascii="宋体" w:hAnsi="宋体" w:eastAsia="方正仿宋_GBK" w:cs="方正仿宋_GBK"/>
          <w:color w:val="auto"/>
          <w:sz w:val="32"/>
          <w:szCs w:val="32"/>
          <w:highlight w:val="none"/>
        </w:rPr>
        <w:t>接轨</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畅通政企交流渠道，</w:t>
      </w:r>
      <w:r>
        <w:rPr>
          <w:rFonts w:hint="eastAsia" w:ascii="宋体" w:hAnsi="宋体" w:eastAsia="方正仿宋_GBK" w:cs="方正仿宋_GBK"/>
          <w:color w:val="auto"/>
          <w:sz w:val="32"/>
          <w:szCs w:val="32"/>
          <w:highlight w:val="none"/>
          <w:shd w:val="clear" w:color="auto" w:fill="auto"/>
          <w:vertAlign w:val="baseline"/>
          <w:lang w:val="en-US" w:eastAsia="zh-CN"/>
        </w:rPr>
        <w:t>用好区领导联系服务“四上”企业、“首席+贴身服务员”“保姆式”服务等措施，完善“面对面”政企交流座谈会、“企业座谈午餐会”等机制，协调解决企业生产经营中的难点堵点问题。</w:t>
      </w:r>
      <w:r>
        <w:rPr>
          <w:rFonts w:hint="eastAsia" w:ascii="宋体" w:hAnsi="宋体" w:eastAsia="方正仿宋_GBK" w:cs="方正仿宋_GBK"/>
          <w:color w:val="auto"/>
          <w:sz w:val="32"/>
          <w:szCs w:val="32"/>
          <w:highlight w:val="none"/>
          <w:u w:val="none" w:color="auto"/>
          <w:lang w:val="en-US" w:eastAsia="zh-CN"/>
        </w:rPr>
        <w:t>抓好“园区事园内办”，推行工业企业“综合查一次”，</w:t>
      </w:r>
      <w:r>
        <w:rPr>
          <w:rFonts w:hint="eastAsia" w:ascii="宋体" w:hAnsi="宋体" w:eastAsia="方正仿宋_GBK" w:cs="Times New Roman"/>
          <w:color w:val="auto"/>
          <w:spacing w:val="0"/>
          <w:sz w:val="32"/>
          <w:szCs w:val="32"/>
          <w:highlight w:val="none"/>
          <w:lang w:val="en-US" w:eastAsia="zh-CN"/>
        </w:rPr>
        <w:t>健全“交地即动工”“竣工即发证”“预验即试产”一条龙服务工作机制，推动项目审批、竣工验收等流程革新再造、形成指引</w:t>
      </w:r>
      <w:r>
        <w:rPr>
          <w:rFonts w:hint="eastAsia" w:ascii="宋体" w:hAnsi="宋体" w:eastAsia="方正仿宋_GBK" w:cs="方正仿宋_GBK"/>
          <w:color w:val="auto"/>
          <w:sz w:val="32"/>
          <w:szCs w:val="32"/>
          <w:highlight w:val="none"/>
          <w:u w:val="none" w:color="auto"/>
          <w:lang w:val="en-US" w:eastAsia="zh-CN"/>
        </w:rPr>
        <w:t>，推动更多涉企服务事项下放至企业“家门口”。推进政务服务“跨域通办”</w:t>
      </w:r>
      <w:r>
        <w:rPr>
          <w:rFonts w:hint="eastAsia" w:ascii="宋体" w:hAnsi="宋体" w:eastAsia="方正仿宋_GBK" w:cs="方正仿宋_GBK"/>
          <w:color w:val="auto"/>
          <w:sz w:val="32"/>
          <w:szCs w:val="32"/>
          <w:highlight w:val="none"/>
          <w:shd w:val="clear" w:color="auto" w:fill="auto"/>
          <w:vertAlign w:val="baseline"/>
          <w:lang w:val="en-US" w:eastAsia="zh-CN"/>
        </w:rPr>
        <w:t>，推动与更多大湾区城市建立跨城协作机制，促进政务服务便利化。</w:t>
      </w:r>
      <w:r>
        <w:rPr>
          <w:rFonts w:hint="eastAsia" w:ascii="宋体" w:hAnsi="宋体" w:eastAsia="方正仿宋_GBK" w:cs="方正仿宋_GBK"/>
          <w:color w:val="auto"/>
          <w:sz w:val="32"/>
          <w:szCs w:val="32"/>
          <w:highlight w:val="none"/>
          <w:vertAlign w:val="baseline"/>
          <w:lang w:val="en-US" w:eastAsia="zh-CN"/>
        </w:rPr>
        <w:t>完善支持小微企业融资协调工作机</w:t>
      </w:r>
      <w:r>
        <w:rPr>
          <w:rFonts w:hint="eastAsia" w:ascii="宋体" w:hAnsi="宋体" w:eastAsia="方正仿宋_GBK" w:cs="方正仿宋_GBK"/>
          <w:color w:val="auto"/>
          <w:spacing w:val="-6"/>
          <w:sz w:val="32"/>
          <w:szCs w:val="32"/>
          <w:highlight w:val="none"/>
          <w:lang w:val="en-US" w:eastAsia="zh-CN"/>
        </w:rPr>
        <w:t>制，组织开展“千企万户大走访”活动，促进银企资金供需精准对接</w:t>
      </w:r>
      <w:r>
        <w:rPr>
          <w:rFonts w:hint="eastAsia" w:ascii="宋体" w:hAnsi="宋体" w:eastAsia="方正仿宋_GBK" w:cs="方正仿宋_GBK"/>
          <w:color w:val="auto"/>
          <w:spacing w:val="-6"/>
          <w:sz w:val="32"/>
          <w:szCs w:val="32"/>
          <w:highlight w:val="none"/>
          <w:lang w:eastAsia="zh-CN"/>
        </w:rPr>
        <w:t>。</w:t>
      </w:r>
      <w:r>
        <w:rPr>
          <w:rFonts w:hint="eastAsia" w:ascii="宋体" w:hAnsi="宋体" w:eastAsia="方正仿宋_GBK" w:cs="方正仿宋_GBK"/>
          <w:color w:val="auto"/>
          <w:spacing w:val="-6"/>
          <w:sz w:val="32"/>
          <w:szCs w:val="32"/>
          <w:highlight w:val="none"/>
          <w:u w:val="none" w:color="auto"/>
          <w:lang w:val="en-US" w:eastAsia="zh-CN"/>
        </w:rPr>
        <w:t>深入推进重点领域知识产权专项行动，全面加强知识产权保护。</w:t>
      </w:r>
    </w:p>
    <w:p w14:paraId="7F0FE1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（二）主动服务和融入全国统一大市场</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落实全国统一大市场建设标准指引和市场准入负面清单，强化公平竞争审查，持续做好妨碍统一市场和公平竞争政策清理。推动要素市场化配置综合改革试点建设各项任务落地落实，加强土地、劳动力、资本、技术、数据等五大要素改革创新，积极探索基层改革事项，及时总结推广改革典型案例，让改革成果惠及更多人民群众。</w:t>
      </w:r>
    </w:p>
    <w:p w14:paraId="018375D6">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textAlignment w:val="auto"/>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（三）深化国企、财税、镇（街道）改革</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加大国资国企改革、整合力度，建立健全闲置国有资产盘活和镇（街道）国有资产清产核资、统一运营管理机制，推动国有企业产业化、市场化转型。积极探索新型农村集体经济实现方式，深化“富镇强村公司”“富民工坊”等发展模式，推动村集体经济健康有序发展。配合推进财税改革，进一步改进和优化税收政策，协调推进源城财政事权和支出责任体系的划分，争取优化市区共享收入分成比例。</w:t>
      </w:r>
      <w:r>
        <w:rPr>
          <w:rFonts w:hint="eastAsia" w:ascii="宋体" w:hAnsi="宋体" w:eastAsia="方正仿宋_GBK" w:cs="方正仿宋_GBK"/>
          <w:b w:val="0"/>
          <w:bCs w:val="0"/>
          <w:color w:val="auto"/>
          <w:sz w:val="32"/>
          <w:szCs w:val="32"/>
          <w:highlight w:val="none"/>
          <w:u w:val="none" w:color="auto"/>
          <w:lang w:val="en-US" w:eastAsia="zh-CN"/>
        </w:rPr>
        <w:t>深化镇（街道）管理体制改革，用好“镇（街道）吹哨、部门报到”机制，推动利于基层治理和发展的资源、管理、服务等要素稳妥下沉。</w:t>
      </w:r>
    </w:p>
    <w:p w14:paraId="403CCD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黑体" w:cs="黑体"/>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六、加快“融湾”“融深”步伐，走出互联互通发展路径</w:t>
      </w:r>
    </w:p>
    <w:p w14:paraId="722FC7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（一）完善交通立体网络</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构建外联内通的公路设施网，加快推进省道S</w:t>
      </w:r>
      <w:r>
        <w:rPr>
          <w:rFonts w:hint="eastAsia" w:ascii="宋体" w:hAnsi="宋体" w:eastAsia="宋体" w:cs="宋体"/>
          <w:color w:val="auto"/>
          <w:spacing w:val="0"/>
          <w:sz w:val="32"/>
          <w:szCs w:val="32"/>
          <w:highlight w:val="none"/>
          <w:lang w:val="en-US" w:eastAsia="zh-CN"/>
        </w:rPr>
        <w:t>514</w:t>
      </w:r>
      <w:r>
        <w:rPr>
          <w:rFonts w:hint="eastAsia" w:ascii="宋体" w:hAnsi="宋体" w:eastAsia="方正仿宋_GBK" w:cs="Times New Roman"/>
          <w:color w:val="auto"/>
          <w:spacing w:val="0"/>
          <w:sz w:val="32"/>
          <w:szCs w:val="32"/>
          <w:highlight w:val="none"/>
          <w:lang w:val="en-US" w:eastAsia="zh-CN"/>
        </w:rPr>
        <w:t>线路面改造工程建设，全力协调保障长深高速（源城段）改扩建工程</w:t>
      </w:r>
      <w:r>
        <w:rPr>
          <w:rFonts w:hint="eastAsia" w:ascii="宋体" w:hAnsi="宋体" w:eastAsia="宋体" w:cs="宋体"/>
          <w:color w:val="auto"/>
          <w:spacing w:val="0"/>
          <w:sz w:val="32"/>
          <w:szCs w:val="32"/>
          <w:highlight w:val="none"/>
          <w:lang w:val="en-US" w:eastAsia="zh-CN"/>
        </w:rPr>
        <w:t>2025</w:t>
      </w:r>
      <w:r>
        <w:rPr>
          <w:rFonts w:hint="eastAsia" w:ascii="宋体" w:hAnsi="宋体" w:eastAsia="方正仿宋_GBK" w:cs="Times New Roman"/>
          <w:color w:val="auto"/>
          <w:spacing w:val="0"/>
          <w:sz w:val="32"/>
          <w:szCs w:val="32"/>
          <w:highlight w:val="none"/>
          <w:lang w:val="en-US" w:eastAsia="zh-CN"/>
        </w:rPr>
        <w:t>年年底竣工通车。构建通江达海的水运航道网，配合做好东江河源至石龙段航道扩能升级、源城港区码头建设前期工作。着力解决G</w:t>
      </w:r>
      <w:r>
        <w:rPr>
          <w:rFonts w:hint="eastAsia" w:ascii="宋体" w:hAnsi="宋体" w:eastAsia="宋体" w:cs="宋体"/>
          <w:color w:val="auto"/>
          <w:spacing w:val="0"/>
          <w:sz w:val="32"/>
          <w:szCs w:val="32"/>
          <w:highlight w:val="none"/>
          <w:lang w:val="en-US" w:eastAsia="zh-CN"/>
        </w:rPr>
        <w:t>205</w:t>
      </w:r>
      <w:r>
        <w:rPr>
          <w:rFonts w:hint="eastAsia" w:ascii="宋体" w:hAnsi="宋体" w:eastAsia="方正仿宋_GBK" w:cs="Times New Roman"/>
          <w:color w:val="auto"/>
          <w:spacing w:val="0"/>
          <w:sz w:val="32"/>
          <w:szCs w:val="32"/>
          <w:highlight w:val="none"/>
          <w:lang w:val="en-US" w:eastAsia="zh-CN"/>
        </w:rPr>
        <w:t>国道等主要道路路面坏烂、防护设施不足等问题，全力抓好“四横一纵”沿线交通安全治理和秩序管理。用好源城地理位置优势，依托区工业园三期扩园（大塘片区）物流仓储用地，精准引进一批综合物流服务龙头企业，积极争取与周边陆运、海运、空运枢纽建立合作关系，探索建立仓储物流公共信息平台，增强多式联运、仓储中转、集拼集运、运力调配等服务能力，着力打造区域性现代物流中心。</w:t>
      </w:r>
    </w:p>
    <w:p w14:paraId="233032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（二）推进产业合作共建</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依托深圳对口帮扶有利契机，深化与深圳大鹏新区、福田区、龙岗区战略合作事项，主动对接高校、医院、科研院所等优质资源，强化项目要素对接，加快推动产业共建。推进“供销一张网”建设，推动源城优质农特产品、生态产品直供“双区”、纳入“圳品名录库”，打造“双区”重要的米袋子、菜篮子、果盘子和油瓶子。加强康养旅游合作，积极引入“双区”企业投资开发森林康养、生态旅游等产业，着力打造国际绿色康养中心。</w:t>
      </w:r>
    </w:p>
    <w:p w14:paraId="7A1DEA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（三）强化科技创新赋能</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z w:val="32"/>
          <w:szCs w:val="32"/>
          <w:highlight w:val="none"/>
          <w:u w:val="none" w:color="auto"/>
          <w:lang w:val="en-US" w:eastAsia="zh-CN"/>
        </w:rPr>
        <w:t>深入实施创新驱动发展战略，坚持科创“融湾”“融深”，发展“湾区总部+源城基地”“湾区研发+源城生产”等多样化合作模式，推动在更广领域、更深层次链接“双区”创新资源，着力打造区域性科技创新中心。积极参与大湾区国创中心、广深港澳科技创新走廊建设，促进更多人才、资金、技术、数据等科创资源流向源城、留在源城。抓好广东省“双百行动”，探索建立区、校、企紧密合作新模式，完善科技创新成果转移转化机制，推动构建科技企业梯度培育机制和产业链上下游企业协同创新机制，建好建强一批“科创飞地”，推动科技创新成果在源城加速落地、示范应用。</w:t>
      </w:r>
    </w:p>
    <w:p w14:paraId="288231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黑体" w:cs="黑体"/>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七、着力增进民生福祉，满足人民美好生活期待</w:t>
      </w:r>
    </w:p>
    <w:p w14:paraId="635DD0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方正仿宋_GBK"/>
          <w:b w:val="0"/>
          <w:bCs/>
          <w:color w:val="auto"/>
          <w:spacing w:val="0"/>
          <w:sz w:val="32"/>
          <w:szCs w:val="32"/>
          <w:highlight w:val="none"/>
          <w:u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（一）优化就业服务效能</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落实就业优先政策，强化“人才夜校”、就业驿站等平台建设，多渠道举办线上线下招聘会，持续做好高校毕业生、城镇失业人员、退役军人、农民工等重点群体就业工作，推动城镇新增就业</w:t>
      </w:r>
      <w:r>
        <w:rPr>
          <w:rFonts w:hint="eastAsia" w:ascii="宋体" w:hAnsi="宋体" w:eastAsia="宋体" w:cs="宋体"/>
          <w:color w:val="auto"/>
          <w:spacing w:val="0"/>
          <w:sz w:val="32"/>
          <w:szCs w:val="32"/>
          <w:highlight w:val="none"/>
          <w:lang w:val="en-US" w:eastAsia="zh-CN"/>
        </w:rPr>
        <w:t>3500</w:t>
      </w:r>
      <w:r>
        <w:rPr>
          <w:rFonts w:hint="eastAsia" w:ascii="宋体" w:hAnsi="宋体" w:eastAsia="方正仿宋_GBK" w:cs="Times New Roman"/>
          <w:color w:val="auto"/>
          <w:spacing w:val="0"/>
          <w:sz w:val="32"/>
          <w:szCs w:val="32"/>
          <w:highlight w:val="none"/>
          <w:lang w:val="en-US" w:eastAsia="zh-CN"/>
        </w:rPr>
        <w:t>人以上、失业人员实现再就业</w:t>
      </w:r>
      <w:r>
        <w:rPr>
          <w:rFonts w:hint="eastAsia" w:ascii="宋体" w:hAnsi="宋体" w:eastAsia="宋体" w:cs="宋体"/>
          <w:color w:val="auto"/>
          <w:spacing w:val="0"/>
          <w:sz w:val="32"/>
          <w:szCs w:val="32"/>
          <w:highlight w:val="none"/>
          <w:lang w:val="en-US" w:eastAsia="zh-CN"/>
        </w:rPr>
        <w:t>1200</w:t>
      </w:r>
      <w:r>
        <w:rPr>
          <w:rFonts w:hint="eastAsia" w:ascii="宋体" w:hAnsi="宋体" w:eastAsia="方正仿宋_GBK" w:cs="Times New Roman"/>
          <w:color w:val="auto"/>
          <w:spacing w:val="0"/>
          <w:sz w:val="32"/>
          <w:szCs w:val="32"/>
          <w:highlight w:val="none"/>
          <w:lang w:val="en-US" w:eastAsia="zh-CN"/>
        </w:rPr>
        <w:t>人以上。加大力度开展补贴性职业技能培训，培养“粤菜师傅”“南粤家政”“广东技工”“农村电商”等专业人才。完善创业担保贷款和贴息政策，激发企业创业创新活力。</w:t>
      </w:r>
    </w:p>
    <w:p w14:paraId="3BEC49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方正仿宋_GBK"/>
          <w:color w:val="auto"/>
          <w:sz w:val="32"/>
          <w:szCs w:val="32"/>
          <w:vertAlign w:val="baseline"/>
          <w:lang w:val="en-US" w:eastAsia="zh-CN"/>
        </w:rPr>
      </w:pPr>
      <w:r>
        <w:rPr>
          <w:rFonts w:hint="eastAsia" w:ascii="宋体" w:hAnsi="宋体" w:eastAsia="方正楷体_GBK" w:cs="方正楷体_GBK"/>
          <w:b w:val="0"/>
          <w:bCs w:val="0"/>
          <w:color w:val="auto"/>
          <w:spacing w:val="0"/>
          <w:sz w:val="32"/>
          <w:szCs w:val="32"/>
          <w:highlight w:val="none"/>
          <w:lang w:val="en-US" w:eastAsia="zh-CN"/>
        </w:rPr>
        <w:t>（二）办好人民满意教育</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方正仿宋_GBK"/>
          <w:color w:val="auto"/>
          <w:sz w:val="32"/>
          <w:szCs w:val="32"/>
          <w:vertAlign w:val="baseline"/>
          <w:lang w:val="en-US" w:eastAsia="zh-CN"/>
        </w:rPr>
        <w:t>深入推进集团化办学模式革新，推动广师大河源高新区教育集团落地见效。夯实教育资源扩充根基，推动中山路幼儿园、源城区大鹏幼儿园顺利开园，推动埔前镇中心幼儿园顺利移交，推进埔前中学改扩建工程，力争新增学位1000个以上。推进教育优质均衡区和学前教育普及普惠区创建，实施基础教育“百校千师万生”高质量发展行动。完善义务教育优质均衡发展机制，深化新时代教育评价改革、阳光招生、积分入学、义务教育教师“区管校聘”和入学“一件事”改革，加大城乡教育共同体创建力度。</w:t>
      </w:r>
    </w:p>
    <w:p w14:paraId="12D524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（三）提高全民健康水平</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加快完善医疗卫生机构功能布局，着力推进东埔第一社区卫生服务中心大楼建设，合理规划公办社区卫生服务站，打造“</w:t>
      </w:r>
      <w:r>
        <w:rPr>
          <w:rFonts w:hint="eastAsia" w:ascii="宋体" w:hAnsi="宋体" w:eastAsia="宋体" w:cs="宋体"/>
          <w:color w:val="auto"/>
          <w:spacing w:val="0"/>
          <w:sz w:val="32"/>
          <w:szCs w:val="32"/>
          <w:highlight w:val="none"/>
          <w:lang w:val="en-US" w:eastAsia="zh-CN"/>
        </w:rPr>
        <w:t>15</w:t>
      </w:r>
      <w:r>
        <w:rPr>
          <w:rFonts w:hint="eastAsia" w:ascii="宋体" w:hAnsi="宋体" w:eastAsia="方正仿宋_GBK" w:cs="Times New Roman"/>
          <w:color w:val="auto"/>
          <w:spacing w:val="0"/>
          <w:sz w:val="32"/>
          <w:szCs w:val="32"/>
          <w:highlight w:val="none"/>
          <w:lang w:val="en-US" w:eastAsia="zh-CN"/>
        </w:rPr>
        <w:t>分钟健康服务圈”。加强与深圳市龙岗区医疗卫生对口帮扶合作交流，深化</w:t>
      </w:r>
      <w:r>
        <w:rPr>
          <w:rFonts w:hint="eastAsia" w:ascii="宋体" w:hAnsi="宋体" w:eastAsia="方正仿宋_GBK" w:cs="方正仿宋_GBK"/>
          <w:b w:val="0"/>
          <w:bCs w:val="0"/>
          <w:color w:val="auto"/>
          <w:spacing w:val="0"/>
          <w:kern w:val="0"/>
          <w:sz w:val="32"/>
          <w:szCs w:val="32"/>
          <w:highlight w:val="none"/>
          <w:lang w:val="en-US" w:eastAsia="zh-CN" w:bidi="ar-SA"/>
        </w:rPr>
        <w:t>优质医疗卫生资源</w:t>
      </w:r>
      <w:r>
        <w:rPr>
          <w:rFonts w:hint="eastAsia" w:ascii="宋体" w:hAnsi="宋体" w:eastAsia="方正仿宋_GBK" w:cs="Times New Roman"/>
          <w:color w:val="auto"/>
          <w:spacing w:val="0"/>
          <w:sz w:val="32"/>
          <w:szCs w:val="32"/>
          <w:highlight w:val="none"/>
          <w:lang w:val="en-US" w:eastAsia="zh-CN"/>
        </w:rPr>
        <w:t>“组团式”帮扶，加快医疗卫生信息化建设，</w:t>
      </w:r>
      <w:r>
        <w:rPr>
          <w:rFonts w:hint="eastAsia" w:ascii="宋体" w:hAnsi="宋体" w:eastAsia="方正仿宋_GBK" w:cs="方正仿宋_GBK"/>
          <w:b w:val="0"/>
          <w:bCs w:val="0"/>
          <w:color w:val="auto"/>
          <w:spacing w:val="0"/>
          <w:kern w:val="0"/>
          <w:sz w:val="32"/>
          <w:szCs w:val="32"/>
          <w:highlight w:val="none"/>
          <w:lang w:val="en-US" w:eastAsia="zh-CN" w:bidi="ar-SA"/>
        </w:rPr>
        <w:t>推动医疗卫生服务能力提升</w:t>
      </w:r>
      <w:r>
        <w:rPr>
          <w:rFonts w:hint="eastAsia" w:ascii="宋体" w:hAnsi="宋体" w:eastAsia="方正仿宋_GBK" w:cs="Times New Roman"/>
          <w:color w:val="auto"/>
          <w:spacing w:val="0"/>
          <w:sz w:val="32"/>
          <w:szCs w:val="32"/>
          <w:highlight w:val="none"/>
          <w:lang w:val="en-US" w:eastAsia="zh-CN"/>
        </w:rPr>
        <w:t>。深化“三医”联动改革、分级诊疗制度改革和紧密型县域医共体建设，推动优质医疗资源下沉和均衡布局，形成区、镇（街道）、村（社区）三级联动的分级诊疗闭环。促进中医药传承创新发展，推广应用中医药适宜技术。</w:t>
      </w:r>
    </w:p>
    <w:p w14:paraId="739F56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方正仿宋_GBK"/>
          <w:color w:val="auto"/>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（四）促进文体事业发展。</w:t>
      </w:r>
      <w:r>
        <w:rPr>
          <w:rFonts w:hint="eastAsia" w:ascii="宋体" w:hAnsi="宋体" w:eastAsia="方正仿宋_GBK" w:cs="Times New Roman"/>
          <w:b w:val="0"/>
          <w:bCs w:val="0"/>
          <w:color w:val="auto"/>
          <w:spacing w:val="0"/>
          <w:sz w:val="32"/>
          <w:szCs w:val="32"/>
          <w:highlight w:val="none"/>
          <w:lang w:val="en-US" w:eastAsia="zh-CN"/>
        </w:rPr>
        <w:t>坚持推进文化强区建设，加强历史文化发掘传承，建强大同客家文创园、高埔岗文产园等文化新业态IP孵化基地，</w:t>
      </w:r>
      <w:r>
        <w:rPr>
          <w:rFonts w:hint="eastAsia" w:ascii="宋体" w:hAnsi="宋体" w:eastAsia="方正仿宋_GBK" w:cs="方正仿宋_GBK"/>
          <w:color w:val="auto"/>
          <w:sz w:val="32"/>
          <w:szCs w:val="32"/>
          <w:highlight w:val="none"/>
          <w:lang w:val="en-US" w:eastAsia="zh-CN"/>
        </w:rPr>
        <w:t>健全区、镇（街道）、村（社区）三级公共文化设施，办好南</w:t>
      </w:r>
      <w:r>
        <w:rPr>
          <w:rFonts w:hint="eastAsia" w:ascii="宋体" w:hAnsi="宋体" w:eastAsia="方正仿宋_GBK" w:cs="Times New Roman"/>
          <w:b w:val="0"/>
          <w:bCs w:val="0"/>
          <w:color w:val="auto"/>
          <w:spacing w:val="0"/>
          <w:sz w:val="32"/>
          <w:szCs w:val="32"/>
          <w:highlight w:val="none"/>
          <w:lang w:val="en-US" w:eastAsia="zh-CN"/>
        </w:rPr>
        <w:t>国书香节、文化下乡等系列文化活动，积极开展文艺演出、知识讲座、送戏下乡等文化惠民活动，开发一批非遗体验项目，着力打造区域性文化活力中心。推动基层全民健身场地建设，优化源城区足球体育公园等体育场所空间，办好全民健身日系列活动、“喜迎十五运”</w:t>
      </w:r>
      <w:r>
        <w:rPr>
          <w:rFonts w:hint="eastAsia" w:ascii="宋体" w:hAnsi="宋体" w:eastAsia="宋体" w:cs="宋体"/>
          <w:b w:val="0"/>
          <w:bCs w:val="0"/>
          <w:color w:val="auto"/>
          <w:spacing w:val="0"/>
          <w:sz w:val="32"/>
          <w:szCs w:val="32"/>
          <w:highlight w:val="none"/>
          <w:lang w:val="en-US" w:eastAsia="zh-CN"/>
        </w:rPr>
        <w:t>2025</w:t>
      </w:r>
      <w:r>
        <w:rPr>
          <w:rFonts w:hint="eastAsia" w:ascii="宋体" w:hAnsi="宋体" w:eastAsia="方正仿宋_GBK" w:cs="Times New Roman"/>
          <w:b w:val="0"/>
          <w:bCs w:val="0"/>
          <w:color w:val="auto"/>
          <w:spacing w:val="0"/>
          <w:sz w:val="32"/>
          <w:szCs w:val="32"/>
          <w:highlight w:val="none"/>
          <w:lang w:val="en-US" w:eastAsia="zh-CN"/>
        </w:rPr>
        <w:t>年广东省“百县千镇万村”系列赛——百县拔河比赛等赛事活动，积极探索组织户外徒步、越野、广场舞、气排球等全民健身活动，着力提高全民身体素质。</w:t>
      </w:r>
    </w:p>
    <w:p w14:paraId="62B1F8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（五）提升基本保障能力</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健全区、镇（街道）、村（社区）三级服务养老网络，积极探索医养康养深度融合路径，大力推广“供销食堂+长者饭堂”创新模式，打造“</w:t>
      </w:r>
      <w:r>
        <w:rPr>
          <w:rFonts w:hint="eastAsia" w:ascii="宋体" w:hAnsi="宋体" w:eastAsia="宋体" w:cs="宋体"/>
          <w:color w:val="auto"/>
          <w:spacing w:val="0"/>
          <w:sz w:val="32"/>
          <w:szCs w:val="32"/>
          <w:highlight w:val="none"/>
          <w:lang w:val="en-US" w:eastAsia="zh-CN"/>
        </w:rPr>
        <w:t>15</w:t>
      </w:r>
      <w:r>
        <w:rPr>
          <w:rFonts w:hint="eastAsia" w:ascii="宋体" w:hAnsi="宋体" w:eastAsia="方正仿宋_GBK" w:cs="Times New Roman"/>
          <w:color w:val="auto"/>
          <w:spacing w:val="0"/>
          <w:sz w:val="32"/>
          <w:szCs w:val="32"/>
          <w:highlight w:val="none"/>
          <w:lang w:val="en-US" w:eastAsia="zh-CN"/>
        </w:rPr>
        <w:t>分钟养老服务圈”。大力实施托育服务扩容提质行动，鼓励幼儿园开展普惠性托育服务，力争每千人口婴幼儿托位数增至</w:t>
      </w:r>
      <w:r>
        <w:rPr>
          <w:rFonts w:hint="eastAsia" w:ascii="宋体" w:hAnsi="宋体" w:eastAsia="宋体" w:cs="宋体"/>
          <w:color w:val="auto"/>
          <w:spacing w:val="0"/>
          <w:sz w:val="32"/>
          <w:szCs w:val="32"/>
          <w:highlight w:val="none"/>
          <w:lang w:val="en-US" w:eastAsia="zh-CN"/>
        </w:rPr>
        <w:t>5</w:t>
      </w:r>
      <w:r>
        <w:rPr>
          <w:rFonts w:hint="eastAsia" w:ascii="宋体" w:hAnsi="宋体" w:eastAsia="方正仿宋_GBK" w:cs="Times New Roman"/>
          <w:color w:val="auto"/>
          <w:spacing w:val="0"/>
          <w:sz w:val="32"/>
          <w:szCs w:val="32"/>
          <w:highlight w:val="none"/>
          <w:lang w:val="en-US" w:eastAsia="zh-CN"/>
        </w:rPr>
        <w:t>个。全力做好低保、特困人员、残疾人、困境儿童等特殊群体福利保障和救助工作，进一步加强临时救助和长期关怀。发挥“</w:t>
      </w:r>
      <w:r>
        <w:rPr>
          <w:rFonts w:hint="eastAsia" w:ascii="宋体" w:hAnsi="宋体" w:eastAsia="宋体" w:cs="宋体"/>
          <w:color w:val="auto"/>
          <w:spacing w:val="0"/>
          <w:sz w:val="32"/>
          <w:szCs w:val="32"/>
          <w:highlight w:val="none"/>
          <w:lang w:val="en-US" w:eastAsia="zh-CN"/>
        </w:rPr>
        <w:t>12345</w:t>
      </w:r>
      <w:r>
        <w:rPr>
          <w:rFonts w:hint="eastAsia" w:ascii="宋体" w:hAnsi="宋体" w:eastAsia="方正仿宋_GBK" w:cs="Times New Roman"/>
          <w:color w:val="auto"/>
          <w:spacing w:val="0"/>
          <w:sz w:val="32"/>
          <w:szCs w:val="32"/>
          <w:highlight w:val="none"/>
          <w:lang w:val="en-US" w:eastAsia="zh-CN"/>
        </w:rPr>
        <w:t>”政府热线、政务平台、领导留言板、书记区长信箱等便民服务作用，全方位保障民生问题妥善解决。</w:t>
      </w:r>
    </w:p>
    <w:p w14:paraId="3BDA50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黑体" w:cs="黑体"/>
          <w:color w:val="auto"/>
          <w:spacing w:val="0"/>
          <w:sz w:val="32"/>
          <w:szCs w:val="32"/>
          <w:highlight w:val="none"/>
          <w:lang w:val="en-US" w:eastAsia="zh-CN"/>
        </w:rPr>
      </w:pPr>
      <w:r>
        <w:rPr>
          <w:rFonts w:hint="eastAsia" w:ascii="宋体" w:hAnsi="宋体" w:eastAsia="黑体" w:cs="黑体"/>
          <w:color w:val="auto"/>
          <w:spacing w:val="0"/>
          <w:sz w:val="32"/>
          <w:szCs w:val="32"/>
          <w:highlight w:val="none"/>
          <w:lang w:val="en-US" w:eastAsia="zh-CN"/>
        </w:rPr>
        <w:t>八、完善社会治理体系，维护社会大局和谐稳定</w:t>
      </w:r>
    </w:p>
    <w:p w14:paraId="385DD6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（一）抓好风险防范化解</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稳妥处置房地产领域风险隐患，全力做好“保交楼”工作，狠抓欠薪问题源头治理，促进房地产市场平稳健康发展。强化金融监管和风险监测预警，做好非法集资、债券违约等风险防范工作。做好财政领域风险联防联控，加强政府债务风险监测，强化预算刚性约束意识，兜牢“三保”底线，推动财政运行健康平稳。筑牢网络安全屏障，有效化解网络与数据风险。</w:t>
      </w:r>
    </w:p>
    <w:p w14:paraId="02137D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宋体" w:hAnsi="宋体" w:eastAsia="方正仿宋_GBK" w:cs="Times New Roman"/>
          <w:color w:val="auto"/>
          <w:spacing w:val="0"/>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（二）守牢安全发展底线</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稳妥有序开展维护政治安全专项行动和社会矛盾问题专项治理，纵深推进常态化扫黑除恶斗争，强化社会治安联防联控能力，依法严厉打击各类突出违法犯罪。持续排查整治安全隐患，加强建筑施工、城镇燃气、消防、自建房、危化品、食品药品、交通运输、特种设备、能源、森林防灭火等重点领域安全监管，确保安全生产形势稳定。巩固完善“三防”研判机制，加强应急值守、预案演练和物资储备，增强应急处突救援能力。</w:t>
      </w:r>
    </w:p>
    <w:p w14:paraId="48C9D7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方正仿宋_GBK" w:cs="Times New Roman"/>
          <w:color w:val="auto"/>
          <w:spacing w:val="-6"/>
          <w:sz w:val="32"/>
          <w:szCs w:val="32"/>
          <w:highlight w:val="none"/>
          <w:lang w:val="en-US" w:eastAsia="zh-CN"/>
        </w:rPr>
      </w:pPr>
      <w:r>
        <w:rPr>
          <w:rFonts w:hint="eastAsia" w:ascii="宋体" w:hAnsi="宋体" w:eastAsia="方正楷体_GBK" w:cs="方正楷体_GBK"/>
          <w:b w:val="0"/>
          <w:bCs w:val="0"/>
          <w:color w:val="auto"/>
          <w:spacing w:val="0"/>
          <w:sz w:val="32"/>
          <w:szCs w:val="32"/>
          <w:highlight w:val="none"/>
          <w:lang w:val="en-US" w:eastAsia="zh-CN"/>
        </w:rPr>
        <w:t>（三）提升社会治理效能</w:t>
      </w:r>
      <w:r>
        <w:rPr>
          <w:rFonts w:hint="eastAsia" w:ascii="宋体" w:hAnsi="宋体" w:eastAsia="方正楷体_GBK" w:cs="方正楷体_GBK"/>
          <w:color w:val="auto"/>
          <w:spacing w:val="0"/>
          <w:sz w:val="32"/>
          <w:szCs w:val="32"/>
          <w:highlight w:val="none"/>
          <w:lang w:val="en-US" w:eastAsia="zh-CN"/>
        </w:rPr>
        <w:t>。</w:t>
      </w:r>
      <w:r>
        <w:rPr>
          <w:rFonts w:hint="eastAsia" w:ascii="宋体" w:hAnsi="宋体" w:eastAsia="方正仿宋_GBK" w:cs="Times New Roman"/>
          <w:color w:val="auto"/>
          <w:spacing w:val="0"/>
          <w:sz w:val="32"/>
          <w:szCs w:val="32"/>
          <w:highlight w:val="none"/>
          <w:lang w:val="en-US" w:eastAsia="zh-CN"/>
        </w:rPr>
        <w:t>深入推进依法治区，坚持“规范执法”+“柔性服务”，完善重大决策、规范性文件合法性审查机制，发挥行政复议化解行政争议主渠道作用，以高水平法治保障高质量发展。持续深化“</w:t>
      </w:r>
      <w:r>
        <w:rPr>
          <w:rFonts w:hint="eastAsia" w:ascii="宋体" w:hAnsi="宋体" w:eastAsia="宋体" w:cs="宋体"/>
          <w:color w:val="auto"/>
          <w:spacing w:val="0"/>
          <w:sz w:val="32"/>
          <w:szCs w:val="32"/>
          <w:highlight w:val="none"/>
          <w:lang w:val="en-US" w:eastAsia="zh-CN"/>
        </w:rPr>
        <w:t>1</w:t>
      </w:r>
      <w:r>
        <w:rPr>
          <w:rFonts w:hint="eastAsia" w:ascii="宋体" w:hAnsi="宋体" w:eastAsia="方正仿宋_GBK" w:cs="Times New Roman"/>
          <w:color w:val="auto"/>
          <w:spacing w:val="0"/>
          <w:sz w:val="32"/>
          <w:szCs w:val="32"/>
          <w:highlight w:val="none"/>
          <w:lang w:val="en-US" w:eastAsia="zh-CN"/>
        </w:rPr>
        <w:t>+</w:t>
      </w:r>
      <w:r>
        <w:rPr>
          <w:rFonts w:hint="eastAsia" w:ascii="宋体" w:hAnsi="宋体" w:eastAsia="宋体" w:cs="宋体"/>
          <w:color w:val="auto"/>
          <w:spacing w:val="0"/>
          <w:sz w:val="32"/>
          <w:szCs w:val="32"/>
          <w:highlight w:val="none"/>
          <w:lang w:val="en-US" w:eastAsia="zh-CN"/>
        </w:rPr>
        <w:t>6</w:t>
      </w:r>
      <w:r>
        <w:rPr>
          <w:rFonts w:hint="eastAsia" w:ascii="宋体" w:hAnsi="宋体" w:eastAsia="方正仿宋_GBK" w:cs="Times New Roman"/>
          <w:color w:val="auto"/>
          <w:spacing w:val="0"/>
          <w:sz w:val="32"/>
          <w:szCs w:val="32"/>
          <w:highlight w:val="none"/>
          <w:lang w:val="en-US" w:eastAsia="zh-CN"/>
        </w:rPr>
        <w:t>+N”社会治安综合治理工作体系建设，深化落实“七有”综合网格治理、民意速办“十项机制”、党群服务赶圩日、平安直联等制度，进一步完善风险研判、防控协同、防范化解机制，推动政府治理、社会调节、居民自治良性互动。坚持和发展新时代“枫桥经验”，推动镇（街道）优化打造一批基层治理品牌，把</w:t>
      </w:r>
      <w:r>
        <w:rPr>
          <w:rFonts w:hint="eastAsia" w:ascii="宋体" w:hAnsi="宋体" w:eastAsia="方正仿宋_GBK" w:cs="Times New Roman"/>
          <w:color w:val="auto"/>
          <w:spacing w:val="-6"/>
          <w:sz w:val="32"/>
          <w:szCs w:val="32"/>
          <w:highlight w:val="none"/>
          <w:lang w:val="en-US" w:eastAsia="zh-CN"/>
        </w:rPr>
        <w:t>各类风险、矛盾、隐患发现在基层、化解在基层。</w:t>
      </w:r>
    </w:p>
    <w:p w14:paraId="40448D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宋体" w:hAnsi="宋体" w:eastAsia="方正仿宋_GBK" w:cs="Times New Roman"/>
          <w:color w:val="auto"/>
          <w:spacing w:val="0"/>
          <w:sz w:val="32"/>
          <w:szCs w:val="32"/>
          <w:highlight w:val="none"/>
          <w:lang w:val="en-US" w:eastAsia="zh-CN"/>
        </w:rPr>
      </w:pPr>
      <w:r>
        <w:rPr>
          <w:rFonts w:hint="eastAsia" w:ascii="宋体" w:hAnsi="宋体" w:eastAsia="方正仿宋_GBK" w:cs="Times New Roman"/>
          <w:color w:val="auto"/>
          <w:spacing w:val="0"/>
          <w:sz w:val="32"/>
          <w:szCs w:val="32"/>
          <w:highlight w:val="none"/>
          <w:lang w:val="en-US" w:eastAsia="zh-CN"/>
        </w:rPr>
        <w:t>统筹做好国防动员、统计、统战、武装、殡葬管理、退役军人、妇联、工会、共青团、科协、史志、档案、保密、禁毒、移民、红十字、老龄等工作，为全区经济社会发展作出积极贡献。</w:t>
      </w:r>
    </w:p>
    <w:p w14:paraId="438A8C1E">
      <w:pPr>
        <w:pStyle w:val="12"/>
        <w:keepNext w:val="0"/>
        <w:keepLines w:val="0"/>
        <w:pageBreakBefore w:val="0"/>
        <w:widowControl w:val="0"/>
        <w:kinsoku/>
        <w:wordWrap/>
        <w:overflowPunct/>
        <w:topLinePunct w:val="0"/>
        <w:autoSpaceDE/>
        <w:autoSpaceDN/>
        <w:bidi w:val="0"/>
        <w:spacing w:line="600" w:lineRule="exact"/>
        <w:rPr>
          <w:rFonts w:ascii="宋体" w:hAnsi="宋体"/>
          <w:color w:val="auto"/>
          <w:spacing w:val="0"/>
          <w:highlight w:val="none"/>
          <w:lang w:val="en-US" w:eastAsia="zh-CN"/>
        </w:rPr>
      </w:pPr>
    </w:p>
    <w:p w14:paraId="01C3E0D7">
      <w:pPr>
        <w:pStyle w:val="2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firstLine="640" w:firstLineChars="200"/>
        <w:textAlignment w:val="baseline"/>
        <w:rPr>
          <w:rFonts w:ascii="宋体" w:hAnsi="宋体" w:eastAsia="方正仿宋_GBK" w:cs="Times New Roman"/>
          <w:color w:val="auto"/>
          <w:spacing w:val="-6"/>
          <w:sz w:val="32"/>
          <w:szCs w:val="32"/>
          <w:highlight w:val="none"/>
        </w:rPr>
      </w:pPr>
      <w:r>
        <w:rPr>
          <w:rFonts w:hint="eastAsia" w:ascii="宋体" w:hAnsi="宋体" w:eastAsia="方正仿宋_GBK" w:cs="Times New Roman"/>
          <w:color w:val="auto"/>
          <w:spacing w:val="0"/>
          <w:sz w:val="32"/>
          <w:szCs w:val="32"/>
          <w:highlight w:val="none"/>
        </w:rPr>
        <w:t>附</w:t>
      </w:r>
      <w:r>
        <w:rPr>
          <w:rFonts w:hint="eastAsia" w:ascii="宋体" w:hAnsi="宋体" w:eastAsia="方正仿宋_GBK" w:cs="Times New Roman"/>
          <w:color w:val="auto"/>
          <w:spacing w:val="0"/>
          <w:sz w:val="32"/>
          <w:szCs w:val="32"/>
          <w:highlight w:val="none"/>
          <w:lang w:val="en-US" w:eastAsia="zh-CN"/>
        </w:rPr>
        <w:t>件</w:t>
      </w:r>
      <w:r>
        <w:rPr>
          <w:rFonts w:hint="eastAsia" w:ascii="宋体" w:hAnsi="宋体" w:eastAsia="方正仿宋_GBK" w:cs="Times New Roman"/>
          <w:color w:val="auto"/>
          <w:spacing w:val="0"/>
          <w:sz w:val="32"/>
          <w:szCs w:val="32"/>
          <w:highlight w:val="none"/>
          <w:lang w:eastAsia="zh-CN"/>
        </w:rPr>
        <w:t>：</w:t>
      </w:r>
      <w:r>
        <w:rPr>
          <w:rFonts w:hint="eastAsia" w:ascii="宋体" w:hAnsi="宋体" w:eastAsia="宋体" w:cs="宋体"/>
          <w:color w:val="auto"/>
          <w:spacing w:val="0"/>
          <w:sz w:val="32"/>
          <w:szCs w:val="32"/>
          <w:highlight w:val="none"/>
        </w:rPr>
        <w:t>1.</w:t>
      </w:r>
      <w:r>
        <w:rPr>
          <w:rFonts w:hint="eastAsia" w:ascii="宋体" w:hAnsi="宋体" w:eastAsia="方正仿宋_GBK" w:cs="Times New Roman"/>
          <w:color w:val="auto"/>
          <w:spacing w:val="-6"/>
          <w:sz w:val="32"/>
          <w:szCs w:val="32"/>
          <w:highlight w:val="none"/>
        </w:rPr>
        <w:t>源城区</w:t>
      </w:r>
      <w:r>
        <w:rPr>
          <w:rFonts w:hint="eastAsia" w:ascii="宋体" w:hAnsi="宋体" w:eastAsia="宋体" w:cs="宋体"/>
          <w:color w:val="auto"/>
          <w:spacing w:val="-6"/>
          <w:sz w:val="32"/>
          <w:szCs w:val="32"/>
          <w:highlight w:val="none"/>
        </w:rPr>
        <w:t>202</w:t>
      </w:r>
      <w:r>
        <w:rPr>
          <w:rFonts w:hint="eastAsia" w:ascii="宋体" w:hAnsi="宋体" w:eastAsia="宋体" w:cs="宋体"/>
          <w:color w:val="auto"/>
          <w:spacing w:val="-6"/>
          <w:sz w:val="32"/>
          <w:szCs w:val="32"/>
          <w:highlight w:val="none"/>
          <w:lang w:val="en-US" w:eastAsia="zh-CN"/>
        </w:rPr>
        <w:t>5</w:t>
      </w:r>
      <w:r>
        <w:rPr>
          <w:rFonts w:hint="eastAsia" w:ascii="宋体" w:hAnsi="宋体" w:eastAsia="方正仿宋_GBK" w:cs="Times New Roman"/>
          <w:color w:val="auto"/>
          <w:spacing w:val="-6"/>
          <w:sz w:val="32"/>
          <w:szCs w:val="32"/>
          <w:highlight w:val="none"/>
        </w:rPr>
        <w:t>年国民经济和社会发展计划主要指标表</w:t>
      </w:r>
    </w:p>
    <w:p w14:paraId="49B28ACE">
      <w:pPr>
        <w:pStyle w:val="23"/>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pPr>
      <w:r>
        <w:rPr>
          <w:rFonts w:hint="eastAsia" w:ascii="宋体" w:hAnsi="宋体" w:cs="宋体"/>
          <w:color w:val="auto"/>
          <w:spacing w:val="0"/>
          <w:sz w:val="32"/>
          <w:szCs w:val="32"/>
          <w:highlight w:val="none"/>
          <w:lang w:val="en-US" w:eastAsia="zh-CN"/>
        </w:rPr>
        <w:t>2.</w:t>
      </w:r>
      <w:r>
        <w:rPr>
          <w:rFonts w:ascii="宋体" w:hAnsi="宋体" w:eastAsia="方正仿宋_GBK" w:cs="Times New Roman"/>
          <w:color w:val="auto"/>
          <w:spacing w:val="0"/>
          <w:sz w:val="32"/>
          <w:szCs w:val="32"/>
          <w:highlight w:val="none"/>
        </w:rPr>
        <w:t>源城区</w:t>
      </w:r>
      <w:r>
        <w:rPr>
          <w:rFonts w:hint="eastAsia" w:ascii="宋体" w:hAnsi="宋体" w:eastAsia="宋体" w:cs="宋体"/>
          <w:color w:val="auto"/>
          <w:spacing w:val="0"/>
          <w:sz w:val="32"/>
          <w:szCs w:val="32"/>
          <w:highlight w:val="none"/>
        </w:rPr>
        <w:t>202</w:t>
      </w:r>
      <w:r>
        <w:rPr>
          <w:rFonts w:hint="eastAsia" w:ascii="宋体" w:hAnsi="宋体" w:eastAsia="宋体" w:cs="宋体"/>
          <w:color w:val="auto"/>
          <w:spacing w:val="0"/>
          <w:sz w:val="32"/>
          <w:szCs w:val="32"/>
          <w:highlight w:val="none"/>
          <w:lang w:val="en-US" w:eastAsia="zh-CN"/>
        </w:rPr>
        <w:t>5</w:t>
      </w:r>
      <w:r>
        <w:rPr>
          <w:rFonts w:ascii="宋体" w:hAnsi="宋体" w:eastAsia="方正仿宋_GBK" w:cs="Times New Roman"/>
          <w:color w:val="auto"/>
          <w:spacing w:val="0"/>
          <w:sz w:val="32"/>
          <w:szCs w:val="32"/>
          <w:highlight w:val="none"/>
        </w:rPr>
        <w:t>年重点正式项目计划表</w:t>
      </w:r>
    </w:p>
    <w:p w14:paraId="06DBF543">
      <w:pPr>
        <w:pStyle w:val="2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6" w:leftChars="760" w:firstLine="0" w:firstLineChars="0"/>
        <w:textAlignment w:val="baseline"/>
        <w:rPr>
          <w:rFonts w:ascii="宋体" w:hAnsi="宋体" w:eastAsia="方正仿宋_GBK" w:cs="Times New Roman"/>
          <w:color w:val="auto"/>
          <w:spacing w:val="0"/>
          <w:sz w:val="32"/>
          <w:szCs w:val="32"/>
          <w:highlight w:val="none"/>
        </w:rPr>
      </w:pPr>
      <w:r>
        <w:rPr>
          <w:rFonts w:hint="eastAsia" w:ascii="宋体" w:hAnsi="宋体" w:eastAsia="方正仿宋_GBK" w:cs="Times New Roman"/>
          <w:color w:val="auto"/>
          <w:spacing w:val="0"/>
          <w:sz w:val="32"/>
          <w:szCs w:val="32"/>
          <w:highlight w:val="none"/>
          <w:lang w:val="en-US" w:eastAsia="zh-CN"/>
        </w:rPr>
        <w:t>3.</w:t>
      </w:r>
      <w:r>
        <w:rPr>
          <w:rFonts w:hint="eastAsia" w:ascii="宋体" w:hAnsi="宋体" w:eastAsia="方正仿宋_GBK" w:cs="Times New Roman"/>
          <w:color w:val="auto"/>
          <w:spacing w:val="-6"/>
          <w:sz w:val="32"/>
          <w:szCs w:val="32"/>
          <w:highlight w:val="none"/>
          <w:lang w:val="en-US" w:eastAsia="zh-CN"/>
        </w:rPr>
        <w:t>2025年省、市、区本级重点前期预备项目计划申报表</w:t>
      </w:r>
    </w:p>
    <w:p w14:paraId="1534F71F">
      <w:pPr>
        <w:pStyle w:val="23"/>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pPr>
    </w:p>
    <w:p w14:paraId="31E338D0">
      <w:pPr>
        <w:pStyle w:val="23"/>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pPr>
    </w:p>
    <w:p w14:paraId="484BF5F2">
      <w:pPr>
        <w:pStyle w:val="23"/>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pPr>
    </w:p>
    <w:p w14:paraId="3546DF32">
      <w:pPr>
        <w:pStyle w:val="23"/>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pPr>
    </w:p>
    <w:p w14:paraId="3B36EAB3">
      <w:pPr>
        <w:pStyle w:val="23"/>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pPr>
    </w:p>
    <w:p w14:paraId="19E20A5D">
      <w:pPr>
        <w:pStyle w:val="23"/>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baseline"/>
        <w:rPr>
          <w:rFonts w:ascii="宋体" w:hAnsi="宋体" w:eastAsia="方正仿宋_GBK" w:cs="Times New Roman"/>
          <w:color w:val="auto"/>
          <w:spacing w:val="0"/>
          <w:sz w:val="32"/>
          <w:szCs w:val="32"/>
          <w:highlight w:val="none"/>
        </w:rPr>
        <w:sectPr>
          <w:footerReference r:id="rId3" w:type="default"/>
          <w:pgSz w:w="11907" w:h="16840"/>
          <w:pgMar w:top="1474" w:right="1474" w:bottom="1417" w:left="1474" w:header="851" w:footer="992" w:gutter="0"/>
          <w:pgNumType w:fmt="decimal"/>
          <w:cols w:space="0" w:num="1"/>
          <w:rtlGutter w:val="0"/>
          <w:docGrid w:type="lines" w:linePitch="312" w:charSpace="0"/>
        </w:sectPr>
      </w:pPr>
    </w:p>
    <w:p w14:paraId="71385C79">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宋体" w:hAnsi="宋体" w:eastAsia="方正小标宋_GBK" w:cs="方正小标宋_GBK"/>
          <w:color w:val="auto"/>
          <w:sz w:val="44"/>
          <w:szCs w:val="44"/>
          <w:lang w:val="en-US" w:eastAsia="zh-CN"/>
        </w:rPr>
      </w:pPr>
      <w:r>
        <w:rPr>
          <w:rFonts w:hint="eastAsia" w:ascii="宋体" w:hAnsi="宋体" w:eastAsia="黑体" w:cs="黑体"/>
          <w:color w:val="auto"/>
          <w:sz w:val="32"/>
          <w:szCs w:val="32"/>
          <w:lang w:val="en-US" w:eastAsia="zh-CN"/>
        </w:rPr>
        <w:t>附件1</w:t>
      </w:r>
    </w:p>
    <w:p w14:paraId="05B35F1D">
      <w:pPr>
        <w:pStyle w:val="2"/>
        <w:ind w:left="0" w:leftChars="0" w:firstLine="0"/>
        <w:jc w:val="center"/>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源城区2025年国民经济和社会发展计划主要指标表</w:t>
      </w:r>
    </w:p>
    <w:tbl>
      <w:tblPr>
        <w:tblStyle w:val="15"/>
        <w:tblW w:w="14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570"/>
        <w:gridCol w:w="2505"/>
        <w:gridCol w:w="915"/>
        <w:gridCol w:w="960"/>
        <w:gridCol w:w="1005"/>
        <w:gridCol w:w="915"/>
        <w:gridCol w:w="1005"/>
        <w:gridCol w:w="900"/>
        <w:gridCol w:w="945"/>
        <w:gridCol w:w="930"/>
        <w:gridCol w:w="2779"/>
      </w:tblGrid>
      <w:tr w14:paraId="3C26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8" w:type="dxa"/>
            <w:vMerge w:val="restart"/>
            <w:vAlign w:val="center"/>
          </w:tcPr>
          <w:p w14:paraId="0412F0C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类别</w:t>
            </w:r>
          </w:p>
        </w:tc>
        <w:tc>
          <w:tcPr>
            <w:tcW w:w="570" w:type="dxa"/>
            <w:vMerge w:val="restart"/>
            <w:vAlign w:val="center"/>
          </w:tcPr>
          <w:p w14:paraId="788CACC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序号</w:t>
            </w:r>
          </w:p>
        </w:tc>
        <w:tc>
          <w:tcPr>
            <w:tcW w:w="2505" w:type="dxa"/>
            <w:vMerge w:val="restart"/>
            <w:vAlign w:val="center"/>
          </w:tcPr>
          <w:p w14:paraId="188D69F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指标名称</w:t>
            </w:r>
          </w:p>
        </w:tc>
        <w:tc>
          <w:tcPr>
            <w:tcW w:w="1875" w:type="dxa"/>
            <w:gridSpan w:val="2"/>
            <w:vMerge w:val="restart"/>
            <w:vAlign w:val="center"/>
          </w:tcPr>
          <w:p w14:paraId="78F17D66">
            <w:pPr>
              <w:keepNext w:val="0"/>
              <w:keepLines w:val="0"/>
              <w:pageBreakBefore w:val="0"/>
              <w:widowControl w:val="0"/>
              <w:kinsoku/>
              <w:wordWrap/>
              <w:overflowPunct/>
              <w:topLinePunct w:val="0"/>
              <w:autoSpaceDE/>
              <w:autoSpaceDN/>
              <w:bidi w:val="0"/>
              <w:adjustRightInd/>
              <w:snapToGrid/>
              <w:spacing w:line="400" w:lineRule="exact"/>
              <w:ind w:left="-120" w:leftChars="-57" w:right="-101" w:rightChars="-48" w:firstLine="0" w:firstLineChars="0"/>
              <w:jc w:val="center"/>
              <w:textAlignment w:val="auto"/>
              <w:outlineLvl w:val="9"/>
              <w:rPr>
                <w:rFonts w:hint="eastAsia" w:ascii="宋体" w:hAnsi="宋体" w:eastAsia="黑体" w:cs="黑体"/>
                <w:b w:val="0"/>
                <w:bCs w:val="0"/>
                <w:i w:val="0"/>
                <w:iCs w:val="0"/>
                <w:color w:val="auto"/>
                <w:kern w:val="0"/>
                <w:sz w:val="24"/>
                <w:szCs w:val="24"/>
                <w:u w:val="none"/>
                <w:lang w:val="en-US" w:eastAsia="zh-CN" w:bidi="ar"/>
              </w:rPr>
            </w:pPr>
            <w:r>
              <w:rPr>
                <w:rFonts w:hint="default" w:ascii="宋体" w:hAnsi="宋体" w:eastAsia="黑体" w:cs="黑体"/>
                <w:color w:val="auto"/>
                <w:sz w:val="24"/>
              </w:rPr>
              <w:t>绝对值计算单位</w:t>
            </w:r>
          </w:p>
        </w:tc>
        <w:tc>
          <w:tcPr>
            <w:tcW w:w="1920" w:type="dxa"/>
            <w:gridSpan w:val="2"/>
            <w:vAlign w:val="center"/>
          </w:tcPr>
          <w:p w14:paraId="421CF51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b w:val="0"/>
                <w:bCs w:val="0"/>
                <w:i w:val="0"/>
                <w:iCs w:val="0"/>
                <w:color w:val="auto"/>
                <w:kern w:val="2"/>
                <w:sz w:val="24"/>
                <w:szCs w:val="24"/>
                <w:u w:val="none"/>
                <w:lang w:val="en-US" w:eastAsia="zh-CN" w:bidi="ar"/>
              </w:rPr>
              <w:t>2023年实绩</w:t>
            </w:r>
          </w:p>
        </w:tc>
        <w:tc>
          <w:tcPr>
            <w:tcW w:w="1905" w:type="dxa"/>
            <w:gridSpan w:val="2"/>
            <w:vAlign w:val="center"/>
          </w:tcPr>
          <w:p w14:paraId="1FD934A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eastAsia" w:ascii="宋体" w:hAnsi="宋体" w:eastAsia="黑体" w:cs="黑体"/>
                <w:b w:val="0"/>
                <w:bCs w:val="0"/>
                <w:i w:val="0"/>
                <w:iCs w:val="0"/>
                <w:color w:val="auto"/>
                <w:kern w:val="0"/>
                <w:sz w:val="24"/>
                <w:szCs w:val="24"/>
                <w:u w:val="none"/>
                <w:lang w:val="en-US" w:eastAsia="zh-CN" w:bidi="ar"/>
              </w:rPr>
              <w:t>2024年实绩</w:t>
            </w:r>
          </w:p>
        </w:tc>
        <w:tc>
          <w:tcPr>
            <w:tcW w:w="1875" w:type="dxa"/>
            <w:gridSpan w:val="2"/>
            <w:vAlign w:val="center"/>
          </w:tcPr>
          <w:p w14:paraId="5121CBE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b w:val="0"/>
                <w:bCs w:val="0"/>
                <w:i w:val="0"/>
                <w:iCs w:val="0"/>
                <w:color w:val="auto"/>
                <w:kern w:val="2"/>
                <w:sz w:val="24"/>
                <w:szCs w:val="24"/>
                <w:u w:val="none"/>
                <w:lang w:val="en-US" w:eastAsia="zh-CN" w:bidi="ar"/>
              </w:rPr>
              <w:t>2025年计划</w:t>
            </w:r>
          </w:p>
        </w:tc>
        <w:tc>
          <w:tcPr>
            <w:tcW w:w="2779" w:type="dxa"/>
            <w:vMerge w:val="restart"/>
            <w:vAlign w:val="center"/>
          </w:tcPr>
          <w:p w14:paraId="6314E97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填报单位</w:t>
            </w:r>
          </w:p>
        </w:tc>
      </w:tr>
      <w:tr w14:paraId="0DBD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trPr>
        <w:tc>
          <w:tcPr>
            <w:tcW w:w="728" w:type="dxa"/>
            <w:vMerge w:val="continue"/>
          </w:tcPr>
          <w:p w14:paraId="2B469D9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Merge w:val="continue"/>
          </w:tcPr>
          <w:p w14:paraId="773C1093">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2505" w:type="dxa"/>
            <w:vMerge w:val="continue"/>
          </w:tcPr>
          <w:p w14:paraId="20F671D2">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1875" w:type="dxa"/>
            <w:gridSpan w:val="2"/>
            <w:vMerge w:val="continue"/>
          </w:tcPr>
          <w:p w14:paraId="3833045F">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rPr>
            </w:pPr>
          </w:p>
        </w:tc>
        <w:tc>
          <w:tcPr>
            <w:tcW w:w="1005" w:type="dxa"/>
            <w:vAlign w:val="center"/>
          </w:tcPr>
          <w:p w14:paraId="58A4243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绝对数</w:t>
            </w:r>
          </w:p>
        </w:tc>
        <w:tc>
          <w:tcPr>
            <w:tcW w:w="915" w:type="dxa"/>
            <w:vAlign w:val="center"/>
          </w:tcPr>
          <w:p w14:paraId="27DC6E4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增长（%）</w:t>
            </w:r>
          </w:p>
        </w:tc>
        <w:tc>
          <w:tcPr>
            <w:tcW w:w="1005" w:type="dxa"/>
            <w:vAlign w:val="center"/>
          </w:tcPr>
          <w:p w14:paraId="36F7C58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绝对数</w:t>
            </w:r>
          </w:p>
        </w:tc>
        <w:tc>
          <w:tcPr>
            <w:tcW w:w="900" w:type="dxa"/>
            <w:vAlign w:val="center"/>
          </w:tcPr>
          <w:p w14:paraId="72614CB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增长（%）</w:t>
            </w:r>
          </w:p>
        </w:tc>
        <w:tc>
          <w:tcPr>
            <w:tcW w:w="945" w:type="dxa"/>
            <w:vAlign w:val="center"/>
          </w:tcPr>
          <w:p w14:paraId="11DB38C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绝对数</w:t>
            </w:r>
          </w:p>
        </w:tc>
        <w:tc>
          <w:tcPr>
            <w:tcW w:w="930" w:type="dxa"/>
            <w:vAlign w:val="center"/>
          </w:tcPr>
          <w:p w14:paraId="79A2A88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增长（%）</w:t>
            </w:r>
          </w:p>
        </w:tc>
        <w:tc>
          <w:tcPr>
            <w:tcW w:w="2779" w:type="dxa"/>
            <w:vMerge w:val="continue"/>
          </w:tcPr>
          <w:p w14:paraId="5CE86DDE">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r>
      <w:tr w14:paraId="7465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1FF1CA7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综合质效</w:t>
            </w:r>
          </w:p>
        </w:tc>
        <w:tc>
          <w:tcPr>
            <w:tcW w:w="570" w:type="dxa"/>
            <w:vAlign w:val="center"/>
          </w:tcPr>
          <w:p w14:paraId="14C6F6A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w:t>
            </w:r>
          </w:p>
        </w:tc>
        <w:tc>
          <w:tcPr>
            <w:tcW w:w="2505" w:type="dxa"/>
            <w:vAlign w:val="center"/>
          </w:tcPr>
          <w:p w14:paraId="62925061">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地区生产总值</w:t>
            </w:r>
          </w:p>
        </w:tc>
        <w:tc>
          <w:tcPr>
            <w:tcW w:w="915" w:type="dxa"/>
            <w:vAlign w:val="center"/>
          </w:tcPr>
          <w:p w14:paraId="5747EF3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52940E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569BD9D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311.52</w:t>
            </w:r>
          </w:p>
        </w:tc>
        <w:tc>
          <w:tcPr>
            <w:tcW w:w="915" w:type="dxa"/>
            <w:vAlign w:val="center"/>
          </w:tcPr>
          <w:p w14:paraId="42CE455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2.1</w:t>
            </w:r>
          </w:p>
        </w:tc>
        <w:tc>
          <w:tcPr>
            <w:tcW w:w="1005" w:type="dxa"/>
            <w:vAlign w:val="center"/>
          </w:tcPr>
          <w:p w14:paraId="712F9EA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322.58 </w:t>
            </w:r>
          </w:p>
        </w:tc>
        <w:tc>
          <w:tcPr>
            <w:tcW w:w="900" w:type="dxa"/>
            <w:vAlign w:val="center"/>
          </w:tcPr>
          <w:p w14:paraId="66A600C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1.0 </w:t>
            </w:r>
          </w:p>
        </w:tc>
        <w:tc>
          <w:tcPr>
            <w:tcW w:w="945" w:type="dxa"/>
            <w:vAlign w:val="center"/>
          </w:tcPr>
          <w:p w14:paraId="75010A1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090B75A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w:t>
            </w:r>
          </w:p>
        </w:tc>
        <w:tc>
          <w:tcPr>
            <w:tcW w:w="2779" w:type="dxa"/>
            <w:vAlign w:val="center"/>
          </w:tcPr>
          <w:p w14:paraId="6E14E0F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0DD4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0EF15DB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1261194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w:t>
            </w:r>
          </w:p>
        </w:tc>
        <w:tc>
          <w:tcPr>
            <w:tcW w:w="2505" w:type="dxa"/>
            <w:vAlign w:val="center"/>
          </w:tcPr>
          <w:p w14:paraId="3571D5F0">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农林牧渔业总产值</w:t>
            </w:r>
          </w:p>
        </w:tc>
        <w:tc>
          <w:tcPr>
            <w:tcW w:w="915" w:type="dxa"/>
            <w:vAlign w:val="center"/>
          </w:tcPr>
          <w:p w14:paraId="29FFD85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24C9F82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536114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5.63</w:t>
            </w:r>
          </w:p>
        </w:tc>
        <w:tc>
          <w:tcPr>
            <w:tcW w:w="915" w:type="dxa"/>
            <w:vAlign w:val="center"/>
          </w:tcPr>
          <w:p w14:paraId="1B3B82C1">
            <w:pPr>
              <w:keepNext w:val="0"/>
              <w:keepLines w:val="0"/>
              <w:widowControl w:val="0"/>
              <w:suppressLineNumbers w:val="0"/>
              <w:spacing w:line="400" w:lineRule="exact"/>
              <w:ind w:right="-155" w:rightChars="-74"/>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-10.2</w:t>
            </w:r>
          </w:p>
        </w:tc>
        <w:tc>
          <w:tcPr>
            <w:tcW w:w="1005" w:type="dxa"/>
            <w:vAlign w:val="center"/>
          </w:tcPr>
          <w:p w14:paraId="2C5A079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5.81</w:t>
            </w:r>
          </w:p>
        </w:tc>
        <w:tc>
          <w:tcPr>
            <w:tcW w:w="900" w:type="dxa"/>
            <w:vAlign w:val="center"/>
          </w:tcPr>
          <w:p w14:paraId="4A1CFAD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3.6</w:t>
            </w:r>
          </w:p>
        </w:tc>
        <w:tc>
          <w:tcPr>
            <w:tcW w:w="945" w:type="dxa"/>
            <w:vAlign w:val="center"/>
          </w:tcPr>
          <w:p w14:paraId="1B06527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5430F60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w:t>
            </w:r>
          </w:p>
        </w:tc>
        <w:tc>
          <w:tcPr>
            <w:tcW w:w="2779" w:type="dxa"/>
            <w:vAlign w:val="center"/>
          </w:tcPr>
          <w:p w14:paraId="5057B4F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区农业农村局、区统计局</w:t>
            </w:r>
          </w:p>
        </w:tc>
      </w:tr>
      <w:tr w14:paraId="6DEE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20A0E9D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7BD8AE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w:t>
            </w:r>
          </w:p>
        </w:tc>
        <w:tc>
          <w:tcPr>
            <w:tcW w:w="2505" w:type="dxa"/>
            <w:vAlign w:val="center"/>
          </w:tcPr>
          <w:p w14:paraId="3EFC7EB6">
            <w:pPr>
              <w:keepNext w:val="0"/>
              <w:keepLines w:val="0"/>
              <w:widowControl w:val="0"/>
              <w:suppressLineNumbers w:val="0"/>
              <w:spacing w:line="400" w:lineRule="exact"/>
              <w:ind w:right="-88" w:rightChars="-42"/>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规模以上工业增加值</w:t>
            </w:r>
          </w:p>
        </w:tc>
        <w:tc>
          <w:tcPr>
            <w:tcW w:w="915" w:type="dxa"/>
            <w:vAlign w:val="center"/>
          </w:tcPr>
          <w:p w14:paraId="5B6D4BC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7F6EE87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637127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71.67</w:t>
            </w:r>
          </w:p>
        </w:tc>
        <w:tc>
          <w:tcPr>
            <w:tcW w:w="915" w:type="dxa"/>
            <w:vAlign w:val="center"/>
          </w:tcPr>
          <w:p w14:paraId="0499CA3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-2.8</w:t>
            </w:r>
          </w:p>
        </w:tc>
        <w:tc>
          <w:tcPr>
            <w:tcW w:w="1005" w:type="dxa"/>
            <w:vAlign w:val="center"/>
          </w:tcPr>
          <w:p w14:paraId="43D6E32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67.67 </w:t>
            </w:r>
          </w:p>
        </w:tc>
        <w:tc>
          <w:tcPr>
            <w:tcW w:w="900" w:type="dxa"/>
            <w:vAlign w:val="center"/>
          </w:tcPr>
          <w:p w14:paraId="26854D8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8.6</w:t>
            </w:r>
          </w:p>
        </w:tc>
        <w:tc>
          <w:tcPr>
            <w:tcW w:w="945" w:type="dxa"/>
            <w:vAlign w:val="center"/>
          </w:tcPr>
          <w:p w14:paraId="2C5646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27F2D59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w:t>
            </w:r>
          </w:p>
        </w:tc>
        <w:tc>
          <w:tcPr>
            <w:tcW w:w="2779" w:type="dxa"/>
            <w:vAlign w:val="center"/>
          </w:tcPr>
          <w:p w14:paraId="09C1574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区工业商务和信息化局、区统计局</w:t>
            </w:r>
          </w:p>
        </w:tc>
      </w:tr>
      <w:tr w14:paraId="52EE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62E603E9">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3DE9C2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w:t>
            </w:r>
          </w:p>
        </w:tc>
        <w:tc>
          <w:tcPr>
            <w:tcW w:w="2505" w:type="dxa"/>
            <w:vAlign w:val="center"/>
          </w:tcPr>
          <w:p w14:paraId="5ED3296D">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建筑业总产值</w:t>
            </w:r>
          </w:p>
        </w:tc>
        <w:tc>
          <w:tcPr>
            <w:tcW w:w="915" w:type="dxa"/>
            <w:vAlign w:val="center"/>
          </w:tcPr>
          <w:p w14:paraId="4580551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63F3CD6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E14DEA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49.92</w:t>
            </w:r>
          </w:p>
        </w:tc>
        <w:tc>
          <w:tcPr>
            <w:tcW w:w="915" w:type="dxa"/>
            <w:vAlign w:val="center"/>
          </w:tcPr>
          <w:p w14:paraId="35FB972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5.5</w:t>
            </w:r>
          </w:p>
        </w:tc>
        <w:tc>
          <w:tcPr>
            <w:tcW w:w="1005" w:type="dxa"/>
            <w:vAlign w:val="center"/>
          </w:tcPr>
          <w:p w14:paraId="7FB8E9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35.02</w:t>
            </w:r>
          </w:p>
        </w:tc>
        <w:tc>
          <w:tcPr>
            <w:tcW w:w="900" w:type="dxa"/>
            <w:vAlign w:val="center"/>
          </w:tcPr>
          <w:p w14:paraId="4296A63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-8.5</w:t>
            </w:r>
          </w:p>
        </w:tc>
        <w:tc>
          <w:tcPr>
            <w:tcW w:w="945" w:type="dxa"/>
            <w:vAlign w:val="center"/>
          </w:tcPr>
          <w:p w14:paraId="575F220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19B64E1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w:t>
            </w:r>
          </w:p>
        </w:tc>
        <w:tc>
          <w:tcPr>
            <w:tcW w:w="2779" w:type="dxa"/>
            <w:vAlign w:val="center"/>
          </w:tcPr>
          <w:p w14:paraId="5D0789B1">
            <w:pPr>
              <w:keepNext w:val="0"/>
              <w:keepLines w:val="0"/>
              <w:widowControl/>
              <w:suppressLineNumbers w:val="0"/>
              <w:spacing w:line="240" w:lineRule="auto"/>
              <w:jc w:val="center"/>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区住房城乡建设局、区统计局</w:t>
            </w:r>
          </w:p>
        </w:tc>
      </w:tr>
      <w:tr w14:paraId="1C31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685C74BE">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F7B8EFC">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color w:val="auto"/>
                <w:kern w:val="0"/>
                <w:sz w:val="24"/>
                <w:szCs w:val="24"/>
                <w:u w:val="none"/>
                <w:vertAlign w:val="baseline"/>
                <w:lang w:val="en-US" w:eastAsia="zh-CN" w:bidi="ar"/>
              </w:rPr>
              <w:t>5</w:t>
            </w:r>
          </w:p>
        </w:tc>
        <w:tc>
          <w:tcPr>
            <w:tcW w:w="2505" w:type="dxa"/>
            <w:vAlign w:val="center"/>
          </w:tcPr>
          <w:p w14:paraId="11667D2C">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人均地区生产总值</w:t>
            </w:r>
          </w:p>
        </w:tc>
        <w:tc>
          <w:tcPr>
            <w:tcW w:w="915" w:type="dxa"/>
            <w:vAlign w:val="center"/>
          </w:tcPr>
          <w:p w14:paraId="1753B0D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元</w:t>
            </w:r>
          </w:p>
        </w:tc>
        <w:tc>
          <w:tcPr>
            <w:tcW w:w="960" w:type="dxa"/>
            <w:vAlign w:val="center"/>
          </w:tcPr>
          <w:p w14:paraId="07E5FE8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A4620A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76789</w:t>
            </w:r>
          </w:p>
        </w:tc>
        <w:tc>
          <w:tcPr>
            <w:tcW w:w="915" w:type="dxa"/>
            <w:vAlign w:val="center"/>
          </w:tcPr>
          <w:p w14:paraId="4B27C80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w:t>
            </w:r>
          </w:p>
        </w:tc>
        <w:tc>
          <w:tcPr>
            <w:tcW w:w="1005" w:type="dxa"/>
            <w:vAlign w:val="center"/>
          </w:tcPr>
          <w:p w14:paraId="41E4A4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77269</w:t>
            </w:r>
          </w:p>
        </w:tc>
        <w:tc>
          <w:tcPr>
            <w:tcW w:w="900" w:type="dxa"/>
            <w:vAlign w:val="center"/>
          </w:tcPr>
          <w:p w14:paraId="0F0DE72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-0.1</w:t>
            </w:r>
          </w:p>
        </w:tc>
        <w:tc>
          <w:tcPr>
            <w:tcW w:w="1875" w:type="dxa"/>
            <w:gridSpan w:val="2"/>
          </w:tcPr>
          <w:p w14:paraId="3993D30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与经济发展水平相适应</w:t>
            </w:r>
          </w:p>
        </w:tc>
        <w:tc>
          <w:tcPr>
            <w:tcW w:w="2779" w:type="dxa"/>
            <w:vAlign w:val="center"/>
          </w:tcPr>
          <w:p w14:paraId="6620EA3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6420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12ABD1A9">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301961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w:t>
            </w:r>
          </w:p>
        </w:tc>
        <w:tc>
          <w:tcPr>
            <w:tcW w:w="2505" w:type="dxa"/>
            <w:vAlign w:val="center"/>
          </w:tcPr>
          <w:p w14:paraId="04EE7FBD">
            <w:pPr>
              <w:keepNext w:val="0"/>
              <w:keepLines w:val="0"/>
              <w:widowControl w:val="0"/>
              <w:suppressLineNumbers w:val="0"/>
              <w:spacing w:line="400" w:lineRule="exact"/>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固定资产投资</w:t>
            </w:r>
          </w:p>
        </w:tc>
        <w:tc>
          <w:tcPr>
            <w:tcW w:w="915" w:type="dxa"/>
            <w:vAlign w:val="center"/>
          </w:tcPr>
          <w:p w14:paraId="21436F8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131225C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26EE05B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112.73</w:t>
            </w:r>
          </w:p>
        </w:tc>
        <w:tc>
          <w:tcPr>
            <w:tcW w:w="915" w:type="dxa"/>
            <w:vAlign w:val="center"/>
          </w:tcPr>
          <w:p w14:paraId="1BBDD4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13.9</w:t>
            </w:r>
          </w:p>
        </w:tc>
        <w:tc>
          <w:tcPr>
            <w:tcW w:w="1005" w:type="dxa"/>
            <w:vAlign w:val="center"/>
          </w:tcPr>
          <w:p w14:paraId="5D6A992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84.23</w:t>
            </w:r>
          </w:p>
        </w:tc>
        <w:tc>
          <w:tcPr>
            <w:tcW w:w="900" w:type="dxa"/>
            <w:vAlign w:val="center"/>
          </w:tcPr>
          <w:p w14:paraId="75484AE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-25.3 </w:t>
            </w:r>
          </w:p>
        </w:tc>
        <w:tc>
          <w:tcPr>
            <w:tcW w:w="945" w:type="dxa"/>
            <w:vAlign w:val="center"/>
          </w:tcPr>
          <w:p w14:paraId="34B22FD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5FEE902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w:t>
            </w:r>
          </w:p>
        </w:tc>
        <w:tc>
          <w:tcPr>
            <w:tcW w:w="2779" w:type="dxa"/>
            <w:vAlign w:val="center"/>
          </w:tcPr>
          <w:p w14:paraId="79570A0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5C23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13CE3E53">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6D9EA8B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w:t>
            </w:r>
          </w:p>
        </w:tc>
        <w:tc>
          <w:tcPr>
            <w:tcW w:w="2505" w:type="dxa"/>
            <w:vAlign w:val="center"/>
          </w:tcPr>
          <w:p w14:paraId="71F6EE71">
            <w:pPr>
              <w:keepNext w:val="0"/>
              <w:keepLines w:val="0"/>
              <w:widowControl w:val="0"/>
              <w:suppressLineNumbers w:val="0"/>
              <w:spacing w:line="400" w:lineRule="exact"/>
              <w:ind w:firstLine="240" w:firstLineChars="100"/>
              <w:jc w:val="both"/>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其中：重点项目投资</w:t>
            </w:r>
          </w:p>
        </w:tc>
        <w:tc>
          <w:tcPr>
            <w:tcW w:w="915" w:type="dxa"/>
            <w:vAlign w:val="center"/>
          </w:tcPr>
          <w:p w14:paraId="22E0876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22BEC0C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4538A41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58.2</w:t>
            </w:r>
          </w:p>
        </w:tc>
        <w:tc>
          <w:tcPr>
            <w:tcW w:w="915" w:type="dxa"/>
            <w:vAlign w:val="center"/>
          </w:tcPr>
          <w:p w14:paraId="1BB582B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4D5F601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48.1</w:t>
            </w:r>
          </w:p>
        </w:tc>
        <w:tc>
          <w:tcPr>
            <w:tcW w:w="900" w:type="dxa"/>
            <w:vAlign w:val="center"/>
          </w:tcPr>
          <w:p w14:paraId="42305C8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153F58E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53.3</w:t>
            </w:r>
          </w:p>
        </w:tc>
        <w:tc>
          <w:tcPr>
            <w:tcW w:w="930" w:type="dxa"/>
            <w:vAlign w:val="center"/>
          </w:tcPr>
          <w:p w14:paraId="43449AB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3C64D00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2B73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19D7676D">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052F71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w:t>
            </w:r>
          </w:p>
        </w:tc>
        <w:tc>
          <w:tcPr>
            <w:tcW w:w="2505" w:type="dxa"/>
            <w:vAlign w:val="center"/>
          </w:tcPr>
          <w:p w14:paraId="3BBD75B1">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社会消费品零售总额</w:t>
            </w:r>
          </w:p>
        </w:tc>
        <w:tc>
          <w:tcPr>
            <w:tcW w:w="915" w:type="dxa"/>
            <w:vAlign w:val="center"/>
          </w:tcPr>
          <w:p w14:paraId="473CD2F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1F62480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62BC5C9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127.75</w:t>
            </w:r>
          </w:p>
        </w:tc>
        <w:tc>
          <w:tcPr>
            <w:tcW w:w="915" w:type="dxa"/>
            <w:vAlign w:val="center"/>
          </w:tcPr>
          <w:p w14:paraId="565D437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-2.4</w:t>
            </w:r>
          </w:p>
        </w:tc>
        <w:tc>
          <w:tcPr>
            <w:tcW w:w="1005" w:type="dxa"/>
            <w:vAlign w:val="center"/>
          </w:tcPr>
          <w:p w14:paraId="0F2E2AF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120.83</w:t>
            </w:r>
          </w:p>
        </w:tc>
        <w:tc>
          <w:tcPr>
            <w:tcW w:w="900" w:type="dxa"/>
            <w:vAlign w:val="center"/>
          </w:tcPr>
          <w:p w14:paraId="2922A87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-5.3</w:t>
            </w:r>
          </w:p>
        </w:tc>
        <w:tc>
          <w:tcPr>
            <w:tcW w:w="945" w:type="dxa"/>
            <w:vAlign w:val="center"/>
          </w:tcPr>
          <w:p w14:paraId="22F413D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30" w:type="dxa"/>
            <w:vAlign w:val="center"/>
          </w:tcPr>
          <w:p w14:paraId="4D41542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w:t>
            </w:r>
          </w:p>
        </w:tc>
        <w:tc>
          <w:tcPr>
            <w:tcW w:w="2779" w:type="dxa"/>
            <w:vAlign w:val="center"/>
          </w:tcPr>
          <w:p w14:paraId="2181F54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区工业商务和信息化局、区统计局</w:t>
            </w:r>
          </w:p>
        </w:tc>
      </w:tr>
      <w:tr w14:paraId="24E1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3ECEB9A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综合质效</w:t>
            </w:r>
          </w:p>
        </w:tc>
        <w:tc>
          <w:tcPr>
            <w:tcW w:w="570" w:type="dxa"/>
            <w:vAlign w:val="center"/>
          </w:tcPr>
          <w:p w14:paraId="790D591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w:t>
            </w:r>
          </w:p>
        </w:tc>
        <w:tc>
          <w:tcPr>
            <w:tcW w:w="2505" w:type="dxa"/>
            <w:vAlign w:val="center"/>
          </w:tcPr>
          <w:p w14:paraId="010F50C7">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进出口总额</w:t>
            </w:r>
          </w:p>
        </w:tc>
        <w:tc>
          <w:tcPr>
            <w:tcW w:w="915" w:type="dxa"/>
            <w:vAlign w:val="center"/>
          </w:tcPr>
          <w:p w14:paraId="681AC84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5D6EF77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FDDCCC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66.2</w:t>
            </w:r>
          </w:p>
        </w:tc>
        <w:tc>
          <w:tcPr>
            <w:tcW w:w="915" w:type="dxa"/>
            <w:vAlign w:val="center"/>
          </w:tcPr>
          <w:p w14:paraId="24AF93C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-5.8</w:t>
            </w:r>
          </w:p>
        </w:tc>
        <w:tc>
          <w:tcPr>
            <w:tcW w:w="1005" w:type="dxa"/>
            <w:vAlign w:val="center"/>
          </w:tcPr>
          <w:p w14:paraId="74DA3B4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69.3</w:t>
            </w:r>
          </w:p>
        </w:tc>
        <w:tc>
          <w:tcPr>
            <w:tcW w:w="900" w:type="dxa"/>
            <w:vAlign w:val="center"/>
          </w:tcPr>
          <w:p w14:paraId="593C157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4.7</w:t>
            </w:r>
          </w:p>
        </w:tc>
        <w:tc>
          <w:tcPr>
            <w:tcW w:w="945" w:type="dxa"/>
            <w:vAlign w:val="center"/>
          </w:tcPr>
          <w:p w14:paraId="1758CC4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68</w:t>
            </w:r>
          </w:p>
        </w:tc>
        <w:tc>
          <w:tcPr>
            <w:tcW w:w="930" w:type="dxa"/>
            <w:vAlign w:val="center"/>
          </w:tcPr>
          <w:p w14:paraId="7745952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持平</w:t>
            </w:r>
          </w:p>
        </w:tc>
        <w:tc>
          <w:tcPr>
            <w:tcW w:w="2779" w:type="dxa"/>
            <w:vAlign w:val="center"/>
          </w:tcPr>
          <w:p w14:paraId="10BC119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4C65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14:paraId="08FC5E0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2C0AEDA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w:t>
            </w:r>
          </w:p>
        </w:tc>
        <w:tc>
          <w:tcPr>
            <w:tcW w:w="2505" w:type="dxa"/>
            <w:vAlign w:val="center"/>
          </w:tcPr>
          <w:p w14:paraId="63F53685">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一般公共预算收入</w:t>
            </w:r>
          </w:p>
        </w:tc>
        <w:tc>
          <w:tcPr>
            <w:tcW w:w="915" w:type="dxa"/>
            <w:vAlign w:val="center"/>
          </w:tcPr>
          <w:p w14:paraId="3749586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709B773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6232431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8.26</w:t>
            </w:r>
          </w:p>
        </w:tc>
        <w:tc>
          <w:tcPr>
            <w:tcW w:w="915" w:type="dxa"/>
            <w:vAlign w:val="center"/>
          </w:tcPr>
          <w:p w14:paraId="70B25EF0">
            <w:pPr>
              <w:keepNext w:val="0"/>
              <w:keepLines w:val="0"/>
              <w:widowControl w:val="0"/>
              <w:suppressLineNumbers w:val="0"/>
              <w:spacing w:line="400" w:lineRule="exact"/>
              <w:ind w:right="-115" w:rightChars="-55"/>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-22.9</w:t>
            </w:r>
          </w:p>
        </w:tc>
        <w:tc>
          <w:tcPr>
            <w:tcW w:w="1005" w:type="dxa"/>
            <w:vAlign w:val="center"/>
          </w:tcPr>
          <w:p w14:paraId="4FF390C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8.86</w:t>
            </w:r>
          </w:p>
        </w:tc>
        <w:tc>
          <w:tcPr>
            <w:tcW w:w="900" w:type="dxa"/>
            <w:vAlign w:val="center"/>
          </w:tcPr>
          <w:p w14:paraId="71F3F89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7.2</w:t>
            </w:r>
          </w:p>
        </w:tc>
        <w:tc>
          <w:tcPr>
            <w:tcW w:w="945" w:type="dxa"/>
            <w:vAlign w:val="center"/>
          </w:tcPr>
          <w:p w14:paraId="7C294AF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9.12</w:t>
            </w:r>
          </w:p>
        </w:tc>
        <w:tc>
          <w:tcPr>
            <w:tcW w:w="930" w:type="dxa"/>
            <w:vAlign w:val="center"/>
          </w:tcPr>
          <w:p w14:paraId="6DEF67C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w:t>
            </w:r>
          </w:p>
        </w:tc>
        <w:tc>
          <w:tcPr>
            <w:tcW w:w="2779" w:type="dxa"/>
            <w:vAlign w:val="center"/>
          </w:tcPr>
          <w:p w14:paraId="6B9C7C0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区财政局</w:t>
            </w:r>
          </w:p>
        </w:tc>
      </w:tr>
      <w:tr w14:paraId="58E4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vAlign w:val="center"/>
          </w:tcPr>
          <w:p w14:paraId="45129CB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15F48242">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11</w:t>
            </w:r>
          </w:p>
        </w:tc>
        <w:tc>
          <w:tcPr>
            <w:tcW w:w="2505" w:type="dxa"/>
            <w:vAlign w:val="center"/>
          </w:tcPr>
          <w:p w14:paraId="74B8DDAA">
            <w:pPr>
              <w:keepNext w:val="0"/>
              <w:keepLines w:val="0"/>
              <w:widowControl w:val="0"/>
              <w:suppressLineNumbers w:val="0"/>
              <w:spacing w:line="400" w:lineRule="exact"/>
              <w:jc w:val="left"/>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居民消费价格指数</w:t>
            </w:r>
          </w:p>
        </w:tc>
        <w:tc>
          <w:tcPr>
            <w:tcW w:w="915" w:type="dxa"/>
            <w:vAlign w:val="center"/>
          </w:tcPr>
          <w:p w14:paraId="202B7BBD">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33E80EF9">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51C9AA1C">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99.8</w:t>
            </w:r>
          </w:p>
        </w:tc>
        <w:tc>
          <w:tcPr>
            <w:tcW w:w="915" w:type="dxa"/>
            <w:vAlign w:val="center"/>
          </w:tcPr>
          <w:p w14:paraId="6F14D8EF">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6A5563D2">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99.9</w:t>
            </w:r>
          </w:p>
        </w:tc>
        <w:tc>
          <w:tcPr>
            <w:tcW w:w="900" w:type="dxa"/>
            <w:vAlign w:val="center"/>
          </w:tcPr>
          <w:p w14:paraId="7AFE0642">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0EDD12DD">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待市反馈</w:t>
            </w:r>
          </w:p>
        </w:tc>
        <w:tc>
          <w:tcPr>
            <w:tcW w:w="2779" w:type="dxa"/>
            <w:vAlign w:val="center"/>
          </w:tcPr>
          <w:p w14:paraId="298EF9CE">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区发展改革局、区统计局</w:t>
            </w:r>
          </w:p>
        </w:tc>
      </w:tr>
      <w:tr w14:paraId="4858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28" w:type="dxa"/>
            <w:vMerge w:val="continue"/>
          </w:tcPr>
          <w:p w14:paraId="05C0B5D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1447E3C">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12</w:t>
            </w:r>
          </w:p>
        </w:tc>
        <w:tc>
          <w:tcPr>
            <w:tcW w:w="2505" w:type="dxa"/>
            <w:vAlign w:val="center"/>
          </w:tcPr>
          <w:p w14:paraId="4333592A">
            <w:pPr>
              <w:keepNext w:val="0"/>
              <w:keepLines w:val="0"/>
              <w:widowControl w:val="0"/>
              <w:suppressLineNumbers w:val="0"/>
              <w:spacing w:line="400" w:lineRule="exact"/>
              <w:jc w:val="left"/>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接待旅游者人数</w:t>
            </w:r>
          </w:p>
        </w:tc>
        <w:tc>
          <w:tcPr>
            <w:tcW w:w="915" w:type="dxa"/>
            <w:vAlign w:val="center"/>
          </w:tcPr>
          <w:p w14:paraId="393785A2">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万人次</w:t>
            </w:r>
          </w:p>
        </w:tc>
        <w:tc>
          <w:tcPr>
            <w:tcW w:w="960" w:type="dxa"/>
            <w:vAlign w:val="center"/>
          </w:tcPr>
          <w:p w14:paraId="0CA8676D">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E8218AB">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452.13</w:t>
            </w:r>
          </w:p>
        </w:tc>
        <w:tc>
          <w:tcPr>
            <w:tcW w:w="915" w:type="dxa"/>
            <w:vAlign w:val="center"/>
          </w:tcPr>
          <w:p w14:paraId="5A0D8999">
            <w:pPr>
              <w:keepNext w:val="0"/>
              <w:keepLines w:val="0"/>
              <w:widowControl w:val="0"/>
              <w:suppressLineNumbers w:val="0"/>
              <w:spacing w:line="400" w:lineRule="exact"/>
              <w:ind w:left="-120" w:leftChars="-66" w:right="-134" w:rightChars="-64" w:hanging="19" w:hangingChars="8"/>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123.65</w:t>
            </w:r>
          </w:p>
        </w:tc>
        <w:tc>
          <w:tcPr>
            <w:tcW w:w="1005" w:type="dxa"/>
            <w:vAlign w:val="center"/>
          </w:tcPr>
          <w:p w14:paraId="1611EDF3">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510.77</w:t>
            </w:r>
          </w:p>
        </w:tc>
        <w:tc>
          <w:tcPr>
            <w:tcW w:w="900" w:type="dxa"/>
            <w:vAlign w:val="center"/>
          </w:tcPr>
          <w:p w14:paraId="4A018F80">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12.97</w:t>
            </w:r>
          </w:p>
        </w:tc>
        <w:tc>
          <w:tcPr>
            <w:tcW w:w="945" w:type="dxa"/>
            <w:vAlign w:val="center"/>
          </w:tcPr>
          <w:p w14:paraId="0C8E6949">
            <w:pPr>
              <w:keepNext w:val="0"/>
              <w:keepLines w:val="0"/>
              <w:pageBreakBefore w:val="0"/>
              <w:widowControl w:val="0"/>
              <w:kinsoku/>
              <w:wordWrap/>
              <w:overflowPunct/>
              <w:topLinePunct w:val="0"/>
              <w:autoSpaceDE/>
              <w:autoSpaceDN/>
              <w:bidi w:val="0"/>
              <w:adjustRightInd/>
              <w:snapToGrid/>
              <w:spacing w:line="400" w:lineRule="exact"/>
              <w:ind w:left="-197" w:leftChars="-94" w:right="-84" w:rightChars="-40" w:firstLine="76" w:firstLineChars="32"/>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536.31</w:t>
            </w:r>
          </w:p>
        </w:tc>
        <w:tc>
          <w:tcPr>
            <w:tcW w:w="930" w:type="dxa"/>
            <w:vAlign w:val="center"/>
          </w:tcPr>
          <w:p w14:paraId="0A316A87">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w:t>
            </w:r>
          </w:p>
        </w:tc>
        <w:tc>
          <w:tcPr>
            <w:tcW w:w="2779" w:type="dxa"/>
            <w:vAlign w:val="center"/>
          </w:tcPr>
          <w:p w14:paraId="2D72E4BE">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区文化广电旅游体育局</w:t>
            </w:r>
          </w:p>
        </w:tc>
      </w:tr>
      <w:tr w14:paraId="5248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016E6EEB">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663BC74B">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13</w:t>
            </w:r>
          </w:p>
        </w:tc>
        <w:tc>
          <w:tcPr>
            <w:tcW w:w="2505" w:type="dxa"/>
            <w:vAlign w:val="center"/>
          </w:tcPr>
          <w:p w14:paraId="0F0A4A8D">
            <w:pPr>
              <w:keepNext w:val="0"/>
              <w:keepLines w:val="0"/>
              <w:widowControl w:val="0"/>
              <w:suppressLineNumbers w:val="0"/>
              <w:spacing w:line="400" w:lineRule="exact"/>
              <w:jc w:val="left"/>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旅游总收入</w:t>
            </w:r>
          </w:p>
        </w:tc>
        <w:tc>
          <w:tcPr>
            <w:tcW w:w="915" w:type="dxa"/>
            <w:vAlign w:val="center"/>
          </w:tcPr>
          <w:p w14:paraId="760CD72E">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亿元</w:t>
            </w:r>
          </w:p>
        </w:tc>
        <w:tc>
          <w:tcPr>
            <w:tcW w:w="960" w:type="dxa"/>
            <w:vAlign w:val="center"/>
          </w:tcPr>
          <w:p w14:paraId="611C9C3B">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21363E4F">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47.42</w:t>
            </w:r>
          </w:p>
        </w:tc>
        <w:tc>
          <w:tcPr>
            <w:tcW w:w="915" w:type="dxa"/>
            <w:vAlign w:val="center"/>
          </w:tcPr>
          <w:p w14:paraId="53BE58FC">
            <w:pPr>
              <w:keepNext w:val="0"/>
              <w:keepLines w:val="0"/>
              <w:widowControl w:val="0"/>
              <w:suppressLineNumbers w:val="0"/>
              <w:spacing w:line="400" w:lineRule="exact"/>
              <w:ind w:left="0" w:leftChars="-57" w:right="-134" w:rightChars="-64" w:hanging="120" w:hangingChars="50"/>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186.53</w:t>
            </w:r>
          </w:p>
        </w:tc>
        <w:tc>
          <w:tcPr>
            <w:tcW w:w="1005" w:type="dxa"/>
            <w:vAlign w:val="center"/>
          </w:tcPr>
          <w:p w14:paraId="1D9410E5">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51</w:t>
            </w:r>
          </w:p>
        </w:tc>
        <w:tc>
          <w:tcPr>
            <w:tcW w:w="900" w:type="dxa"/>
            <w:vAlign w:val="center"/>
          </w:tcPr>
          <w:p w14:paraId="52B95E30">
            <w:pPr>
              <w:keepNext w:val="0"/>
              <w:keepLines w:val="0"/>
              <w:widowControl w:val="0"/>
              <w:suppressLineNumbers w:val="0"/>
              <w:spacing w:line="400" w:lineRule="exact"/>
              <w:jc w:val="center"/>
              <w:textAlignment w:val="center"/>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7.54</w:t>
            </w:r>
          </w:p>
        </w:tc>
        <w:tc>
          <w:tcPr>
            <w:tcW w:w="945" w:type="dxa"/>
            <w:vAlign w:val="center"/>
          </w:tcPr>
          <w:p w14:paraId="4FE1AE18">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53.55</w:t>
            </w:r>
          </w:p>
        </w:tc>
        <w:tc>
          <w:tcPr>
            <w:tcW w:w="930" w:type="dxa"/>
            <w:vAlign w:val="center"/>
          </w:tcPr>
          <w:p w14:paraId="33963315">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w:t>
            </w:r>
          </w:p>
        </w:tc>
        <w:tc>
          <w:tcPr>
            <w:tcW w:w="2779" w:type="dxa"/>
            <w:vAlign w:val="center"/>
          </w:tcPr>
          <w:p w14:paraId="4C9A72E8">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u w:val="none"/>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区文化广电旅游体育局</w:t>
            </w:r>
          </w:p>
        </w:tc>
      </w:tr>
      <w:tr w14:paraId="5CF0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8" w:type="dxa"/>
            <w:vMerge w:val="continue"/>
          </w:tcPr>
          <w:p w14:paraId="0A7AAEA6">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077DAD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14</w:t>
            </w:r>
          </w:p>
        </w:tc>
        <w:tc>
          <w:tcPr>
            <w:tcW w:w="2505" w:type="dxa"/>
            <w:vAlign w:val="center"/>
          </w:tcPr>
          <w:p w14:paraId="3123A559">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常住人口城镇化率</w:t>
            </w:r>
          </w:p>
        </w:tc>
        <w:tc>
          <w:tcPr>
            <w:tcW w:w="915" w:type="dxa"/>
            <w:vAlign w:val="center"/>
          </w:tcPr>
          <w:p w14:paraId="65EA6B0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48AE30C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8CEE42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97.17</w:t>
            </w:r>
          </w:p>
        </w:tc>
        <w:tc>
          <w:tcPr>
            <w:tcW w:w="915" w:type="dxa"/>
            <w:vAlign w:val="center"/>
          </w:tcPr>
          <w:p w14:paraId="11E4D5F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469A5D2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97.21</w:t>
            </w:r>
          </w:p>
        </w:tc>
        <w:tc>
          <w:tcPr>
            <w:tcW w:w="900" w:type="dxa"/>
            <w:vAlign w:val="center"/>
          </w:tcPr>
          <w:p w14:paraId="2E1F074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65ED28C7">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待市反馈</w:t>
            </w:r>
          </w:p>
        </w:tc>
        <w:tc>
          <w:tcPr>
            <w:tcW w:w="2779" w:type="dxa"/>
            <w:vAlign w:val="center"/>
          </w:tcPr>
          <w:p w14:paraId="1386323B">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区发展改革局</w:t>
            </w:r>
          </w:p>
        </w:tc>
      </w:tr>
      <w:tr w14:paraId="30CF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6AF730E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创新发展</w:t>
            </w:r>
          </w:p>
        </w:tc>
        <w:tc>
          <w:tcPr>
            <w:tcW w:w="570" w:type="dxa"/>
            <w:vAlign w:val="center"/>
          </w:tcPr>
          <w:p w14:paraId="3EE6700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15</w:t>
            </w:r>
          </w:p>
        </w:tc>
        <w:tc>
          <w:tcPr>
            <w:tcW w:w="2505" w:type="dxa"/>
            <w:vAlign w:val="center"/>
          </w:tcPr>
          <w:p w14:paraId="01724356">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研发经费投入增长</w:t>
            </w:r>
          </w:p>
        </w:tc>
        <w:tc>
          <w:tcPr>
            <w:tcW w:w="915" w:type="dxa"/>
            <w:vAlign w:val="center"/>
          </w:tcPr>
          <w:p w14:paraId="148346F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489FD1C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D391E2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-30.7</w:t>
            </w:r>
          </w:p>
        </w:tc>
        <w:tc>
          <w:tcPr>
            <w:tcW w:w="915" w:type="dxa"/>
            <w:vAlign w:val="center"/>
          </w:tcPr>
          <w:p w14:paraId="6F056AC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905" w:type="dxa"/>
            <w:gridSpan w:val="2"/>
            <w:vAlign w:val="center"/>
          </w:tcPr>
          <w:p w14:paraId="47DC640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待省、市反馈</w:t>
            </w:r>
          </w:p>
        </w:tc>
        <w:tc>
          <w:tcPr>
            <w:tcW w:w="1875" w:type="dxa"/>
            <w:gridSpan w:val="2"/>
            <w:vAlign w:val="center"/>
          </w:tcPr>
          <w:p w14:paraId="63C3150D">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cs="宋体"/>
                <w:b w:val="0"/>
                <w:bCs w:val="0"/>
                <w:i w:val="0"/>
                <w:iCs w:val="0"/>
                <w:color w:val="auto"/>
                <w:kern w:val="0"/>
                <w:sz w:val="24"/>
                <w:szCs w:val="24"/>
                <w:u w:val="none"/>
                <w:lang w:val="en-US" w:eastAsia="zh-CN" w:bidi="ar"/>
              </w:rPr>
              <w:t>略有增长</w:t>
            </w:r>
          </w:p>
        </w:tc>
        <w:tc>
          <w:tcPr>
            <w:tcW w:w="2779" w:type="dxa"/>
            <w:vAlign w:val="center"/>
          </w:tcPr>
          <w:p w14:paraId="2B51C07E">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5075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17075C95">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2F77BC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w:t>
            </w:r>
          </w:p>
        </w:tc>
        <w:tc>
          <w:tcPr>
            <w:tcW w:w="2505" w:type="dxa"/>
            <w:vAlign w:val="center"/>
          </w:tcPr>
          <w:p w14:paraId="26E9AE9D">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11"/>
                <w:kern w:val="0"/>
                <w:sz w:val="24"/>
                <w:szCs w:val="24"/>
                <w:u w:val="none"/>
                <w:lang w:val="en-US" w:eastAsia="zh-CN" w:bidi="ar"/>
              </w:rPr>
              <w:t>每万人发明专利拥有量</w:t>
            </w:r>
          </w:p>
        </w:tc>
        <w:tc>
          <w:tcPr>
            <w:tcW w:w="915" w:type="dxa"/>
            <w:vAlign w:val="center"/>
          </w:tcPr>
          <w:p w14:paraId="763AB9D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件</w:t>
            </w:r>
          </w:p>
        </w:tc>
        <w:tc>
          <w:tcPr>
            <w:tcW w:w="960" w:type="dxa"/>
            <w:vAlign w:val="center"/>
          </w:tcPr>
          <w:p w14:paraId="2C2B58B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1B0AC9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3.2</w:t>
            </w:r>
          </w:p>
        </w:tc>
        <w:tc>
          <w:tcPr>
            <w:tcW w:w="915" w:type="dxa"/>
            <w:vAlign w:val="center"/>
          </w:tcPr>
          <w:p w14:paraId="6E9532B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0.17</w:t>
            </w:r>
          </w:p>
        </w:tc>
        <w:tc>
          <w:tcPr>
            <w:tcW w:w="1005" w:type="dxa"/>
            <w:vAlign w:val="center"/>
          </w:tcPr>
          <w:p w14:paraId="10E5B6C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3.37</w:t>
            </w:r>
          </w:p>
        </w:tc>
        <w:tc>
          <w:tcPr>
            <w:tcW w:w="900" w:type="dxa"/>
            <w:vAlign w:val="center"/>
          </w:tcPr>
          <w:p w14:paraId="0613C87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0.09</w:t>
            </w:r>
          </w:p>
        </w:tc>
        <w:tc>
          <w:tcPr>
            <w:tcW w:w="945" w:type="dxa"/>
            <w:vAlign w:val="center"/>
          </w:tcPr>
          <w:p w14:paraId="0CC31CD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3.53</w:t>
            </w:r>
          </w:p>
        </w:tc>
        <w:tc>
          <w:tcPr>
            <w:tcW w:w="930" w:type="dxa"/>
            <w:vAlign w:val="center"/>
          </w:tcPr>
          <w:p w14:paraId="2517CBE5">
            <w:pPr>
              <w:keepNext w:val="0"/>
              <w:keepLines w:val="0"/>
              <w:widowControl/>
              <w:suppressLineNumbers w:val="0"/>
              <w:spacing w:line="240" w:lineRule="auto"/>
              <w:jc w:val="center"/>
              <w:textAlignment w:val="auto"/>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0.04</w:t>
            </w:r>
          </w:p>
        </w:tc>
        <w:tc>
          <w:tcPr>
            <w:tcW w:w="2779" w:type="dxa"/>
            <w:vAlign w:val="center"/>
          </w:tcPr>
          <w:p w14:paraId="4E84C6B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区市场监管局</w:t>
            </w:r>
          </w:p>
        </w:tc>
      </w:tr>
      <w:tr w14:paraId="6760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vMerge w:val="continue"/>
          </w:tcPr>
          <w:p w14:paraId="7E45CB14">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DFB6CB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17</w:t>
            </w:r>
          </w:p>
        </w:tc>
        <w:tc>
          <w:tcPr>
            <w:tcW w:w="2505" w:type="dxa"/>
            <w:vAlign w:val="center"/>
          </w:tcPr>
          <w:p w14:paraId="0CA9276A">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5G用户普及率</w:t>
            </w:r>
          </w:p>
        </w:tc>
        <w:tc>
          <w:tcPr>
            <w:tcW w:w="915" w:type="dxa"/>
            <w:vAlign w:val="center"/>
          </w:tcPr>
          <w:p w14:paraId="6CA1344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户/百人</w:t>
            </w:r>
          </w:p>
        </w:tc>
        <w:tc>
          <w:tcPr>
            <w:tcW w:w="960" w:type="dxa"/>
            <w:vAlign w:val="center"/>
          </w:tcPr>
          <w:p w14:paraId="2A6BEA2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644274A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66.71</w:t>
            </w:r>
          </w:p>
        </w:tc>
        <w:tc>
          <w:tcPr>
            <w:tcW w:w="915" w:type="dxa"/>
            <w:vAlign w:val="center"/>
          </w:tcPr>
          <w:p w14:paraId="57C83EEE">
            <w:pPr>
              <w:keepNext w:val="0"/>
              <w:keepLines w:val="0"/>
              <w:widowControl w:val="0"/>
              <w:suppressLineNumbers w:val="0"/>
              <w:spacing w:line="400" w:lineRule="exact"/>
              <w:ind w:left="-2" w:leftChars="-76" w:right="-94" w:rightChars="-45" w:hanging="158" w:hangingChars="66"/>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30.75</w:t>
            </w:r>
          </w:p>
        </w:tc>
        <w:tc>
          <w:tcPr>
            <w:tcW w:w="1005" w:type="dxa"/>
            <w:vAlign w:val="center"/>
          </w:tcPr>
          <w:p w14:paraId="43E021F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67.04</w:t>
            </w:r>
          </w:p>
        </w:tc>
        <w:tc>
          <w:tcPr>
            <w:tcW w:w="900" w:type="dxa"/>
            <w:vAlign w:val="center"/>
          </w:tcPr>
          <w:p w14:paraId="119CF2D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0.49</w:t>
            </w:r>
          </w:p>
        </w:tc>
        <w:tc>
          <w:tcPr>
            <w:tcW w:w="945" w:type="dxa"/>
            <w:vAlign w:val="center"/>
          </w:tcPr>
          <w:p w14:paraId="7C1CB4C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75.66</w:t>
            </w:r>
          </w:p>
        </w:tc>
        <w:tc>
          <w:tcPr>
            <w:tcW w:w="930" w:type="dxa"/>
            <w:vAlign w:val="center"/>
          </w:tcPr>
          <w:p w14:paraId="1A87119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12.85</w:t>
            </w:r>
          </w:p>
        </w:tc>
        <w:tc>
          <w:tcPr>
            <w:tcW w:w="2779" w:type="dxa"/>
            <w:vAlign w:val="center"/>
          </w:tcPr>
          <w:p w14:paraId="34F24B4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0DA7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28" w:type="dxa"/>
            <w:vMerge w:val="continue"/>
          </w:tcPr>
          <w:p w14:paraId="39938181">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938237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18</w:t>
            </w:r>
          </w:p>
        </w:tc>
        <w:tc>
          <w:tcPr>
            <w:tcW w:w="2505" w:type="dxa"/>
            <w:vAlign w:val="center"/>
          </w:tcPr>
          <w:p w14:paraId="534C1048">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千兆宽带用户普及率</w:t>
            </w:r>
          </w:p>
        </w:tc>
        <w:tc>
          <w:tcPr>
            <w:tcW w:w="915" w:type="dxa"/>
            <w:vAlign w:val="center"/>
          </w:tcPr>
          <w:p w14:paraId="277F58F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户/百人</w:t>
            </w:r>
          </w:p>
        </w:tc>
        <w:tc>
          <w:tcPr>
            <w:tcW w:w="960" w:type="dxa"/>
            <w:vAlign w:val="center"/>
          </w:tcPr>
          <w:p w14:paraId="1F3640F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4E54E87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w:t>
            </w:r>
          </w:p>
        </w:tc>
        <w:tc>
          <w:tcPr>
            <w:tcW w:w="915" w:type="dxa"/>
            <w:vAlign w:val="center"/>
          </w:tcPr>
          <w:p w14:paraId="0757D00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4D46827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26.74</w:t>
            </w:r>
          </w:p>
        </w:tc>
        <w:tc>
          <w:tcPr>
            <w:tcW w:w="900" w:type="dxa"/>
            <w:vAlign w:val="center"/>
          </w:tcPr>
          <w:p w14:paraId="688EEEE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15.26</w:t>
            </w:r>
          </w:p>
        </w:tc>
        <w:tc>
          <w:tcPr>
            <w:tcW w:w="945" w:type="dxa"/>
            <w:vAlign w:val="center"/>
          </w:tcPr>
          <w:p w14:paraId="441FD6A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32.7</w:t>
            </w:r>
          </w:p>
        </w:tc>
        <w:tc>
          <w:tcPr>
            <w:tcW w:w="930" w:type="dxa"/>
            <w:vAlign w:val="center"/>
          </w:tcPr>
          <w:p w14:paraId="1585524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22.31</w:t>
            </w:r>
          </w:p>
        </w:tc>
        <w:tc>
          <w:tcPr>
            <w:tcW w:w="2779" w:type="dxa"/>
            <w:vAlign w:val="center"/>
          </w:tcPr>
          <w:p w14:paraId="17D624DC">
            <w:pPr>
              <w:keepNext w:val="0"/>
              <w:keepLines w:val="0"/>
              <w:widowControl/>
              <w:suppressLineNumbers w:val="0"/>
              <w:spacing w:line="240" w:lineRule="auto"/>
              <w:jc w:val="center"/>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0923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24FAF7B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454E00C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19</w:t>
            </w:r>
          </w:p>
        </w:tc>
        <w:tc>
          <w:tcPr>
            <w:tcW w:w="2505" w:type="dxa"/>
            <w:vAlign w:val="center"/>
          </w:tcPr>
          <w:p w14:paraId="6AF7AEA2">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高新技术企业数</w:t>
            </w:r>
          </w:p>
        </w:tc>
        <w:tc>
          <w:tcPr>
            <w:tcW w:w="915" w:type="dxa"/>
            <w:vAlign w:val="center"/>
          </w:tcPr>
          <w:p w14:paraId="2951C7F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家</w:t>
            </w:r>
          </w:p>
        </w:tc>
        <w:tc>
          <w:tcPr>
            <w:tcW w:w="960" w:type="dxa"/>
            <w:vAlign w:val="center"/>
          </w:tcPr>
          <w:p w14:paraId="132BB26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C01C61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21</w:t>
            </w:r>
          </w:p>
        </w:tc>
        <w:tc>
          <w:tcPr>
            <w:tcW w:w="915" w:type="dxa"/>
            <w:vAlign w:val="center"/>
          </w:tcPr>
          <w:p w14:paraId="71F8AAB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5C724F7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14</w:t>
            </w:r>
          </w:p>
        </w:tc>
        <w:tc>
          <w:tcPr>
            <w:tcW w:w="900" w:type="dxa"/>
            <w:vAlign w:val="center"/>
          </w:tcPr>
          <w:p w14:paraId="7D2A92C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156E1A3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w:t>
            </w:r>
          </w:p>
        </w:tc>
        <w:tc>
          <w:tcPr>
            <w:tcW w:w="930" w:type="dxa"/>
            <w:vAlign w:val="center"/>
          </w:tcPr>
          <w:p w14:paraId="11B2371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40EA59B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1BEE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28" w:type="dxa"/>
            <w:vMerge w:val="restart"/>
            <w:vAlign w:val="center"/>
          </w:tcPr>
          <w:p w14:paraId="5A5862B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default" w:ascii="宋体" w:hAnsi="宋体" w:eastAsia="黑体" w:cs="黑体"/>
                <w:color w:val="auto"/>
                <w:sz w:val="24"/>
              </w:rPr>
              <w:t>创新发展</w:t>
            </w:r>
          </w:p>
        </w:tc>
        <w:tc>
          <w:tcPr>
            <w:tcW w:w="570" w:type="dxa"/>
            <w:vAlign w:val="center"/>
          </w:tcPr>
          <w:p w14:paraId="71FA0C2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20</w:t>
            </w:r>
          </w:p>
        </w:tc>
        <w:tc>
          <w:tcPr>
            <w:tcW w:w="2505" w:type="dxa"/>
            <w:vAlign w:val="center"/>
          </w:tcPr>
          <w:p w14:paraId="04062EB9">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有R&amp;D活动规上工业企业比重</w:t>
            </w:r>
          </w:p>
        </w:tc>
        <w:tc>
          <w:tcPr>
            <w:tcW w:w="915" w:type="dxa"/>
            <w:vAlign w:val="center"/>
          </w:tcPr>
          <w:p w14:paraId="0424468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16BD2EE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5491109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15.5 </w:t>
            </w:r>
          </w:p>
        </w:tc>
        <w:tc>
          <w:tcPr>
            <w:tcW w:w="915" w:type="dxa"/>
            <w:vAlign w:val="center"/>
          </w:tcPr>
          <w:p w14:paraId="7E33CA1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905" w:type="dxa"/>
            <w:gridSpan w:val="2"/>
            <w:vAlign w:val="center"/>
          </w:tcPr>
          <w:p w14:paraId="71DAECE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待省、市反馈</w:t>
            </w:r>
          </w:p>
        </w:tc>
        <w:tc>
          <w:tcPr>
            <w:tcW w:w="1875" w:type="dxa"/>
            <w:gridSpan w:val="2"/>
            <w:vAlign w:val="center"/>
          </w:tcPr>
          <w:p w14:paraId="6BBDDB66">
            <w:pPr>
              <w:keepNext w:val="0"/>
              <w:keepLines w:val="0"/>
              <w:pageBreakBefore w:val="0"/>
              <w:widowControl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kern w:val="0"/>
                <w:sz w:val="24"/>
                <w:szCs w:val="24"/>
                <w:u w:val="none"/>
                <w:vertAlign w:val="baseli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待省、市反馈</w:t>
            </w:r>
          </w:p>
        </w:tc>
        <w:tc>
          <w:tcPr>
            <w:tcW w:w="2779" w:type="dxa"/>
            <w:vAlign w:val="center"/>
          </w:tcPr>
          <w:p w14:paraId="746FA24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13F5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28" w:type="dxa"/>
            <w:vMerge w:val="continue"/>
            <w:vAlign w:val="center"/>
          </w:tcPr>
          <w:p w14:paraId="4D10B37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3F622E1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21</w:t>
            </w:r>
          </w:p>
        </w:tc>
        <w:tc>
          <w:tcPr>
            <w:tcW w:w="2505" w:type="dxa"/>
            <w:vAlign w:val="center"/>
          </w:tcPr>
          <w:p w14:paraId="0247A2B8">
            <w:pPr>
              <w:keepNext w:val="0"/>
              <w:keepLines w:val="0"/>
              <w:widowControl w:val="0"/>
              <w:suppressLineNumbers w:val="0"/>
              <w:spacing w:line="400" w:lineRule="exact"/>
              <w:ind w:right="-107" w:rightChars="-51"/>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高技术制造业增加值占规上制造业增加值比重</w:t>
            </w:r>
          </w:p>
        </w:tc>
        <w:tc>
          <w:tcPr>
            <w:tcW w:w="915" w:type="dxa"/>
            <w:vAlign w:val="center"/>
          </w:tcPr>
          <w:p w14:paraId="43DF5E2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483A060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2D47E1F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66.83</w:t>
            </w:r>
          </w:p>
        </w:tc>
        <w:tc>
          <w:tcPr>
            <w:tcW w:w="915" w:type="dxa"/>
            <w:vAlign w:val="center"/>
          </w:tcPr>
          <w:p w14:paraId="31F8422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642983E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66.87</w:t>
            </w:r>
          </w:p>
        </w:tc>
        <w:tc>
          <w:tcPr>
            <w:tcW w:w="900" w:type="dxa"/>
            <w:vAlign w:val="center"/>
          </w:tcPr>
          <w:p w14:paraId="65475AC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61B4077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持平</w:t>
            </w:r>
          </w:p>
        </w:tc>
        <w:tc>
          <w:tcPr>
            <w:tcW w:w="930" w:type="dxa"/>
            <w:vAlign w:val="center"/>
          </w:tcPr>
          <w:p w14:paraId="7977ACB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295DA63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区工业商务和信息化局</w:t>
            </w:r>
          </w:p>
        </w:tc>
      </w:tr>
      <w:tr w14:paraId="4F0C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43AA5EE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共享发展</w:t>
            </w:r>
          </w:p>
        </w:tc>
        <w:tc>
          <w:tcPr>
            <w:tcW w:w="570" w:type="dxa"/>
            <w:vAlign w:val="center"/>
          </w:tcPr>
          <w:p w14:paraId="503C285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22</w:t>
            </w:r>
          </w:p>
        </w:tc>
        <w:tc>
          <w:tcPr>
            <w:tcW w:w="2505" w:type="dxa"/>
            <w:vAlign w:val="center"/>
          </w:tcPr>
          <w:p w14:paraId="123B30D1">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11"/>
                <w:kern w:val="0"/>
                <w:sz w:val="24"/>
                <w:szCs w:val="24"/>
                <w:u w:val="none"/>
                <w:lang w:val="en-US" w:eastAsia="zh-CN" w:bidi="ar"/>
              </w:rPr>
              <w:t>高中阶段教育毛入学率</w:t>
            </w:r>
          </w:p>
        </w:tc>
        <w:tc>
          <w:tcPr>
            <w:tcW w:w="915" w:type="dxa"/>
            <w:vAlign w:val="center"/>
          </w:tcPr>
          <w:p w14:paraId="625A7D6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60" w:type="dxa"/>
            <w:vAlign w:val="center"/>
          </w:tcPr>
          <w:p w14:paraId="339B610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32A987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98.43</w:t>
            </w:r>
          </w:p>
        </w:tc>
        <w:tc>
          <w:tcPr>
            <w:tcW w:w="915" w:type="dxa"/>
            <w:vAlign w:val="center"/>
          </w:tcPr>
          <w:p w14:paraId="6E8558C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0.08</w:t>
            </w:r>
          </w:p>
        </w:tc>
        <w:tc>
          <w:tcPr>
            <w:tcW w:w="1005" w:type="dxa"/>
            <w:vAlign w:val="center"/>
          </w:tcPr>
          <w:p w14:paraId="74B7C08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98.47</w:t>
            </w:r>
          </w:p>
        </w:tc>
        <w:tc>
          <w:tcPr>
            <w:tcW w:w="900" w:type="dxa"/>
            <w:vAlign w:val="center"/>
          </w:tcPr>
          <w:p w14:paraId="116771C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0.04</w:t>
            </w:r>
          </w:p>
        </w:tc>
        <w:tc>
          <w:tcPr>
            <w:tcW w:w="945" w:type="dxa"/>
            <w:vAlign w:val="center"/>
          </w:tcPr>
          <w:p w14:paraId="60E70B7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98.48</w:t>
            </w:r>
          </w:p>
        </w:tc>
        <w:tc>
          <w:tcPr>
            <w:tcW w:w="930" w:type="dxa"/>
            <w:vAlign w:val="center"/>
          </w:tcPr>
          <w:p w14:paraId="08E56C1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0.01</w:t>
            </w:r>
          </w:p>
        </w:tc>
        <w:tc>
          <w:tcPr>
            <w:tcW w:w="2779" w:type="dxa"/>
            <w:vAlign w:val="center"/>
          </w:tcPr>
          <w:p w14:paraId="235EC61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区教育局</w:t>
            </w:r>
          </w:p>
        </w:tc>
      </w:tr>
      <w:tr w14:paraId="494F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8" w:type="dxa"/>
            <w:vMerge w:val="continue"/>
          </w:tcPr>
          <w:p w14:paraId="4024748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7381129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23</w:t>
            </w:r>
          </w:p>
        </w:tc>
        <w:tc>
          <w:tcPr>
            <w:tcW w:w="2505" w:type="dxa"/>
            <w:vAlign w:val="center"/>
          </w:tcPr>
          <w:p w14:paraId="03288A7E">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每千人口拥有3岁以下婴幼儿托位数</w:t>
            </w:r>
          </w:p>
        </w:tc>
        <w:tc>
          <w:tcPr>
            <w:tcW w:w="915" w:type="dxa"/>
            <w:vAlign w:val="center"/>
          </w:tcPr>
          <w:p w14:paraId="3333196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位</w:t>
            </w:r>
          </w:p>
        </w:tc>
        <w:tc>
          <w:tcPr>
            <w:tcW w:w="960" w:type="dxa"/>
            <w:vAlign w:val="center"/>
          </w:tcPr>
          <w:p w14:paraId="0297C32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622397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4.3</w:t>
            </w:r>
          </w:p>
        </w:tc>
        <w:tc>
          <w:tcPr>
            <w:tcW w:w="915" w:type="dxa"/>
            <w:vAlign w:val="center"/>
          </w:tcPr>
          <w:p w14:paraId="65A6636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6.17</w:t>
            </w:r>
          </w:p>
        </w:tc>
        <w:tc>
          <w:tcPr>
            <w:tcW w:w="1005" w:type="dxa"/>
            <w:vAlign w:val="center"/>
          </w:tcPr>
          <w:p w14:paraId="15E7BA1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4.38</w:t>
            </w:r>
          </w:p>
        </w:tc>
        <w:tc>
          <w:tcPr>
            <w:tcW w:w="900" w:type="dxa"/>
            <w:vAlign w:val="center"/>
          </w:tcPr>
          <w:p w14:paraId="777E9CB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8.96</w:t>
            </w:r>
          </w:p>
        </w:tc>
        <w:tc>
          <w:tcPr>
            <w:tcW w:w="945" w:type="dxa"/>
            <w:vAlign w:val="center"/>
          </w:tcPr>
          <w:p w14:paraId="0BF9078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4.5</w:t>
            </w:r>
          </w:p>
        </w:tc>
        <w:tc>
          <w:tcPr>
            <w:tcW w:w="930" w:type="dxa"/>
            <w:vAlign w:val="center"/>
          </w:tcPr>
          <w:p w14:paraId="2D2EB53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2.73</w:t>
            </w:r>
          </w:p>
        </w:tc>
        <w:tc>
          <w:tcPr>
            <w:tcW w:w="2779" w:type="dxa"/>
            <w:vAlign w:val="center"/>
          </w:tcPr>
          <w:p w14:paraId="7637939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区卫生健康局</w:t>
            </w:r>
          </w:p>
        </w:tc>
      </w:tr>
      <w:tr w14:paraId="1D29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75E8C86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51D57DD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24</w:t>
            </w:r>
          </w:p>
        </w:tc>
        <w:tc>
          <w:tcPr>
            <w:tcW w:w="2505" w:type="dxa"/>
            <w:vAlign w:val="center"/>
          </w:tcPr>
          <w:p w14:paraId="66C56ADD">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居民人均可支配收入</w:t>
            </w:r>
          </w:p>
        </w:tc>
        <w:tc>
          <w:tcPr>
            <w:tcW w:w="915" w:type="dxa"/>
            <w:vAlign w:val="center"/>
          </w:tcPr>
          <w:p w14:paraId="621139A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元</w:t>
            </w:r>
          </w:p>
        </w:tc>
        <w:tc>
          <w:tcPr>
            <w:tcW w:w="960" w:type="dxa"/>
            <w:vAlign w:val="center"/>
          </w:tcPr>
          <w:p w14:paraId="7872868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652F615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37812</w:t>
            </w:r>
          </w:p>
        </w:tc>
        <w:tc>
          <w:tcPr>
            <w:tcW w:w="915" w:type="dxa"/>
            <w:vAlign w:val="center"/>
          </w:tcPr>
          <w:p w14:paraId="50BB424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5.2</w:t>
            </w:r>
          </w:p>
        </w:tc>
        <w:tc>
          <w:tcPr>
            <w:tcW w:w="1005" w:type="dxa"/>
            <w:vAlign w:val="center"/>
          </w:tcPr>
          <w:p w14:paraId="6F9B4A4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39307</w:t>
            </w:r>
          </w:p>
        </w:tc>
        <w:tc>
          <w:tcPr>
            <w:tcW w:w="900" w:type="dxa"/>
            <w:vAlign w:val="center"/>
          </w:tcPr>
          <w:p w14:paraId="35EF579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4.0 </w:t>
            </w:r>
          </w:p>
        </w:tc>
        <w:tc>
          <w:tcPr>
            <w:tcW w:w="1875" w:type="dxa"/>
            <w:gridSpan w:val="2"/>
            <w:vAlign w:val="center"/>
          </w:tcPr>
          <w:p w14:paraId="41CEBD32">
            <w:pPr>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与经济增长</w:t>
            </w:r>
          </w:p>
          <w:p w14:paraId="688BB35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spacing w:val="-6"/>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基本同步</w:t>
            </w:r>
          </w:p>
        </w:tc>
        <w:tc>
          <w:tcPr>
            <w:tcW w:w="2779" w:type="dxa"/>
            <w:vAlign w:val="center"/>
          </w:tcPr>
          <w:p w14:paraId="12F74B9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spacing w:val="0"/>
                <w:kern w:val="0"/>
                <w:sz w:val="24"/>
                <w:szCs w:val="24"/>
                <w:u w:val="none"/>
                <w:lang w:val="en-US" w:eastAsia="zh-CN" w:bidi="ar"/>
              </w:rPr>
            </w:pPr>
            <w:r>
              <w:rPr>
                <w:rFonts w:hint="eastAsia" w:ascii="宋体" w:hAnsi="宋体" w:eastAsia="宋体" w:cs="宋体"/>
                <w:b w:val="0"/>
                <w:bCs w:val="0"/>
                <w:i w:val="0"/>
                <w:iCs w:val="0"/>
                <w:color w:val="auto"/>
                <w:spacing w:val="0"/>
                <w:kern w:val="0"/>
                <w:sz w:val="24"/>
                <w:szCs w:val="24"/>
                <w:u w:val="none"/>
                <w:lang w:val="en-US" w:eastAsia="zh-CN" w:bidi="ar"/>
              </w:rPr>
              <w:t>区发展改革局、区统计局</w:t>
            </w:r>
          </w:p>
        </w:tc>
      </w:tr>
      <w:tr w14:paraId="3FD7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28" w:type="dxa"/>
            <w:vMerge w:val="continue"/>
          </w:tcPr>
          <w:p w14:paraId="61CBA56F">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23D7011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25</w:t>
            </w:r>
          </w:p>
        </w:tc>
        <w:tc>
          <w:tcPr>
            <w:tcW w:w="2505" w:type="dxa"/>
            <w:vAlign w:val="center"/>
          </w:tcPr>
          <w:p w14:paraId="5E66A855">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城镇（常住）居民人均可支配收入</w:t>
            </w:r>
          </w:p>
        </w:tc>
        <w:tc>
          <w:tcPr>
            <w:tcW w:w="915" w:type="dxa"/>
            <w:vAlign w:val="center"/>
          </w:tcPr>
          <w:p w14:paraId="3722E64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元</w:t>
            </w:r>
          </w:p>
        </w:tc>
        <w:tc>
          <w:tcPr>
            <w:tcW w:w="960" w:type="dxa"/>
            <w:vAlign w:val="center"/>
          </w:tcPr>
          <w:p w14:paraId="5CD8085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08C369C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38184</w:t>
            </w:r>
          </w:p>
        </w:tc>
        <w:tc>
          <w:tcPr>
            <w:tcW w:w="915" w:type="dxa"/>
            <w:vAlign w:val="center"/>
          </w:tcPr>
          <w:p w14:paraId="56FF917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5.0 </w:t>
            </w:r>
          </w:p>
        </w:tc>
        <w:tc>
          <w:tcPr>
            <w:tcW w:w="1005" w:type="dxa"/>
            <w:vAlign w:val="center"/>
          </w:tcPr>
          <w:p w14:paraId="77186E8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39542</w:t>
            </w:r>
          </w:p>
        </w:tc>
        <w:tc>
          <w:tcPr>
            <w:tcW w:w="900" w:type="dxa"/>
            <w:vAlign w:val="center"/>
          </w:tcPr>
          <w:p w14:paraId="5E3764D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3.6 </w:t>
            </w:r>
          </w:p>
        </w:tc>
        <w:tc>
          <w:tcPr>
            <w:tcW w:w="1875" w:type="dxa"/>
            <w:gridSpan w:val="2"/>
            <w:vAlign w:val="center"/>
          </w:tcPr>
          <w:p w14:paraId="2005DDD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与经济增长</w:t>
            </w:r>
          </w:p>
          <w:p w14:paraId="1D3E281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基本同步</w:t>
            </w:r>
          </w:p>
        </w:tc>
        <w:tc>
          <w:tcPr>
            <w:tcW w:w="2779" w:type="dxa"/>
            <w:vAlign w:val="center"/>
          </w:tcPr>
          <w:p w14:paraId="5EA63C8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6"/>
                <w:kern w:val="0"/>
                <w:sz w:val="24"/>
                <w:szCs w:val="24"/>
                <w:u w:val="none"/>
                <w:lang w:val="en-US" w:eastAsia="zh-CN" w:bidi="ar"/>
              </w:rPr>
              <w:t>区发展改革局、区统计局</w:t>
            </w:r>
          </w:p>
        </w:tc>
      </w:tr>
      <w:tr w14:paraId="186D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8" w:type="dxa"/>
            <w:vMerge w:val="continue"/>
          </w:tcPr>
          <w:p w14:paraId="1294402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2BB5988">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26</w:t>
            </w:r>
          </w:p>
        </w:tc>
        <w:tc>
          <w:tcPr>
            <w:tcW w:w="2505" w:type="dxa"/>
            <w:vAlign w:val="center"/>
          </w:tcPr>
          <w:p w14:paraId="1B11AD49">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农村（常住）居民人均可支配收入</w:t>
            </w:r>
          </w:p>
        </w:tc>
        <w:tc>
          <w:tcPr>
            <w:tcW w:w="915" w:type="dxa"/>
            <w:vAlign w:val="center"/>
          </w:tcPr>
          <w:p w14:paraId="05E87E4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元</w:t>
            </w:r>
          </w:p>
        </w:tc>
        <w:tc>
          <w:tcPr>
            <w:tcW w:w="960" w:type="dxa"/>
            <w:vAlign w:val="center"/>
          </w:tcPr>
          <w:p w14:paraId="006DFE6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08989D1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30016</w:t>
            </w:r>
          </w:p>
        </w:tc>
        <w:tc>
          <w:tcPr>
            <w:tcW w:w="915" w:type="dxa"/>
            <w:vAlign w:val="center"/>
          </w:tcPr>
          <w:p w14:paraId="6D76FCC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7.8</w:t>
            </w:r>
          </w:p>
        </w:tc>
        <w:tc>
          <w:tcPr>
            <w:tcW w:w="1005" w:type="dxa"/>
            <w:vAlign w:val="center"/>
          </w:tcPr>
          <w:p w14:paraId="31BD11D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31832</w:t>
            </w:r>
          </w:p>
        </w:tc>
        <w:tc>
          <w:tcPr>
            <w:tcW w:w="900" w:type="dxa"/>
            <w:vAlign w:val="center"/>
          </w:tcPr>
          <w:p w14:paraId="6BB84EB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6.1</w:t>
            </w:r>
          </w:p>
        </w:tc>
        <w:tc>
          <w:tcPr>
            <w:tcW w:w="1875" w:type="dxa"/>
            <w:gridSpan w:val="2"/>
            <w:vAlign w:val="center"/>
          </w:tcPr>
          <w:p w14:paraId="3B6E0E6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与经济增长</w:t>
            </w:r>
          </w:p>
          <w:p w14:paraId="028C133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基本同步</w:t>
            </w:r>
          </w:p>
        </w:tc>
        <w:tc>
          <w:tcPr>
            <w:tcW w:w="2779" w:type="dxa"/>
            <w:vAlign w:val="center"/>
          </w:tcPr>
          <w:p w14:paraId="4CBB0D3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6"/>
                <w:kern w:val="0"/>
                <w:sz w:val="24"/>
                <w:szCs w:val="24"/>
                <w:u w:val="none"/>
                <w:lang w:val="en-US" w:eastAsia="zh-CN" w:bidi="ar"/>
              </w:rPr>
              <w:t>区农业农村局、区统计局</w:t>
            </w:r>
          </w:p>
        </w:tc>
      </w:tr>
      <w:tr w14:paraId="11AD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0741610F">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45E2653">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27</w:t>
            </w:r>
          </w:p>
        </w:tc>
        <w:tc>
          <w:tcPr>
            <w:tcW w:w="2505" w:type="dxa"/>
            <w:vAlign w:val="center"/>
          </w:tcPr>
          <w:p w14:paraId="54892B4B">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城镇新增就业人数</w:t>
            </w:r>
          </w:p>
        </w:tc>
        <w:tc>
          <w:tcPr>
            <w:tcW w:w="915" w:type="dxa"/>
            <w:vAlign w:val="center"/>
          </w:tcPr>
          <w:p w14:paraId="2C0DC2C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人</w:t>
            </w:r>
          </w:p>
        </w:tc>
        <w:tc>
          <w:tcPr>
            <w:tcW w:w="960" w:type="dxa"/>
            <w:vAlign w:val="center"/>
          </w:tcPr>
          <w:p w14:paraId="707C4C5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803828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3698</w:t>
            </w:r>
          </w:p>
        </w:tc>
        <w:tc>
          <w:tcPr>
            <w:tcW w:w="915" w:type="dxa"/>
            <w:vAlign w:val="center"/>
          </w:tcPr>
          <w:p w14:paraId="6820C0A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1.09</w:t>
            </w:r>
          </w:p>
        </w:tc>
        <w:tc>
          <w:tcPr>
            <w:tcW w:w="1005" w:type="dxa"/>
            <w:vAlign w:val="center"/>
          </w:tcPr>
          <w:p w14:paraId="19628B0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3857</w:t>
            </w:r>
          </w:p>
        </w:tc>
        <w:tc>
          <w:tcPr>
            <w:tcW w:w="900" w:type="dxa"/>
            <w:vAlign w:val="center"/>
          </w:tcPr>
          <w:p w14:paraId="1AC6D39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4.29</w:t>
            </w:r>
          </w:p>
        </w:tc>
        <w:tc>
          <w:tcPr>
            <w:tcW w:w="945" w:type="dxa"/>
            <w:vAlign w:val="center"/>
          </w:tcPr>
          <w:p w14:paraId="03DA5F9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3500</w:t>
            </w:r>
          </w:p>
        </w:tc>
        <w:tc>
          <w:tcPr>
            <w:tcW w:w="930" w:type="dxa"/>
            <w:vAlign w:val="center"/>
          </w:tcPr>
          <w:p w14:paraId="1A8DEA2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13DECD3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区人力资源社会保障局</w:t>
            </w:r>
          </w:p>
        </w:tc>
      </w:tr>
      <w:tr w14:paraId="6B46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8" w:type="dxa"/>
            <w:vMerge w:val="restart"/>
            <w:vAlign w:val="center"/>
          </w:tcPr>
          <w:p w14:paraId="2A05ED7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共享发展</w:t>
            </w:r>
          </w:p>
        </w:tc>
        <w:tc>
          <w:tcPr>
            <w:tcW w:w="570" w:type="dxa"/>
            <w:vAlign w:val="center"/>
          </w:tcPr>
          <w:p w14:paraId="7961CD8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28</w:t>
            </w:r>
          </w:p>
        </w:tc>
        <w:tc>
          <w:tcPr>
            <w:tcW w:w="2505" w:type="dxa"/>
            <w:vAlign w:val="center"/>
          </w:tcPr>
          <w:p w14:paraId="53565FDC">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参加城镇职工基本养老保险人数</w:t>
            </w:r>
          </w:p>
        </w:tc>
        <w:tc>
          <w:tcPr>
            <w:tcW w:w="915" w:type="dxa"/>
            <w:vAlign w:val="center"/>
          </w:tcPr>
          <w:p w14:paraId="631CC50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万人</w:t>
            </w:r>
          </w:p>
        </w:tc>
        <w:tc>
          <w:tcPr>
            <w:tcW w:w="960" w:type="dxa"/>
            <w:vAlign w:val="center"/>
          </w:tcPr>
          <w:p w14:paraId="6083C89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36AC8BA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8.72</w:t>
            </w:r>
          </w:p>
        </w:tc>
        <w:tc>
          <w:tcPr>
            <w:tcW w:w="915" w:type="dxa"/>
            <w:vAlign w:val="center"/>
          </w:tcPr>
          <w:p w14:paraId="0329398A">
            <w:pPr>
              <w:keepNext w:val="0"/>
              <w:keepLines w:val="0"/>
              <w:widowControl w:val="0"/>
              <w:suppressLineNumbers w:val="0"/>
              <w:spacing w:line="400" w:lineRule="exact"/>
              <w:ind w:left="-2" w:leftChars="-76" w:right="-174" w:rightChars="-83" w:hanging="158" w:hangingChars="66"/>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16.27</w:t>
            </w:r>
          </w:p>
        </w:tc>
        <w:tc>
          <w:tcPr>
            <w:tcW w:w="1005" w:type="dxa"/>
            <w:vAlign w:val="center"/>
          </w:tcPr>
          <w:p w14:paraId="7D35BB6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8.99</w:t>
            </w:r>
          </w:p>
        </w:tc>
        <w:tc>
          <w:tcPr>
            <w:tcW w:w="900" w:type="dxa"/>
            <w:vAlign w:val="center"/>
          </w:tcPr>
          <w:p w14:paraId="38E9EFC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3.1</w:t>
            </w:r>
          </w:p>
        </w:tc>
        <w:tc>
          <w:tcPr>
            <w:tcW w:w="945" w:type="dxa"/>
            <w:vAlign w:val="center"/>
          </w:tcPr>
          <w:p w14:paraId="5605AC3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9.04</w:t>
            </w:r>
          </w:p>
        </w:tc>
        <w:tc>
          <w:tcPr>
            <w:tcW w:w="930" w:type="dxa"/>
            <w:vAlign w:val="center"/>
          </w:tcPr>
          <w:p w14:paraId="128BF9D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0.56</w:t>
            </w:r>
          </w:p>
        </w:tc>
        <w:tc>
          <w:tcPr>
            <w:tcW w:w="2779" w:type="dxa"/>
            <w:vAlign w:val="center"/>
          </w:tcPr>
          <w:p w14:paraId="16AD83A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市社保局源城分局</w:t>
            </w:r>
          </w:p>
        </w:tc>
      </w:tr>
      <w:tr w14:paraId="48DF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14:paraId="3177A83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76EF43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29</w:t>
            </w:r>
          </w:p>
        </w:tc>
        <w:tc>
          <w:tcPr>
            <w:tcW w:w="2505" w:type="dxa"/>
            <w:vAlign w:val="center"/>
          </w:tcPr>
          <w:p w14:paraId="2124D72A">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参加城乡居民基本养老保险人数</w:t>
            </w:r>
          </w:p>
        </w:tc>
        <w:tc>
          <w:tcPr>
            <w:tcW w:w="915" w:type="dxa"/>
            <w:vAlign w:val="center"/>
          </w:tcPr>
          <w:p w14:paraId="2872152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万人</w:t>
            </w:r>
          </w:p>
        </w:tc>
        <w:tc>
          <w:tcPr>
            <w:tcW w:w="960" w:type="dxa"/>
            <w:vAlign w:val="center"/>
          </w:tcPr>
          <w:p w14:paraId="356A0CD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49F330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6.98</w:t>
            </w:r>
          </w:p>
        </w:tc>
        <w:tc>
          <w:tcPr>
            <w:tcW w:w="915" w:type="dxa"/>
            <w:vAlign w:val="center"/>
          </w:tcPr>
          <w:p w14:paraId="637D6FA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0.15</w:t>
            </w:r>
          </w:p>
        </w:tc>
        <w:tc>
          <w:tcPr>
            <w:tcW w:w="1005" w:type="dxa"/>
            <w:vAlign w:val="center"/>
          </w:tcPr>
          <w:p w14:paraId="1C26CDE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6.95</w:t>
            </w:r>
          </w:p>
        </w:tc>
        <w:tc>
          <w:tcPr>
            <w:tcW w:w="900" w:type="dxa"/>
            <w:vAlign w:val="center"/>
          </w:tcPr>
          <w:p w14:paraId="029391C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-0.43</w:t>
            </w:r>
          </w:p>
        </w:tc>
        <w:tc>
          <w:tcPr>
            <w:tcW w:w="945" w:type="dxa"/>
            <w:vAlign w:val="center"/>
          </w:tcPr>
          <w:p w14:paraId="21887DB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7.1</w:t>
            </w:r>
          </w:p>
        </w:tc>
        <w:tc>
          <w:tcPr>
            <w:tcW w:w="930" w:type="dxa"/>
            <w:vAlign w:val="center"/>
          </w:tcPr>
          <w:p w14:paraId="5143559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2.16</w:t>
            </w:r>
          </w:p>
        </w:tc>
        <w:tc>
          <w:tcPr>
            <w:tcW w:w="2779" w:type="dxa"/>
            <w:vAlign w:val="center"/>
          </w:tcPr>
          <w:p w14:paraId="2D309A7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市社保局源城分局</w:t>
            </w:r>
          </w:p>
        </w:tc>
      </w:tr>
      <w:tr w14:paraId="183A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vAlign w:val="center"/>
          </w:tcPr>
          <w:p w14:paraId="02DAEDD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05782D3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30</w:t>
            </w:r>
          </w:p>
        </w:tc>
        <w:tc>
          <w:tcPr>
            <w:tcW w:w="2505" w:type="dxa"/>
            <w:vAlign w:val="center"/>
          </w:tcPr>
          <w:p w14:paraId="54372412">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11"/>
                <w:kern w:val="0"/>
                <w:sz w:val="24"/>
                <w:szCs w:val="24"/>
                <w:u w:val="none"/>
                <w:lang w:val="en-US" w:eastAsia="zh-CN" w:bidi="ar"/>
              </w:rPr>
              <w:t>参加基本医疗保险人数</w:t>
            </w:r>
          </w:p>
        </w:tc>
        <w:tc>
          <w:tcPr>
            <w:tcW w:w="915" w:type="dxa"/>
            <w:vAlign w:val="center"/>
          </w:tcPr>
          <w:p w14:paraId="4E19F09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万人</w:t>
            </w:r>
          </w:p>
        </w:tc>
        <w:tc>
          <w:tcPr>
            <w:tcW w:w="960" w:type="dxa"/>
            <w:vAlign w:val="center"/>
          </w:tcPr>
          <w:p w14:paraId="1BD3AA6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0E7743D">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26.6</w:t>
            </w:r>
          </w:p>
        </w:tc>
        <w:tc>
          <w:tcPr>
            <w:tcW w:w="915" w:type="dxa"/>
            <w:vAlign w:val="center"/>
          </w:tcPr>
          <w:p w14:paraId="051A542D">
            <w:pPr>
              <w:keepNext w:val="0"/>
              <w:keepLines w:val="0"/>
              <w:widowControl w:val="0"/>
              <w:suppressLineNumbers w:val="0"/>
              <w:tabs>
                <w:tab w:val="left" w:pos="420"/>
              </w:tabs>
              <w:spacing w:line="400" w:lineRule="exact"/>
              <w:ind w:right="-155" w:rightChars="-74"/>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-8.66</w:t>
            </w:r>
          </w:p>
        </w:tc>
        <w:tc>
          <w:tcPr>
            <w:tcW w:w="1005" w:type="dxa"/>
            <w:vAlign w:val="center"/>
          </w:tcPr>
          <w:p w14:paraId="41356EA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27.03</w:t>
            </w:r>
          </w:p>
        </w:tc>
        <w:tc>
          <w:tcPr>
            <w:tcW w:w="900" w:type="dxa"/>
            <w:vAlign w:val="center"/>
          </w:tcPr>
          <w:p w14:paraId="342C5F1B">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1.65</w:t>
            </w:r>
          </w:p>
        </w:tc>
        <w:tc>
          <w:tcPr>
            <w:tcW w:w="945" w:type="dxa"/>
            <w:vAlign w:val="center"/>
          </w:tcPr>
          <w:p w14:paraId="4826ECDC">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27.06</w:t>
            </w:r>
          </w:p>
        </w:tc>
        <w:tc>
          <w:tcPr>
            <w:tcW w:w="930" w:type="dxa"/>
            <w:vAlign w:val="center"/>
          </w:tcPr>
          <w:p w14:paraId="3DB380E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0.11</w:t>
            </w:r>
          </w:p>
        </w:tc>
        <w:tc>
          <w:tcPr>
            <w:tcW w:w="2779" w:type="dxa"/>
            <w:vAlign w:val="center"/>
          </w:tcPr>
          <w:p w14:paraId="02B4B797">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市医保局源城分局</w:t>
            </w:r>
          </w:p>
        </w:tc>
      </w:tr>
      <w:tr w14:paraId="19FF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tcPr>
          <w:p w14:paraId="2098F33D">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570" w:type="dxa"/>
            <w:vAlign w:val="center"/>
          </w:tcPr>
          <w:p w14:paraId="50107FD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31</w:t>
            </w:r>
          </w:p>
        </w:tc>
        <w:tc>
          <w:tcPr>
            <w:tcW w:w="2505" w:type="dxa"/>
            <w:vAlign w:val="center"/>
          </w:tcPr>
          <w:p w14:paraId="4011A1A8">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pacing w:val="-11"/>
                <w:kern w:val="0"/>
                <w:sz w:val="24"/>
                <w:szCs w:val="24"/>
                <w:u w:val="none"/>
                <w:lang w:val="en-US" w:eastAsia="zh-CN" w:bidi="ar"/>
              </w:rPr>
              <w:t>城镇老旧小区改造户数</w:t>
            </w:r>
          </w:p>
        </w:tc>
        <w:tc>
          <w:tcPr>
            <w:tcW w:w="915" w:type="dxa"/>
            <w:vAlign w:val="center"/>
          </w:tcPr>
          <w:p w14:paraId="0B7A362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户</w:t>
            </w:r>
          </w:p>
        </w:tc>
        <w:tc>
          <w:tcPr>
            <w:tcW w:w="960" w:type="dxa"/>
            <w:vAlign w:val="center"/>
          </w:tcPr>
          <w:p w14:paraId="1B7D4E4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14E0786">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1320</w:t>
            </w:r>
          </w:p>
        </w:tc>
        <w:tc>
          <w:tcPr>
            <w:tcW w:w="915" w:type="dxa"/>
            <w:vAlign w:val="center"/>
          </w:tcPr>
          <w:p w14:paraId="5007952D">
            <w:pPr>
              <w:keepNext w:val="0"/>
              <w:keepLines w:val="0"/>
              <w:widowControl w:val="0"/>
              <w:suppressLineNumbers w:val="0"/>
              <w:spacing w:line="400" w:lineRule="exact"/>
              <w:ind w:left="-120" w:leftChars="-57" w:right="-115" w:rightChars="-55" w:firstLine="0" w:firstLineChars="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-39.78</w:t>
            </w:r>
          </w:p>
        </w:tc>
        <w:tc>
          <w:tcPr>
            <w:tcW w:w="1005" w:type="dxa"/>
            <w:vAlign w:val="center"/>
          </w:tcPr>
          <w:p w14:paraId="1386248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1047</w:t>
            </w:r>
          </w:p>
        </w:tc>
        <w:tc>
          <w:tcPr>
            <w:tcW w:w="900" w:type="dxa"/>
            <w:vAlign w:val="center"/>
          </w:tcPr>
          <w:p w14:paraId="209F187C">
            <w:pPr>
              <w:keepNext w:val="0"/>
              <w:keepLines w:val="0"/>
              <w:widowControl w:val="0"/>
              <w:suppressLineNumbers w:val="0"/>
              <w:spacing w:line="400" w:lineRule="exact"/>
              <w:ind w:left="-1" w:leftChars="-47" w:right="-69" w:rightChars="-33" w:hanging="98" w:hangingChars="41"/>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-20.68</w:t>
            </w:r>
          </w:p>
        </w:tc>
        <w:tc>
          <w:tcPr>
            <w:tcW w:w="945" w:type="dxa"/>
            <w:vAlign w:val="center"/>
          </w:tcPr>
          <w:p w14:paraId="43AE27B1">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1624</w:t>
            </w:r>
          </w:p>
        </w:tc>
        <w:tc>
          <w:tcPr>
            <w:tcW w:w="930" w:type="dxa"/>
            <w:vAlign w:val="center"/>
          </w:tcPr>
          <w:p w14:paraId="7E33BB3E">
            <w:pPr>
              <w:keepNext w:val="0"/>
              <w:keepLines w:val="0"/>
              <w:widowControl w:val="0"/>
              <w:suppressLineNumbers w:val="0"/>
              <w:spacing w:line="400" w:lineRule="exact"/>
              <w:ind w:right="-153" w:rightChars="-73"/>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55.11</w:t>
            </w:r>
          </w:p>
        </w:tc>
        <w:tc>
          <w:tcPr>
            <w:tcW w:w="2779" w:type="dxa"/>
            <w:vAlign w:val="center"/>
          </w:tcPr>
          <w:p w14:paraId="06968115">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区住房城乡建设局</w:t>
            </w:r>
          </w:p>
        </w:tc>
      </w:tr>
      <w:tr w14:paraId="1085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8" w:type="dxa"/>
            <w:vMerge w:val="continue"/>
          </w:tcPr>
          <w:p w14:paraId="355E40C3">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6E99E69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32</w:t>
            </w:r>
          </w:p>
        </w:tc>
        <w:tc>
          <w:tcPr>
            <w:tcW w:w="0" w:type="auto"/>
            <w:vAlign w:val="center"/>
          </w:tcPr>
          <w:p w14:paraId="3D965EC9">
            <w:pPr>
              <w:keepNext w:val="0"/>
              <w:keepLines w:val="0"/>
              <w:widowControl w:val="0"/>
              <w:suppressLineNumbers w:val="0"/>
              <w:spacing w:line="400" w:lineRule="exact"/>
              <w:jc w:val="lef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城乡居民最低生活保障人数</w:t>
            </w:r>
          </w:p>
        </w:tc>
        <w:tc>
          <w:tcPr>
            <w:tcW w:w="0" w:type="auto"/>
            <w:vAlign w:val="center"/>
          </w:tcPr>
          <w:p w14:paraId="501B72D4">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万人</w:t>
            </w:r>
          </w:p>
        </w:tc>
        <w:tc>
          <w:tcPr>
            <w:tcW w:w="0" w:type="auto"/>
            <w:vAlign w:val="center"/>
          </w:tcPr>
          <w:p w14:paraId="48E4F2E9">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0" w:type="auto"/>
            <w:vAlign w:val="center"/>
          </w:tcPr>
          <w:p w14:paraId="7B44315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0.3</w:t>
            </w:r>
          </w:p>
        </w:tc>
        <w:tc>
          <w:tcPr>
            <w:tcW w:w="915" w:type="dxa"/>
            <w:vAlign w:val="center"/>
          </w:tcPr>
          <w:p w14:paraId="509DC546">
            <w:pPr>
              <w:keepNext w:val="0"/>
              <w:keepLines w:val="0"/>
              <w:widowControl w:val="0"/>
              <w:suppressLineNumbers w:val="0"/>
              <w:spacing w:line="400" w:lineRule="exact"/>
              <w:ind w:left="-2" w:leftChars="-76" w:hanging="158" w:hangingChars="66"/>
              <w:jc w:val="right"/>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-7.90</w:t>
            </w:r>
          </w:p>
        </w:tc>
        <w:tc>
          <w:tcPr>
            <w:tcW w:w="1005" w:type="dxa"/>
            <w:vAlign w:val="center"/>
          </w:tcPr>
          <w:p w14:paraId="6970041A">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0.26 </w:t>
            </w:r>
          </w:p>
        </w:tc>
        <w:tc>
          <w:tcPr>
            <w:tcW w:w="900" w:type="dxa"/>
            <w:vAlign w:val="center"/>
          </w:tcPr>
          <w:p w14:paraId="0024B0B9">
            <w:pPr>
              <w:keepNext w:val="0"/>
              <w:keepLines w:val="0"/>
              <w:widowControl w:val="0"/>
              <w:suppressLineNumbers w:val="0"/>
              <w:spacing w:line="400" w:lineRule="exact"/>
              <w:ind w:left="-1" w:leftChars="-38" w:hanging="79" w:hangingChars="33"/>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-10.00 </w:t>
            </w:r>
          </w:p>
        </w:tc>
        <w:tc>
          <w:tcPr>
            <w:tcW w:w="945" w:type="dxa"/>
            <w:vAlign w:val="center"/>
          </w:tcPr>
          <w:p w14:paraId="499597F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0.26 </w:t>
            </w:r>
          </w:p>
        </w:tc>
        <w:tc>
          <w:tcPr>
            <w:tcW w:w="930" w:type="dxa"/>
            <w:vAlign w:val="center"/>
          </w:tcPr>
          <w:p w14:paraId="3D16B51F">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持平</w:t>
            </w:r>
          </w:p>
        </w:tc>
        <w:tc>
          <w:tcPr>
            <w:tcW w:w="2779" w:type="dxa"/>
            <w:vAlign w:val="center"/>
          </w:tcPr>
          <w:p w14:paraId="6F315DFE">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区民政局</w:t>
            </w:r>
          </w:p>
        </w:tc>
      </w:tr>
      <w:tr w14:paraId="2C13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8" w:type="dxa"/>
            <w:vMerge w:val="continue"/>
          </w:tcPr>
          <w:p w14:paraId="42DCCE9E">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54E568E2">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33</w:t>
            </w:r>
          </w:p>
        </w:tc>
        <w:tc>
          <w:tcPr>
            <w:tcW w:w="0" w:type="auto"/>
            <w:vAlign w:val="center"/>
          </w:tcPr>
          <w:p w14:paraId="1A147359">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每千人口执业（助理）医师数</w:t>
            </w:r>
          </w:p>
        </w:tc>
        <w:tc>
          <w:tcPr>
            <w:tcW w:w="0" w:type="auto"/>
            <w:vAlign w:val="center"/>
          </w:tcPr>
          <w:p w14:paraId="4D77E220">
            <w:pPr>
              <w:keepNext w:val="0"/>
              <w:keepLines w:val="0"/>
              <w:widowControl w:val="0"/>
              <w:suppressLineNumbers w:val="0"/>
              <w:spacing w:line="40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人</w:t>
            </w:r>
          </w:p>
        </w:tc>
        <w:tc>
          <w:tcPr>
            <w:tcW w:w="0" w:type="auto"/>
            <w:vAlign w:val="center"/>
          </w:tcPr>
          <w:p w14:paraId="1217B59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0" w:type="auto"/>
            <w:vAlign w:val="center"/>
          </w:tcPr>
          <w:p w14:paraId="6B88B6A3">
            <w:pPr>
              <w:keepNext w:val="0"/>
              <w:keepLines w:val="0"/>
              <w:widowControl w:val="0"/>
              <w:suppressLineNumbers w:val="0"/>
              <w:tabs>
                <w:tab w:val="left" w:pos="357"/>
              </w:tabs>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2.1</w:t>
            </w:r>
          </w:p>
        </w:tc>
        <w:tc>
          <w:tcPr>
            <w:tcW w:w="915" w:type="dxa"/>
            <w:vAlign w:val="center"/>
          </w:tcPr>
          <w:p w14:paraId="14BB8125">
            <w:pPr>
              <w:keepNext w:val="0"/>
              <w:keepLines w:val="0"/>
              <w:widowControl w:val="0"/>
              <w:suppressLineNumbers w:val="0"/>
              <w:tabs>
                <w:tab w:val="left" w:pos="357"/>
              </w:tabs>
              <w:spacing w:line="400" w:lineRule="exact"/>
              <w:ind w:left="0" w:leftChars="0"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4.64</w:t>
            </w:r>
          </w:p>
        </w:tc>
        <w:tc>
          <w:tcPr>
            <w:tcW w:w="1005" w:type="dxa"/>
            <w:vAlign w:val="center"/>
          </w:tcPr>
          <w:p w14:paraId="4847EBB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2.12</w:t>
            </w:r>
          </w:p>
        </w:tc>
        <w:tc>
          <w:tcPr>
            <w:tcW w:w="900" w:type="dxa"/>
            <w:vAlign w:val="center"/>
          </w:tcPr>
          <w:p w14:paraId="432327E9">
            <w:pPr>
              <w:keepNext w:val="0"/>
              <w:keepLines w:val="0"/>
              <w:widowControl w:val="0"/>
              <w:suppressLineNumbers w:val="0"/>
              <w:tabs>
                <w:tab w:val="left" w:pos="357"/>
              </w:tabs>
              <w:spacing w:line="400" w:lineRule="exact"/>
              <w:ind w:left="0" w:leftChars="0" w:firstLine="0" w:firstLineChars="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4.43</w:t>
            </w:r>
          </w:p>
        </w:tc>
        <w:tc>
          <w:tcPr>
            <w:tcW w:w="945" w:type="dxa"/>
            <w:vAlign w:val="center"/>
          </w:tcPr>
          <w:p w14:paraId="4934CD4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2.62</w:t>
            </w:r>
          </w:p>
        </w:tc>
        <w:tc>
          <w:tcPr>
            <w:tcW w:w="930" w:type="dxa"/>
            <w:vAlign w:val="center"/>
          </w:tcPr>
          <w:p w14:paraId="60BF938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23.58</w:t>
            </w:r>
          </w:p>
        </w:tc>
        <w:tc>
          <w:tcPr>
            <w:tcW w:w="2779" w:type="dxa"/>
            <w:vAlign w:val="center"/>
          </w:tcPr>
          <w:p w14:paraId="1958FAF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区卫生健康局</w:t>
            </w:r>
          </w:p>
        </w:tc>
      </w:tr>
      <w:tr w14:paraId="4720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28" w:type="dxa"/>
            <w:vMerge w:val="restart"/>
            <w:vAlign w:val="center"/>
          </w:tcPr>
          <w:p w14:paraId="110ECEF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default" w:ascii="宋体" w:hAnsi="宋体" w:eastAsia="黑体" w:cs="黑体"/>
                <w:color w:val="auto"/>
                <w:sz w:val="24"/>
              </w:rPr>
              <w:t>绿色发展</w:t>
            </w:r>
          </w:p>
        </w:tc>
        <w:tc>
          <w:tcPr>
            <w:tcW w:w="0" w:type="auto"/>
            <w:vAlign w:val="center"/>
          </w:tcPr>
          <w:p w14:paraId="197333C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34</w:t>
            </w:r>
          </w:p>
        </w:tc>
        <w:tc>
          <w:tcPr>
            <w:tcW w:w="0" w:type="auto"/>
            <w:vAlign w:val="center"/>
          </w:tcPr>
          <w:p w14:paraId="18E57C26">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单位地区生产总值能耗降低</w:t>
            </w:r>
          </w:p>
        </w:tc>
        <w:tc>
          <w:tcPr>
            <w:tcW w:w="0" w:type="auto"/>
            <w:vAlign w:val="center"/>
          </w:tcPr>
          <w:p w14:paraId="61DA7C8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1A0BFF1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0" w:type="auto"/>
            <w:vAlign w:val="center"/>
          </w:tcPr>
          <w:p w14:paraId="13D24E6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1.5</w:t>
            </w:r>
          </w:p>
        </w:tc>
        <w:tc>
          <w:tcPr>
            <w:tcW w:w="915" w:type="dxa"/>
            <w:vAlign w:val="center"/>
          </w:tcPr>
          <w:p w14:paraId="7B47E1F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2FB346CA">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0.5</w:t>
            </w:r>
          </w:p>
        </w:tc>
        <w:tc>
          <w:tcPr>
            <w:tcW w:w="900" w:type="dxa"/>
            <w:vAlign w:val="center"/>
          </w:tcPr>
          <w:p w14:paraId="2E71F2B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79B8A094">
            <w:pPr>
              <w:keepNext w:val="0"/>
              <w:keepLines w:val="0"/>
              <w:widowControl w:val="0"/>
              <w:suppressLineNumbers w:val="0"/>
              <w:spacing w:line="400" w:lineRule="exact"/>
              <w:ind w:left="0" w:leftChars="0" w:right="-90" w:rightChars="-43" w:firstLine="0" w:firstLineChars="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24DB8CA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区发展改革局、区统计局</w:t>
            </w:r>
          </w:p>
        </w:tc>
      </w:tr>
      <w:tr w14:paraId="78FC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28" w:type="dxa"/>
            <w:vMerge w:val="continue"/>
          </w:tcPr>
          <w:p w14:paraId="5BC7943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497F6BA5">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35</w:t>
            </w:r>
          </w:p>
        </w:tc>
        <w:tc>
          <w:tcPr>
            <w:tcW w:w="0" w:type="auto"/>
            <w:vAlign w:val="center"/>
          </w:tcPr>
          <w:p w14:paraId="22525651">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单位地区生产总值二氧化碳排放量降低</w:t>
            </w:r>
          </w:p>
        </w:tc>
        <w:tc>
          <w:tcPr>
            <w:tcW w:w="0" w:type="auto"/>
            <w:vAlign w:val="center"/>
          </w:tcPr>
          <w:p w14:paraId="357D232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282E631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920" w:type="dxa"/>
            <w:gridSpan w:val="2"/>
            <w:vAlign w:val="center"/>
          </w:tcPr>
          <w:p w14:paraId="695C03C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以省、市核定</w:t>
            </w:r>
          </w:p>
          <w:p w14:paraId="4738DF4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为准</w:t>
            </w:r>
          </w:p>
        </w:tc>
        <w:tc>
          <w:tcPr>
            <w:tcW w:w="1905" w:type="dxa"/>
            <w:gridSpan w:val="2"/>
            <w:vAlign w:val="center"/>
          </w:tcPr>
          <w:p w14:paraId="56A5C53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以省、市核定</w:t>
            </w:r>
          </w:p>
          <w:p w14:paraId="570F180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为准</w:t>
            </w:r>
          </w:p>
        </w:tc>
        <w:tc>
          <w:tcPr>
            <w:tcW w:w="1875" w:type="dxa"/>
            <w:gridSpan w:val="2"/>
            <w:vAlign w:val="center"/>
          </w:tcPr>
          <w:p w14:paraId="63D64C44">
            <w:pPr>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以省、市核定</w:t>
            </w:r>
          </w:p>
          <w:p w14:paraId="1ADBE34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为准</w:t>
            </w:r>
          </w:p>
        </w:tc>
        <w:tc>
          <w:tcPr>
            <w:tcW w:w="2779" w:type="dxa"/>
            <w:vAlign w:val="center"/>
          </w:tcPr>
          <w:p w14:paraId="4AEF0C0C">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6F17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28" w:type="dxa"/>
            <w:vMerge w:val="restart"/>
            <w:vAlign w:val="center"/>
          </w:tcPr>
          <w:p w14:paraId="1D5FAAE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eastAsia" w:ascii="宋体" w:hAnsi="宋体" w:eastAsia="黑体" w:cs="黑体"/>
                <w:color w:val="auto"/>
                <w:sz w:val="24"/>
                <w:szCs w:val="24"/>
                <w:vertAlign w:val="baseline"/>
                <w:lang w:val="en-US" w:eastAsia="zh-CN"/>
              </w:rPr>
              <w:t>绿色发展</w:t>
            </w:r>
          </w:p>
        </w:tc>
        <w:tc>
          <w:tcPr>
            <w:tcW w:w="0" w:type="auto"/>
            <w:vAlign w:val="center"/>
          </w:tcPr>
          <w:p w14:paraId="4C0D844E">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36</w:t>
            </w:r>
          </w:p>
        </w:tc>
        <w:tc>
          <w:tcPr>
            <w:tcW w:w="0" w:type="auto"/>
            <w:vAlign w:val="center"/>
          </w:tcPr>
          <w:p w14:paraId="07D50B7B">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万元地区生产总值用水量下降</w:t>
            </w:r>
          </w:p>
        </w:tc>
        <w:tc>
          <w:tcPr>
            <w:tcW w:w="0" w:type="auto"/>
            <w:vAlign w:val="center"/>
          </w:tcPr>
          <w:p w14:paraId="31ED66A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21B542EC">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3155E1B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14</w:t>
            </w:r>
          </w:p>
        </w:tc>
        <w:tc>
          <w:tcPr>
            <w:tcW w:w="915" w:type="dxa"/>
            <w:vAlign w:val="center"/>
          </w:tcPr>
          <w:p w14:paraId="4720E53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121E7BC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19</w:t>
            </w:r>
          </w:p>
        </w:tc>
        <w:tc>
          <w:tcPr>
            <w:tcW w:w="900" w:type="dxa"/>
            <w:vAlign w:val="center"/>
          </w:tcPr>
          <w:p w14:paraId="0A4E170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0EA5CB6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24</w:t>
            </w:r>
          </w:p>
        </w:tc>
        <w:tc>
          <w:tcPr>
            <w:tcW w:w="930" w:type="dxa"/>
            <w:vAlign w:val="center"/>
          </w:tcPr>
          <w:p w14:paraId="570067F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49D274FA">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区水务局</w:t>
            </w:r>
          </w:p>
        </w:tc>
      </w:tr>
      <w:tr w14:paraId="147F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continue"/>
            <w:vAlign w:val="center"/>
          </w:tcPr>
          <w:p w14:paraId="2621C22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0FDD912A">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37</w:t>
            </w:r>
          </w:p>
        </w:tc>
        <w:tc>
          <w:tcPr>
            <w:tcW w:w="0" w:type="auto"/>
            <w:vAlign w:val="center"/>
          </w:tcPr>
          <w:p w14:paraId="1EF96144">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森林覆盖率</w:t>
            </w:r>
          </w:p>
        </w:tc>
        <w:tc>
          <w:tcPr>
            <w:tcW w:w="0" w:type="auto"/>
            <w:vAlign w:val="center"/>
          </w:tcPr>
          <w:p w14:paraId="0ACDBAE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44D6B0D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6849D08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51.51</w:t>
            </w:r>
          </w:p>
        </w:tc>
        <w:tc>
          <w:tcPr>
            <w:tcW w:w="915" w:type="dxa"/>
            <w:vAlign w:val="center"/>
          </w:tcPr>
          <w:p w14:paraId="23F3AD1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229E830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51.51</w:t>
            </w:r>
          </w:p>
        </w:tc>
        <w:tc>
          <w:tcPr>
            <w:tcW w:w="900" w:type="dxa"/>
            <w:vAlign w:val="center"/>
          </w:tcPr>
          <w:p w14:paraId="1C9686D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54E02F2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51.51</w:t>
            </w:r>
          </w:p>
        </w:tc>
        <w:tc>
          <w:tcPr>
            <w:tcW w:w="930" w:type="dxa"/>
            <w:vAlign w:val="center"/>
          </w:tcPr>
          <w:p w14:paraId="01FB6C8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3D16501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区农业农村局</w:t>
            </w:r>
          </w:p>
        </w:tc>
      </w:tr>
      <w:tr w14:paraId="5EA9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8" w:type="dxa"/>
            <w:vMerge w:val="continue"/>
          </w:tcPr>
          <w:p w14:paraId="56811518">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3841DA87">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38</w:t>
            </w:r>
          </w:p>
        </w:tc>
        <w:tc>
          <w:tcPr>
            <w:tcW w:w="0" w:type="auto"/>
            <w:vAlign w:val="center"/>
          </w:tcPr>
          <w:p w14:paraId="64A84418">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城市空气质量优良天数比率</w:t>
            </w:r>
          </w:p>
        </w:tc>
        <w:tc>
          <w:tcPr>
            <w:tcW w:w="0" w:type="auto"/>
            <w:vAlign w:val="center"/>
          </w:tcPr>
          <w:p w14:paraId="0543A44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116DE3F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2616D1D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99.5</w:t>
            </w:r>
          </w:p>
        </w:tc>
        <w:tc>
          <w:tcPr>
            <w:tcW w:w="915" w:type="dxa"/>
            <w:vAlign w:val="center"/>
          </w:tcPr>
          <w:p w14:paraId="08467BD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2.8</w:t>
            </w:r>
          </w:p>
        </w:tc>
        <w:tc>
          <w:tcPr>
            <w:tcW w:w="1005" w:type="dxa"/>
            <w:vAlign w:val="center"/>
          </w:tcPr>
          <w:p w14:paraId="100A239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99.7</w:t>
            </w:r>
          </w:p>
        </w:tc>
        <w:tc>
          <w:tcPr>
            <w:tcW w:w="900" w:type="dxa"/>
            <w:vAlign w:val="center"/>
          </w:tcPr>
          <w:p w14:paraId="61EF2C5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0.2 </w:t>
            </w:r>
          </w:p>
        </w:tc>
        <w:tc>
          <w:tcPr>
            <w:tcW w:w="1875" w:type="dxa"/>
            <w:gridSpan w:val="2"/>
            <w:vAlign w:val="center"/>
          </w:tcPr>
          <w:p w14:paraId="4D928087">
            <w:pPr>
              <w:keepNext w:val="0"/>
              <w:keepLines w:val="0"/>
              <w:widowControl w:val="0"/>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362D60A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06B5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14:paraId="122E08B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6AAC486F">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39</w:t>
            </w:r>
          </w:p>
        </w:tc>
        <w:tc>
          <w:tcPr>
            <w:tcW w:w="0" w:type="auto"/>
            <w:vAlign w:val="center"/>
          </w:tcPr>
          <w:p w14:paraId="27934EF9">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城市细颗粒物（PM2.5）浓度</w:t>
            </w:r>
          </w:p>
        </w:tc>
        <w:tc>
          <w:tcPr>
            <w:tcW w:w="0" w:type="auto"/>
            <w:vAlign w:val="center"/>
          </w:tcPr>
          <w:p w14:paraId="7B68921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微克/每立方米</w:t>
            </w:r>
          </w:p>
        </w:tc>
        <w:tc>
          <w:tcPr>
            <w:tcW w:w="0" w:type="auto"/>
            <w:vAlign w:val="center"/>
          </w:tcPr>
          <w:p w14:paraId="02EE40C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1696E45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20</w:t>
            </w:r>
          </w:p>
        </w:tc>
        <w:tc>
          <w:tcPr>
            <w:tcW w:w="915" w:type="dxa"/>
            <w:vAlign w:val="center"/>
          </w:tcPr>
          <w:p w14:paraId="312354C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17.6</w:t>
            </w:r>
          </w:p>
        </w:tc>
        <w:tc>
          <w:tcPr>
            <w:tcW w:w="1005" w:type="dxa"/>
            <w:vAlign w:val="center"/>
          </w:tcPr>
          <w:p w14:paraId="46510AB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17.7</w:t>
            </w:r>
          </w:p>
        </w:tc>
        <w:tc>
          <w:tcPr>
            <w:tcW w:w="900" w:type="dxa"/>
            <w:vAlign w:val="center"/>
          </w:tcPr>
          <w:p w14:paraId="625796B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 xml:space="preserve">-11.5 </w:t>
            </w:r>
          </w:p>
        </w:tc>
        <w:tc>
          <w:tcPr>
            <w:tcW w:w="1875" w:type="dxa"/>
            <w:gridSpan w:val="2"/>
            <w:vAlign w:val="center"/>
          </w:tcPr>
          <w:p w14:paraId="46F14927">
            <w:pPr>
              <w:keepNext w:val="0"/>
              <w:keepLines w:val="0"/>
              <w:widowControl w:val="0"/>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35FDC83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13D3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8" w:type="dxa"/>
            <w:vMerge w:val="continue"/>
          </w:tcPr>
          <w:p w14:paraId="16CFFBA2">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565FC91E">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40</w:t>
            </w:r>
          </w:p>
        </w:tc>
        <w:tc>
          <w:tcPr>
            <w:tcW w:w="0" w:type="auto"/>
            <w:vAlign w:val="center"/>
          </w:tcPr>
          <w:p w14:paraId="7D77DFF2">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地表水水质优良率</w:t>
            </w:r>
          </w:p>
        </w:tc>
        <w:tc>
          <w:tcPr>
            <w:tcW w:w="0" w:type="auto"/>
            <w:vAlign w:val="center"/>
          </w:tcPr>
          <w:p w14:paraId="7CF6CD6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27DEEA7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1108F38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100</w:t>
            </w:r>
          </w:p>
        </w:tc>
        <w:tc>
          <w:tcPr>
            <w:tcW w:w="915" w:type="dxa"/>
            <w:vAlign w:val="center"/>
          </w:tcPr>
          <w:p w14:paraId="6B26042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750F409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100</w:t>
            </w:r>
          </w:p>
        </w:tc>
        <w:tc>
          <w:tcPr>
            <w:tcW w:w="900" w:type="dxa"/>
            <w:vAlign w:val="center"/>
          </w:tcPr>
          <w:p w14:paraId="5A7B3D2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7C793DF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100</w:t>
            </w:r>
          </w:p>
        </w:tc>
        <w:tc>
          <w:tcPr>
            <w:tcW w:w="930" w:type="dxa"/>
            <w:vAlign w:val="center"/>
          </w:tcPr>
          <w:p w14:paraId="5E3EF75A">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51905DE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2282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23D83808">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27166A22">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41</w:t>
            </w:r>
          </w:p>
        </w:tc>
        <w:tc>
          <w:tcPr>
            <w:tcW w:w="0" w:type="auto"/>
            <w:vAlign w:val="center"/>
          </w:tcPr>
          <w:p w14:paraId="04E97887">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化学需氧量重点工程减排量</w:t>
            </w:r>
          </w:p>
        </w:tc>
        <w:tc>
          <w:tcPr>
            <w:tcW w:w="0" w:type="auto"/>
            <w:vAlign w:val="center"/>
          </w:tcPr>
          <w:p w14:paraId="2F44744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51B6E83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764EB30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15" w:type="dxa"/>
            <w:vAlign w:val="center"/>
          </w:tcPr>
          <w:p w14:paraId="1D8BBE2C">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1005" w:type="dxa"/>
            <w:vAlign w:val="center"/>
          </w:tcPr>
          <w:p w14:paraId="52D80CB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0.015</w:t>
            </w:r>
          </w:p>
        </w:tc>
        <w:tc>
          <w:tcPr>
            <w:tcW w:w="900" w:type="dxa"/>
            <w:vAlign w:val="center"/>
          </w:tcPr>
          <w:p w14:paraId="0141E20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76CC588E">
            <w:pPr>
              <w:keepNext w:val="0"/>
              <w:keepLines w:val="0"/>
              <w:widowControl w:val="0"/>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6918B8EA">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0C4A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8" w:type="dxa"/>
            <w:vMerge w:val="continue"/>
          </w:tcPr>
          <w:p w14:paraId="695BA84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59A305D4">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42</w:t>
            </w:r>
          </w:p>
        </w:tc>
        <w:tc>
          <w:tcPr>
            <w:tcW w:w="0" w:type="auto"/>
            <w:vAlign w:val="center"/>
          </w:tcPr>
          <w:p w14:paraId="41E1F211">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氨氮重点工程减排量</w:t>
            </w:r>
          </w:p>
        </w:tc>
        <w:tc>
          <w:tcPr>
            <w:tcW w:w="0" w:type="auto"/>
            <w:vAlign w:val="center"/>
          </w:tcPr>
          <w:p w14:paraId="7958970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78A2E1F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7475399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15" w:type="dxa"/>
            <w:vAlign w:val="center"/>
          </w:tcPr>
          <w:p w14:paraId="190DEE5E">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1005" w:type="dxa"/>
            <w:vAlign w:val="center"/>
          </w:tcPr>
          <w:p w14:paraId="1781026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0.0017</w:t>
            </w:r>
          </w:p>
        </w:tc>
        <w:tc>
          <w:tcPr>
            <w:tcW w:w="900" w:type="dxa"/>
            <w:vAlign w:val="center"/>
          </w:tcPr>
          <w:p w14:paraId="32BAE23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7A66862A">
            <w:pPr>
              <w:keepNext w:val="0"/>
              <w:keepLines w:val="0"/>
              <w:widowControl w:val="0"/>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043473B5">
            <w:pPr>
              <w:keepNext w:val="0"/>
              <w:keepLines w:val="0"/>
              <w:widowControl/>
              <w:suppressLineNumbers w:val="0"/>
              <w:spacing w:line="240" w:lineRule="auto"/>
              <w:jc w:val="center"/>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4E1E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320625E5">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2227D0EC">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43</w:t>
            </w:r>
          </w:p>
        </w:tc>
        <w:tc>
          <w:tcPr>
            <w:tcW w:w="0" w:type="auto"/>
            <w:vAlign w:val="center"/>
          </w:tcPr>
          <w:p w14:paraId="71B36D46">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氮氧化物重点工程减排量</w:t>
            </w:r>
          </w:p>
        </w:tc>
        <w:tc>
          <w:tcPr>
            <w:tcW w:w="0" w:type="auto"/>
            <w:vAlign w:val="center"/>
          </w:tcPr>
          <w:p w14:paraId="591F898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1CA70C2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506C602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15" w:type="dxa"/>
            <w:vAlign w:val="center"/>
          </w:tcPr>
          <w:p w14:paraId="01EB22E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1005" w:type="dxa"/>
            <w:vAlign w:val="center"/>
          </w:tcPr>
          <w:p w14:paraId="513AA00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00" w:type="dxa"/>
            <w:vAlign w:val="center"/>
          </w:tcPr>
          <w:p w14:paraId="79BFC9E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2D74FC77">
            <w:pPr>
              <w:keepNext w:val="0"/>
              <w:keepLines w:val="0"/>
              <w:widowControl/>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0AE7A920">
            <w:pPr>
              <w:keepNext w:val="0"/>
              <w:keepLines w:val="0"/>
              <w:widowControl/>
              <w:suppressLineNumbers w:val="0"/>
              <w:spacing w:line="240" w:lineRule="auto"/>
              <w:jc w:val="center"/>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2568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0144BC0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0E0BEF13">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44</w:t>
            </w:r>
          </w:p>
        </w:tc>
        <w:tc>
          <w:tcPr>
            <w:tcW w:w="0" w:type="auto"/>
            <w:vAlign w:val="center"/>
          </w:tcPr>
          <w:p w14:paraId="00C3B821">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挥发性有机物重点工程减排量</w:t>
            </w:r>
          </w:p>
        </w:tc>
        <w:tc>
          <w:tcPr>
            <w:tcW w:w="0" w:type="auto"/>
            <w:vAlign w:val="center"/>
          </w:tcPr>
          <w:p w14:paraId="214406D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72C8BF28">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约束性</w:t>
            </w:r>
          </w:p>
        </w:tc>
        <w:tc>
          <w:tcPr>
            <w:tcW w:w="1005" w:type="dxa"/>
            <w:vAlign w:val="center"/>
          </w:tcPr>
          <w:p w14:paraId="1749664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915" w:type="dxa"/>
            <w:vAlign w:val="center"/>
          </w:tcPr>
          <w:p w14:paraId="71589F9C">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w:t>
            </w:r>
          </w:p>
        </w:tc>
        <w:tc>
          <w:tcPr>
            <w:tcW w:w="1005" w:type="dxa"/>
            <w:vAlign w:val="center"/>
          </w:tcPr>
          <w:p w14:paraId="3D773AD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0.002</w:t>
            </w:r>
          </w:p>
        </w:tc>
        <w:tc>
          <w:tcPr>
            <w:tcW w:w="900" w:type="dxa"/>
            <w:vAlign w:val="center"/>
          </w:tcPr>
          <w:p w14:paraId="5B23A40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875" w:type="dxa"/>
            <w:gridSpan w:val="2"/>
            <w:vAlign w:val="center"/>
          </w:tcPr>
          <w:p w14:paraId="00BE947E">
            <w:pPr>
              <w:keepNext w:val="0"/>
              <w:keepLines w:val="0"/>
              <w:widowControl/>
              <w:suppressLineNumbers w:val="0"/>
              <w:spacing w:line="400" w:lineRule="exact"/>
              <w:ind w:right="-90" w:rightChars="-43"/>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完成市下达任务</w:t>
            </w:r>
          </w:p>
        </w:tc>
        <w:tc>
          <w:tcPr>
            <w:tcW w:w="2779" w:type="dxa"/>
            <w:vAlign w:val="center"/>
          </w:tcPr>
          <w:p w14:paraId="216FA9A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市生态环境局源城分局</w:t>
            </w:r>
          </w:p>
        </w:tc>
      </w:tr>
      <w:tr w14:paraId="12FA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8" w:type="dxa"/>
          </w:tcPr>
          <w:p w14:paraId="0D73874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宋体" w:hAnsi="宋体" w:eastAsia="黑体" w:cs="黑体"/>
                <w:color w:val="auto"/>
                <w:sz w:val="24"/>
                <w:szCs w:val="24"/>
                <w:vertAlign w:val="baseline"/>
                <w:lang w:val="en-US" w:eastAsia="zh-CN"/>
              </w:rPr>
            </w:pPr>
            <w:r>
              <w:rPr>
                <w:rFonts w:hint="default" w:ascii="宋体" w:hAnsi="宋体" w:eastAsia="黑体" w:cs="黑体"/>
                <w:color w:val="auto"/>
                <w:sz w:val="24"/>
              </w:rPr>
              <w:t>绿色发展</w:t>
            </w:r>
          </w:p>
        </w:tc>
        <w:tc>
          <w:tcPr>
            <w:tcW w:w="0" w:type="auto"/>
            <w:vAlign w:val="center"/>
          </w:tcPr>
          <w:p w14:paraId="70B4C046">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45</w:t>
            </w:r>
          </w:p>
        </w:tc>
        <w:tc>
          <w:tcPr>
            <w:tcW w:w="0" w:type="auto"/>
            <w:vAlign w:val="center"/>
          </w:tcPr>
          <w:p w14:paraId="2D2BE414">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城市污水处理率</w:t>
            </w:r>
          </w:p>
        </w:tc>
        <w:tc>
          <w:tcPr>
            <w:tcW w:w="0" w:type="auto"/>
            <w:vAlign w:val="center"/>
          </w:tcPr>
          <w:p w14:paraId="52FCE90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0" w:type="auto"/>
            <w:vAlign w:val="center"/>
          </w:tcPr>
          <w:p w14:paraId="50CD339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1A997935">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98.64</w:t>
            </w:r>
          </w:p>
        </w:tc>
        <w:tc>
          <w:tcPr>
            <w:tcW w:w="915" w:type="dxa"/>
            <w:vAlign w:val="center"/>
          </w:tcPr>
          <w:p w14:paraId="7928BEBB">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0.16</w:t>
            </w:r>
          </w:p>
        </w:tc>
        <w:tc>
          <w:tcPr>
            <w:tcW w:w="1005" w:type="dxa"/>
            <w:vAlign w:val="center"/>
          </w:tcPr>
          <w:p w14:paraId="50A5DA5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98.7</w:t>
            </w:r>
          </w:p>
        </w:tc>
        <w:tc>
          <w:tcPr>
            <w:tcW w:w="900" w:type="dxa"/>
            <w:vAlign w:val="center"/>
          </w:tcPr>
          <w:p w14:paraId="08B123D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0.06</w:t>
            </w:r>
          </w:p>
        </w:tc>
        <w:tc>
          <w:tcPr>
            <w:tcW w:w="945" w:type="dxa"/>
            <w:vAlign w:val="center"/>
          </w:tcPr>
          <w:p w14:paraId="1181AA47">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98.72</w:t>
            </w:r>
          </w:p>
        </w:tc>
        <w:tc>
          <w:tcPr>
            <w:tcW w:w="930" w:type="dxa"/>
            <w:vAlign w:val="center"/>
          </w:tcPr>
          <w:p w14:paraId="49AC82E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0.02</w:t>
            </w:r>
          </w:p>
        </w:tc>
        <w:tc>
          <w:tcPr>
            <w:tcW w:w="2779" w:type="dxa"/>
            <w:vAlign w:val="center"/>
          </w:tcPr>
          <w:p w14:paraId="1BEDD342">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区住房城乡建设局</w:t>
            </w:r>
          </w:p>
        </w:tc>
      </w:tr>
      <w:tr w14:paraId="1CD0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8" w:type="dxa"/>
            <w:vMerge w:val="restart"/>
            <w:vAlign w:val="center"/>
          </w:tcPr>
          <w:p w14:paraId="0ADA0B1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黑体" w:cs="黑体"/>
                <w:color w:val="auto"/>
                <w:sz w:val="32"/>
                <w:szCs w:val="32"/>
                <w:vertAlign w:val="baseline"/>
                <w:lang w:val="en-US" w:eastAsia="zh-CN"/>
              </w:rPr>
            </w:pPr>
            <w:r>
              <w:rPr>
                <w:rFonts w:hint="default" w:ascii="宋体" w:hAnsi="宋体" w:eastAsia="黑体" w:cs="黑体"/>
                <w:color w:val="auto"/>
                <w:sz w:val="24"/>
              </w:rPr>
              <w:t>安全保障</w:t>
            </w:r>
          </w:p>
        </w:tc>
        <w:tc>
          <w:tcPr>
            <w:tcW w:w="0" w:type="auto"/>
            <w:vAlign w:val="center"/>
          </w:tcPr>
          <w:p w14:paraId="54CB995F">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46</w:t>
            </w:r>
          </w:p>
        </w:tc>
        <w:tc>
          <w:tcPr>
            <w:tcW w:w="0" w:type="auto"/>
            <w:vAlign w:val="center"/>
          </w:tcPr>
          <w:p w14:paraId="3B5B6C83">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粮食综合生产能力</w:t>
            </w:r>
          </w:p>
        </w:tc>
        <w:tc>
          <w:tcPr>
            <w:tcW w:w="0" w:type="auto"/>
            <w:vAlign w:val="center"/>
          </w:tcPr>
          <w:p w14:paraId="44290FC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w:t>
            </w:r>
          </w:p>
        </w:tc>
        <w:tc>
          <w:tcPr>
            <w:tcW w:w="0" w:type="auto"/>
            <w:vAlign w:val="center"/>
          </w:tcPr>
          <w:p w14:paraId="41678DF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79464D2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1.14</w:t>
            </w:r>
          </w:p>
        </w:tc>
        <w:tc>
          <w:tcPr>
            <w:tcW w:w="915" w:type="dxa"/>
            <w:vAlign w:val="center"/>
          </w:tcPr>
          <w:p w14:paraId="2B37341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1005" w:type="dxa"/>
            <w:vAlign w:val="center"/>
          </w:tcPr>
          <w:p w14:paraId="3B139091">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1.14</w:t>
            </w:r>
          </w:p>
        </w:tc>
        <w:tc>
          <w:tcPr>
            <w:tcW w:w="900" w:type="dxa"/>
            <w:vAlign w:val="center"/>
          </w:tcPr>
          <w:p w14:paraId="3067904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945" w:type="dxa"/>
            <w:vAlign w:val="center"/>
          </w:tcPr>
          <w:p w14:paraId="23A99B6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1.14</w:t>
            </w:r>
          </w:p>
        </w:tc>
        <w:tc>
          <w:tcPr>
            <w:tcW w:w="930" w:type="dxa"/>
            <w:vAlign w:val="center"/>
          </w:tcPr>
          <w:p w14:paraId="001476CD">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w:t>
            </w:r>
          </w:p>
        </w:tc>
        <w:tc>
          <w:tcPr>
            <w:tcW w:w="2779" w:type="dxa"/>
            <w:vAlign w:val="center"/>
          </w:tcPr>
          <w:p w14:paraId="6EE944F9">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区农业农村局</w:t>
            </w:r>
          </w:p>
        </w:tc>
      </w:tr>
      <w:tr w14:paraId="2F44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Pr>
          <w:p w14:paraId="3301774A">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vertAlign w:val="baseline"/>
                <w:lang w:val="en-US" w:eastAsia="zh-CN"/>
              </w:rPr>
            </w:pPr>
          </w:p>
        </w:tc>
        <w:tc>
          <w:tcPr>
            <w:tcW w:w="0" w:type="auto"/>
            <w:vAlign w:val="center"/>
          </w:tcPr>
          <w:p w14:paraId="6354F743">
            <w:pPr>
              <w:keepNext w:val="0"/>
              <w:keepLines w:val="0"/>
              <w:widowControl w:val="0"/>
              <w:suppressLineNumbers w:val="0"/>
              <w:spacing w:line="400" w:lineRule="exact"/>
              <w:jc w:val="center"/>
              <w:textAlignment w:val="center"/>
              <w:rPr>
                <w:rFonts w:hint="eastAsia" w:ascii="宋体" w:hAnsi="宋体" w:eastAsia="方正仿宋_GBK" w:cs="方正仿宋_GBK"/>
                <w:b w:val="0"/>
                <w:bCs w:val="0"/>
                <w:i w:val="0"/>
                <w:iCs w:val="0"/>
                <w:color w:val="auto"/>
                <w:kern w:val="2"/>
                <w:sz w:val="24"/>
                <w:szCs w:val="24"/>
                <w:u w:val="none"/>
                <w:lang w:val="en-US" w:eastAsia="zh-CN" w:bidi="ar-SA"/>
              </w:rPr>
            </w:pPr>
            <w:r>
              <w:rPr>
                <w:rFonts w:hint="eastAsia" w:ascii="宋体" w:hAnsi="宋体" w:eastAsia="方正仿宋_GBK" w:cs="方正仿宋_GBK"/>
                <w:b w:val="0"/>
                <w:bCs w:val="0"/>
                <w:i w:val="0"/>
                <w:iCs w:val="0"/>
                <w:color w:val="auto"/>
                <w:kern w:val="0"/>
                <w:sz w:val="24"/>
                <w:szCs w:val="24"/>
                <w:u w:val="none"/>
                <w:lang w:val="en-US" w:eastAsia="zh-CN" w:bidi="ar"/>
              </w:rPr>
              <w:t>47</w:t>
            </w:r>
          </w:p>
        </w:tc>
        <w:tc>
          <w:tcPr>
            <w:tcW w:w="0" w:type="auto"/>
            <w:vAlign w:val="center"/>
          </w:tcPr>
          <w:p w14:paraId="18C1D575">
            <w:pPr>
              <w:keepNext w:val="0"/>
              <w:keepLines w:val="0"/>
              <w:widowControl w:val="0"/>
              <w:suppressLineNumbers w:val="0"/>
              <w:spacing w:line="400" w:lineRule="exact"/>
              <w:jc w:val="left"/>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能源综合生产能力</w:t>
            </w:r>
          </w:p>
        </w:tc>
        <w:tc>
          <w:tcPr>
            <w:tcW w:w="0" w:type="auto"/>
            <w:vAlign w:val="center"/>
          </w:tcPr>
          <w:p w14:paraId="491D60C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万吨标准煤</w:t>
            </w:r>
          </w:p>
        </w:tc>
        <w:tc>
          <w:tcPr>
            <w:tcW w:w="0" w:type="auto"/>
            <w:vAlign w:val="center"/>
          </w:tcPr>
          <w:p w14:paraId="25884D3E">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预期性</w:t>
            </w:r>
          </w:p>
        </w:tc>
        <w:tc>
          <w:tcPr>
            <w:tcW w:w="1005" w:type="dxa"/>
            <w:vAlign w:val="center"/>
          </w:tcPr>
          <w:p w14:paraId="4EE7251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146.67</w:t>
            </w:r>
          </w:p>
        </w:tc>
        <w:tc>
          <w:tcPr>
            <w:tcW w:w="915" w:type="dxa"/>
            <w:vAlign w:val="center"/>
          </w:tcPr>
          <w:p w14:paraId="382767E0">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-4.4</w:t>
            </w:r>
          </w:p>
        </w:tc>
        <w:tc>
          <w:tcPr>
            <w:tcW w:w="1005" w:type="dxa"/>
            <w:vAlign w:val="center"/>
          </w:tcPr>
          <w:p w14:paraId="4BF0E57F">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126.66</w:t>
            </w:r>
          </w:p>
        </w:tc>
        <w:tc>
          <w:tcPr>
            <w:tcW w:w="900" w:type="dxa"/>
            <w:vAlign w:val="center"/>
          </w:tcPr>
          <w:p w14:paraId="1748632D">
            <w:pPr>
              <w:keepNext w:val="0"/>
              <w:keepLines w:val="0"/>
              <w:widowControl w:val="0"/>
              <w:suppressLineNumbers w:val="0"/>
              <w:spacing w:line="400" w:lineRule="exact"/>
              <w:ind w:left="-199" w:leftChars="-95" w:right="-189" w:rightChars="-90" w:firstLine="0" w:firstLineChars="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-13.64</w:t>
            </w:r>
          </w:p>
        </w:tc>
        <w:tc>
          <w:tcPr>
            <w:tcW w:w="945" w:type="dxa"/>
            <w:vAlign w:val="center"/>
          </w:tcPr>
          <w:p w14:paraId="25C5F366">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127.84</w:t>
            </w:r>
          </w:p>
        </w:tc>
        <w:tc>
          <w:tcPr>
            <w:tcW w:w="930" w:type="dxa"/>
            <w:vAlign w:val="center"/>
          </w:tcPr>
          <w:p w14:paraId="611E06D3">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w:t>
            </w:r>
          </w:p>
        </w:tc>
        <w:tc>
          <w:tcPr>
            <w:tcW w:w="2779" w:type="dxa"/>
            <w:vAlign w:val="center"/>
          </w:tcPr>
          <w:p w14:paraId="2798E134">
            <w:pPr>
              <w:keepNext w:val="0"/>
              <w:keepLines w:val="0"/>
              <w:widowControl w:val="0"/>
              <w:suppressLineNumbers w:val="0"/>
              <w:spacing w:line="40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区发展改革局</w:t>
            </w:r>
          </w:p>
        </w:tc>
      </w:tr>
    </w:tbl>
    <w:p w14:paraId="01B96190">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宋体" w:hAnsi="宋体" w:eastAsia="黑体" w:cs="黑体"/>
          <w:color w:val="auto"/>
          <w:sz w:val="32"/>
          <w:szCs w:val="32"/>
          <w:lang w:val="en-US" w:eastAsia="zh-CN"/>
        </w:rPr>
      </w:pPr>
    </w:p>
    <w:p w14:paraId="39231132">
      <w:pPr>
        <w:spacing w:line="600" w:lineRule="exact"/>
        <w:rPr>
          <w:rFonts w:hint="eastAsia" w:ascii="宋体" w:hAnsi="宋体" w:eastAsia="黑体" w:cs="黑体"/>
          <w:color w:val="auto"/>
          <w:sz w:val="32"/>
          <w:szCs w:val="32"/>
          <w:lang w:val="en-US" w:eastAsia="zh-CN"/>
        </w:rPr>
      </w:pPr>
    </w:p>
    <w:p w14:paraId="1BC1DFE0">
      <w:pPr>
        <w:spacing w:line="600" w:lineRule="exact"/>
        <w:rPr>
          <w:rFonts w:hint="eastAsia" w:ascii="宋体" w:hAnsi="宋体" w:eastAsia="黑体" w:cs="黑体"/>
          <w:color w:val="auto"/>
          <w:sz w:val="32"/>
          <w:szCs w:val="32"/>
          <w:lang w:val="en-US" w:eastAsia="zh-CN"/>
        </w:rPr>
      </w:pPr>
    </w:p>
    <w:p w14:paraId="1A0D02E9">
      <w:pPr>
        <w:spacing w:line="600" w:lineRule="exact"/>
        <w:rPr>
          <w:rFonts w:hint="eastAsia" w:ascii="宋体" w:hAnsi="宋体" w:eastAsia="黑体" w:cs="黑体"/>
          <w:color w:val="auto"/>
          <w:sz w:val="32"/>
          <w:szCs w:val="32"/>
          <w:lang w:val="en-US" w:eastAsia="zh-CN"/>
        </w:rPr>
      </w:pPr>
    </w:p>
    <w:p w14:paraId="0CBFD675">
      <w:pPr>
        <w:spacing w:line="600" w:lineRule="exact"/>
        <w:rPr>
          <w:rFonts w:hint="eastAsia" w:ascii="宋体" w:hAnsi="宋体" w:eastAsia="黑体" w:cs="黑体"/>
          <w:color w:val="auto"/>
          <w:sz w:val="32"/>
          <w:szCs w:val="32"/>
          <w:lang w:val="en-US" w:eastAsia="zh-CN"/>
        </w:rPr>
      </w:pPr>
    </w:p>
    <w:p w14:paraId="0AF74796">
      <w:pPr>
        <w:spacing w:line="600" w:lineRule="exact"/>
        <w:rPr>
          <w:rFonts w:hint="eastAsia" w:ascii="宋体" w:hAnsi="宋体" w:eastAsia="黑体" w:cs="黑体"/>
          <w:color w:val="auto"/>
          <w:sz w:val="32"/>
          <w:szCs w:val="32"/>
          <w:lang w:val="en-US" w:eastAsia="zh-CN"/>
        </w:rPr>
      </w:pPr>
    </w:p>
    <w:p w14:paraId="64B5E4F0">
      <w:pPr>
        <w:spacing w:line="600" w:lineRule="exact"/>
        <w:rPr>
          <w:rFonts w:hint="eastAsia" w:ascii="宋体" w:hAnsi="宋体" w:eastAsia="黑体" w:cs="黑体"/>
          <w:color w:val="auto"/>
          <w:sz w:val="32"/>
          <w:szCs w:val="32"/>
          <w:lang w:val="en-US" w:eastAsia="zh-CN"/>
        </w:rPr>
      </w:pPr>
    </w:p>
    <w:p w14:paraId="4757CBCF">
      <w:pPr>
        <w:spacing w:line="600" w:lineRule="exact"/>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 xml:space="preserve">附件2 </w:t>
      </w:r>
    </w:p>
    <w:p w14:paraId="092DBF28">
      <w:pPr>
        <w:spacing w:line="600" w:lineRule="exact"/>
        <w:jc w:val="center"/>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源城区2025年重点正式项目计划表</w:t>
      </w:r>
    </w:p>
    <w:p w14:paraId="44340389">
      <w:pPr>
        <w:spacing w:line="400" w:lineRule="exact"/>
        <w:jc w:val="right"/>
        <w:rPr>
          <w:rFonts w:hint="eastAsia" w:ascii="宋体" w:hAnsi="宋体" w:eastAsia="方正小标宋_GBK" w:cs="方正小标宋_GBK"/>
          <w:color w:val="auto"/>
          <w:sz w:val="44"/>
          <w:szCs w:val="44"/>
          <w:lang w:val="en-US" w:eastAsia="zh-CN"/>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资金单位：万元</w:t>
      </w:r>
    </w:p>
    <w:tbl>
      <w:tblPr>
        <w:tblStyle w:val="15"/>
        <w:tblW w:w="1464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15"/>
        <w:gridCol w:w="4155"/>
        <w:gridCol w:w="585"/>
        <w:gridCol w:w="945"/>
        <w:gridCol w:w="795"/>
        <w:gridCol w:w="825"/>
        <w:gridCol w:w="1230"/>
        <w:gridCol w:w="810"/>
        <w:gridCol w:w="1035"/>
        <w:gridCol w:w="1050"/>
        <w:gridCol w:w="405"/>
        <w:gridCol w:w="450"/>
        <w:gridCol w:w="405"/>
      </w:tblGrid>
      <w:tr w14:paraId="4788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trPr>
        <w:tc>
          <w:tcPr>
            <w:tcW w:w="735" w:type="dxa"/>
            <w:vMerge w:val="restart"/>
            <w:vAlign w:val="center"/>
          </w:tcPr>
          <w:p w14:paraId="656AC759">
            <w:pPr>
              <w:spacing w:line="300" w:lineRule="exact"/>
              <w:jc w:val="center"/>
              <w:rPr>
                <w:rFonts w:hint="eastAsia" w:ascii="宋体" w:hAnsi="宋体" w:eastAsia="方正小标宋_GBK" w:cs="方正小标宋_GBK"/>
                <w:color w:val="auto"/>
                <w:sz w:val="20"/>
                <w:szCs w:val="20"/>
                <w:vertAlign w:val="baseline"/>
                <w:lang w:val="en-US" w:eastAsia="zh-CN"/>
              </w:rPr>
            </w:pPr>
            <w:r>
              <w:rPr>
                <w:rFonts w:hint="eastAsia" w:ascii="宋体" w:hAnsi="宋体" w:eastAsia="黑体" w:cs="黑体"/>
                <w:b w:val="0"/>
                <w:bCs w:val="0"/>
                <w:i w:val="0"/>
                <w:iCs w:val="0"/>
                <w:color w:val="auto"/>
                <w:kern w:val="0"/>
                <w:sz w:val="20"/>
                <w:szCs w:val="20"/>
                <w:u w:val="none"/>
                <w:lang w:val="en-US" w:eastAsia="zh-CN" w:bidi="ar"/>
              </w:rPr>
              <w:t>序号</w:t>
            </w:r>
          </w:p>
        </w:tc>
        <w:tc>
          <w:tcPr>
            <w:tcW w:w="1215" w:type="dxa"/>
            <w:vMerge w:val="restart"/>
            <w:vAlign w:val="center"/>
          </w:tcPr>
          <w:p w14:paraId="0B8AD2B5">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项目名称</w:t>
            </w:r>
          </w:p>
        </w:tc>
        <w:tc>
          <w:tcPr>
            <w:tcW w:w="4155" w:type="dxa"/>
            <w:vMerge w:val="restart"/>
            <w:vAlign w:val="center"/>
          </w:tcPr>
          <w:p w14:paraId="5867D6DC">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建设内容及规模</w:t>
            </w:r>
          </w:p>
        </w:tc>
        <w:tc>
          <w:tcPr>
            <w:tcW w:w="585" w:type="dxa"/>
            <w:vMerge w:val="restart"/>
            <w:vAlign w:val="center"/>
          </w:tcPr>
          <w:p w14:paraId="36B595C2">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建设起止年限</w:t>
            </w:r>
          </w:p>
        </w:tc>
        <w:tc>
          <w:tcPr>
            <w:tcW w:w="945" w:type="dxa"/>
            <w:vMerge w:val="restart"/>
            <w:vAlign w:val="center"/>
          </w:tcPr>
          <w:p w14:paraId="3DD925B5">
            <w:pPr>
              <w:keepNext w:val="0"/>
              <w:keepLines w:val="0"/>
              <w:widowControl/>
              <w:suppressLineNumbers w:val="0"/>
              <w:spacing w:line="300" w:lineRule="exact"/>
              <w:ind w:left="-84" w:leftChars="-57" w:right="-105" w:rightChars="-50" w:hanging="36" w:hangingChars="18"/>
              <w:jc w:val="center"/>
              <w:textAlignment w:val="center"/>
              <w:rPr>
                <w:rFonts w:hint="eastAsia" w:ascii="宋体" w:hAnsi="宋体" w:eastAsia="黑体" w:cs="黑体"/>
                <w:b w:val="0"/>
                <w:bCs w:val="0"/>
                <w:i w:val="0"/>
                <w:iCs w:val="0"/>
                <w:color w:val="auto"/>
                <w:kern w:val="2"/>
                <w:sz w:val="20"/>
                <w:szCs w:val="20"/>
                <w:highlight w:val="none"/>
                <w:u w:val="none"/>
                <w:lang w:val="en-US" w:eastAsia="zh-CN" w:bidi="ar-SA"/>
              </w:rPr>
            </w:pPr>
            <w:r>
              <w:rPr>
                <w:rFonts w:hint="eastAsia" w:ascii="宋体" w:hAnsi="宋体" w:eastAsia="黑体" w:cs="黑体"/>
                <w:b w:val="0"/>
                <w:bCs w:val="0"/>
                <w:i w:val="0"/>
                <w:iCs w:val="0"/>
                <w:color w:val="auto"/>
                <w:kern w:val="0"/>
                <w:sz w:val="20"/>
                <w:szCs w:val="20"/>
                <w:highlight w:val="none"/>
                <w:u w:val="none"/>
                <w:lang w:val="en-US" w:eastAsia="zh-CN" w:bidi="ar"/>
              </w:rPr>
              <w:t>总投资</w:t>
            </w:r>
          </w:p>
        </w:tc>
        <w:tc>
          <w:tcPr>
            <w:tcW w:w="795" w:type="dxa"/>
            <w:vMerge w:val="restart"/>
            <w:vAlign w:val="center"/>
          </w:tcPr>
          <w:p w14:paraId="45DA85A3">
            <w:pPr>
              <w:keepNext w:val="0"/>
              <w:keepLines w:val="0"/>
              <w:widowControl/>
              <w:suppressLineNumbers w:val="0"/>
              <w:spacing w:line="300" w:lineRule="exact"/>
              <w:ind w:left="0" w:leftChars="0" w:right="0" w:rightChars="0" w:firstLine="0" w:firstLineChars="0"/>
              <w:jc w:val="center"/>
              <w:textAlignment w:val="auto"/>
              <w:rPr>
                <w:rFonts w:hint="eastAsia" w:ascii="宋体" w:hAnsi="宋体" w:eastAsia="黑体" w:cs="黑体"/>
                <w:b w:val="0"/>
                <w:bCs w:val="0"/>
                <w:i w:val="0"/>
                <w:iCs w:val="0"/>
                <w:color w:val="auto"/>
                <w:spacing w:val="-11"/>
                <w:kern w:val="2"/>
                <w:sz w:val="20"/>
                <w:szCs w:val="20"/>
                <w:u w:val="none"/>
                <w:lang w:val="en-US" w:eastAsia="zh-CN" w:bidi="ar-SA"/>
              </w:rPr>
            </w:pPr>
            <w:r>
              <w:rPr>
                <w:rFonts w:hint="eastAsia" w:ascii="宋体" w:hAnsi="宋体" w:eastAsia="黑体" w:cs="黑体"/>
                <w:b w:val="0"/>
                <w:bCs w:val="0"/>
                <w:i w:val="0"/>
                <w:iCs w:val="0"/>
                <w:color w:val="auto"/>
                <w:spacing w:val="-11"/>
                <w:kern w:val="0"/>
                <w:sz w:val="20"/>
                <w:szCs w:val="20"/>
                <w:highlight w:val="none"/>
                <w:u w:val="none"/>
                <w:lang w:val="en-US" w:eastAsia="zh-CN" w:bidi="ar"/>
              </w:rPr>
              <w:t>2024年底累计完成投资</w:t>
            </w:r>
          </w:p>
        </w:tc>
        <w:tc>
          <w:tcPr>
            <w:tcW w:w="2055" w:type="dxa"/>
            <w:gridSpan w:val="2"/>
            <w:vAlign w:val="center"/>
          </w:tcPr>
          <w:p w14:paraId="0D08B24C">
            <w:pPr>
              <w:spacing w:line="300" w:lineRule="exact"/>
              <w:jc w:val="center"/>
              <w:rPr>
                <w:rFonts w:hint="eastAsia" w:ascii="宋体" w:hAnsi="宋体" w:eastAsia="方正小标宋_GBK" w:cs="方正小标宋_GBK"/>
                <w:color w:val="auto"/>
                <w:sz w:val="20"/>
                <w:szCs w:val="20"/>
                <w:vertAlign w:val="baseline"/>
                <w:lang w:val="en-US" w:eastAsia="zh-CN"/>
              </w:rPr>
            </w:pPr>
            <w:r>
              <w:rPr>
                <w:rFonts w:hint="eastAsia" w:ascii="宋体" w:hAnsi="宋体" w:eastAsia="黑体" w:cs="黑体"/>
                <w:b w:val="0"/>
                <w:bCs w:val="0"/>
                <w:i w:val="0"/>
                <w:iCs w:val="0"/>
                <w:color w:val="auto"/>
                <w:kern w:val="0"/>
                <w:sz w:val="20"/>
                <w:szCs w:val="20"/>
                <w:u w:val="none"/>
                <w:lang w:val="en-US" w:eastAsia="zh-CN" w:bidi="ar"/>
              </w:rPr>
              <w:t>2025年投资计划</w:t>
            </w:r>
          </w:p>
        </w:tc>
        <w:tc>
          <w:tcPr>
            <w:tcW w:w="810" w:type="dxa"/>
            <w:vMerge w:val="restart"/>
            <w:vAlign w:val="center"/>
          </w:tcPr>
          <w:p w14:paraId="3BE9ECD6">
            <w:pPr>
              <w:keepNext w:val="0"/>
              <w:keepLines w:val="0"/>
              <w:widowControl/>
              <w:suppressLineNumbers w:val="0"/>
              <w:spacing w:line="300" w:lineRule="exact"/>
              <w:ind w:right="-61" w:rightChars="-29"/>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（拟）开工时间</w:t>
            </w:r>
          </w:p>
        </w:tc>
        <w:tc>
          <w:tcPr>
            <w:tcW w:w="1035" w:type="dxa"/>
            <w:vMerge w:val="restart"/>
            <w:vAlign w:val="center"/>
          </w:tcPr>
          <w:p w14:paraId="4F4AEA5F">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业主单位</w:t>
            </w:r>
          </w:p>
        </w:tc>
        <w:tc>
          <w:tcPr>
            <w:tcW w:w="1050" w:type="dxa"/>
            <w:vMerge w:val="restart"/>
            <w:vAlign w:val="center"/>
          </w:tcPr>
          <w:p w14:paraId="5157C600">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责任单位</w:t>
            </w:r>
          </w:p>
        </w:tc>
        <w:tc>
          <w:tcPr>
            <w:tcW w:w="405" w:type="dxa"/>
            <w:vMerge w:val="restart"/>
            <w:vAlign w:val="center"/>
          </w:tcPr>
          <w:p w14:paraId="4E54EE15">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投资性质</w:t>
            </w:r>
          </w:p>
        </w:tc>
        <w:tc>
          <w:tcPr>
            <w:tcW w:w="450" w:type="dxa"/>
            <w:vMerge w:val="restart"/>
            <w:vAlign w:val="center"/>
          </w:tcPr>
          <w:p w14:paraId="396DFFAC">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申报项目类型</w:t>
            </w:r>
          </w:p>
        </w:tc>
        <w:tc>
          <w:tcPr>
            <w:tcW w:w="405" w:type="dxa"/>
            <w:vMerge w:val="restart"/>
            <w:vAlign w:val="center"/>
          </w:tcPr>
          <w:p w14:paraId="5ADAC252">
            <w:pPr>
              <w:keepNext w:val="0"/>
              <w:keepLines w:val="0"/>
              <w:widowControl/>
              <w:suppressLineNumbers w:val="0"/>
              <w:spacing w:line="300" w:lineRule="exact"/>
              <w:jc w:val="center"/>
              <w:textAlignment w:val="center"/>
              <w:rPr>
                <w:rFonts w:hint="eastAsia" w:ascii="宋体" w:hAnsi="宋体" w:eastAsia="黑体" w:cs="黑体"/>
                <w:b w:val="0"/>
                <w:bCs w:val="0"/>
                <w:i w:val="0"/>
                <w:iCs w:val="0"/>
                <w:color w:val="auto"/>
                <w:kern w:val="2"/>
                <w:sz w:val="20"/>
                <w:szCs w:val="20"/>
                <w:u w:val="none"/>
                <w:lang w:val="en-US" w:eastAsia="zh-CN" w:bidi="ar-SA"/>
              </w:rPr>
            </w:pPr>
            <w:r>
              <w:rPr>
                <w:rFonts w:hint="eastAsia" w:ascii="宋体" w:hAnsi="宋体" w:eastAsia="黑体" w:cs="黑体"/>
                <w:b w:val="0"/>
                <w:bCs w:val="0"/>
                <w:i w:val="0"/>
                <w:iCs w:val="0"/>
                <w:color w:val="auto"/>
                <w:kern w:val="0"/>
                <w:sz w:val="20"/>
                <w:szCs w:val="20"/>
                <w:u w:val="none"/>
                <w:lang w:val="en-US" w:eastAsia="zh-CN" w:bidi="ar"/>
              </w:rPr>
              <w:t>行业类别</w:t>
            </w:r>
          </w:p>
        </w:tc>
      </w:tr>
      <w:tr w14:paraId="22E9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trPr>
        <w:tc>
          <w:tcPr>
            <w:tcW w:w="735" w:type="dxa"/>
            <w:vMerge w:val="continue"/>
          </w:tcPr>
          <w:p w14:paraId="1D42180B">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215" w:type="dxa"/>
            <w:vMerge w:val="continue"/>
          </w:tcPr>
          <w:p w14:paraId="2170032F">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155" w:type="dxa"/>
            <w:vMerge w:val="continue"/>
          </w:tcPr>
          <w:p w14:paraId="7CCFDC78">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585" w:type="dxa"/>
            <w:vMerge w:val="continue"/>
          </w:tcPr>
          <w:p w14:paraId="6B7919A1">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945" w:type="dxa"/>
            <w:vMerge w:val="continue"/>
          </w:tcPr>
          <w:p w14:paraId="627D4D9F">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795" w:type="dxa"/>
            <w:vMerge w:val="continue"/>
          </w:tcPr>
          <w:p w14:paraId="70F57F59">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825" w:type="dxa"/>
            <w:vAlign w:val="center"/>
          </w:tcPr>
          <w:p w14:paraId="73D9AD94">
            <w:pPr>
              <w:spacing w:line="280" w:lineRule="exact"/>
              <w:jc w:val="center"/>
              <w:rPr>
                <w:rFonts w:hint="eastAsia" w:ascii="宋体" w:hAnsi="宋体" w:eastAsia="方正小标宋_GBK" w:cs="方正小标宋_GBK"/>
                <w:color w:val="auto"/>
                <w:sz w:val="20"/>
                <w:szCs w:val="20"/>
                <w:vertAlign w:val="baseline"/>
                <w:lang w:val="en-US" w:eastAsia="zh-CN"/>
              </w:rPr>
            </w:pPr>
            <w:r>
              <w:rPr>
                <w:rFonts w:hint="eastAsia" w:ascii="宋体" w:hAnsi="宋体" w:eastAsia="黑体" w:cs="黑体"/>
                <w:b w:val="0"/>
                <w:bCs w:val="0"/>
                <w:i w:val="0"/>
                <w:iCs w:val="0"/>
                <w:color w:val="auto"/>
                <w:spacing w:val="-6"/>
                <w:kern w:val="0"/>
                <w:sz w:val="20"/>
                <w:szCs w:val="20"/>
                <w:u w:val="none"/>
                <w:lang w:val="en-US" w:eastAsia="zh-CN" w:bidi="ar"/>
              </w:rPr>
              <w:t>2025年</w:t>
            </w:r>
            <w:r>
              <w:rPr>
                <w:rFonts w:hint="eastAsia" w:ascii="宋体" w:hAnsi="宋体" w:eastAsia="黑体" w:cs="黑体"/>
                <w:b w:val="0"/>
                <w:bCs w:val="0"/>
                <w:i w:val="0"/>
                <w:iCs w:val="0"/>
                <w:color w:val="auto"/>
                <w:kern w:val="0"/>
                <w:sz w:val="20"/>
                <w:szCs w:val="20"/>
                <w:u w:val="none"/>
                <w:lang w:val="en-US" w:eastAsia="zh-CN" w:bidi="ar"/>
              </w:rPr>
              <w:t>计划</w:t>
            </w:r>
            <w:r>
              <w:rPr>
                <w:rFonts w:hint="eastAsia" w:ascii="宋体" w:hAnsi="宋体" w:eastAsia="黑体" w:cs="黑体"/>
                <w:b w:val="0"/>
                <w:bCs w:val="0"/>
                <w:i w:val="0"/>
                <w:iCs w:val="0"/>
                <w:color w:val="auto"/>
                <w:spacing w:val="-6"/>
                <w:kern w:val="0"/>
                <w:sz w:val="20"/>
                <w:szCs w:val="20"/>
                <w:u w:val="none"/>
                <w:lang w:val="en-US" w:eastAsia="zh-CN" w:bidi="ar"/>
              </w:rPr>
              <w:t>投资额</w:t>
            </w:r>
          </w:p>
        </w:tc>
        <w:tc>
          <w:tcPr>
            <w:tcW w:w="1230" w:type="dxa"/>
            <w:vAlign w:val="center"/>
          </w:tcPr>
          <w:p w14:paraId="68396FA0">
            <w:pPr>
              <w:spacing w:line="280" w:lineRule="exact"/>
              <w:jc w:val="center"/>
              <w:rPr>
                <w:rFonts w:hint="eastAsia" w:ascii="宋体" w:hAnsi="宋体" w:eastAsia="黑体" w:cs="黑体"/>
                <w:color w:val="auto"/>
                <w:spacing w:val="-6"/>
                <w:kern w:val="0"/>
                <w:sz w:val="20"/>
                <w:szCs w:val="20"/>
                <w:u w:val="none"/>
                <w:vertAlign w:val="baseline"/>
                <w:lang w:val="en-US" w:eastAsia="zh-CN" w:bidi="ar"/>
              </w:rPr>
            </w:pPr>
            <w:r>
              <w:rPr>
                <w:rFonts w:hint="eastAsia" w:ascii="宋体" w:hAnsi="宋体" w:eastAsia="黑体" w:cs="黑体"/>
                <w:b w:val="0"/>
                <w:bCs w:val="0"/>
                <w:i w:val="0"/>
                <w:iCs w:val="0"/>
                <w:color w:val="auto"/>
                <w:spacing w:val="-6"/>
                <w:kern w:val="0"/>
                <w:sz w:val="20"/>
                <w:szCs w:val="20"/>
                <w:u w:val="none"/>
                <w:lang w:val="en-US" w:eastAsia="zh-CN" w:bidi="ar"/>
              </w:rPr>
              <w:t>2025年主要建设内容</w:t>
            </w:r>
          </w:p>
        </w:tc>
        <w:tc>
          <w:tcPr>
            <w:tcW w:w="810" w:type="dxa"/>
            <w:vMerge w:val="continue"/>
          </w:tcPr>
          <w:p w14:paraId="474E558E">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35" w:type="dxa"/>
            <w:vMerge w:val="continue"/>
          </w:tcPr>
          <w:p w14:paraId="10D2884D">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50" w:type="dxa"/>
            <w:vMerge w:val="continue"/>
          </w:tcPr>
          <w:p w14:paraId="368CAB55">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vMerge w:val="continue"/>
          </w:tcPr>
          <w:p w14:paraId="24E0EF8B">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50" w:type="dxa"/>
            <w:vMerge w:val="continue"/>
          </w:tcPr>
          <w:p w14:paraId="39408369">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vMerge w:val="continue"/>
          </w:tcPr>
          <w:p w14:paraId="714289CF">
            <w:pPr>
              <w:spacing w:line="600" w:lineRule="exact"/>
              <w:jc w:val="center"/>
              <w:rPr>
                <w:rFonts w:hint="eastAsia" w:ascii="宋体" w:hAnsi="宋体" w:eastAsia="方正小标宋_GBK" w:cs="方正小标宋_GBK"/>
                <w:color w:val="auto"/>
                <w:sz w:val="44"/>
                <w:szCs w:val="44"/>
                <w:vertAlign w:val="baseline"/>
                <w:lang w:val="en-US" w:eastAsia="zh-CN"/>
              </w:rPr>
            </w:pPr>
          </w:p>
        </w:tc>
      </w:tr>
      <w:tr w14:paraId="1E4D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8C904E9">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highlight w:val="yellow"/>
                <w:u w:val="none"/>
                <w:lang w:val="en-US" w:eastAsia="zh-CN" w:bidi="ar-SA"/>
              </w:rPr>
            </w:pPr>
          </w:p>
        </w:tc>
        <w:tc>
          <w:tcPr>
            <w:tcW w:w="1215" w:type="dxa"/>
            <w:vAlign w:val="center"/>
          </w:tcPr>
          <w:p w14:paraId="7026B712">
            <w:pPr>
              <w:keepNext w:val="0"/>
              <w:keepLines w:val="0"/>
              <w:widowControl/>
              <w:suppressLineNumbers w:val="0"/>
              <w:spacing w:line="320" w:lineRule="exact"/>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合计</w:t>
            </w:r>
          </w:p>
          <w:p w14:paraId="1BB52E94">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highlight w:val="yellow"/>
                <w:u w:val="none"/>
                <w:lang w:val="en-US" w:eastAsia="zh-CN" w:bidi="ar-SA"/>
              </w:rPr>
            </w:pPr>
            <w:r>
              <w:rPr>
                <w:rFonts w:hint="eastAsia" w:ascii="宋体" w:hAnsi="宋体" w:cs="宋体"/>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74项</w:t>
            </w:r>
            <w:r>
              <w:rPr>
                <w:rFonts w:hint="eastAsia" w:ascii="宋体" w:hAnsi="宋体" w:cs="宋体"/>
                <w:b/>
                <w:bCs/>
                <w:i w:val="0"/>
                <w:iCs w:val="0"/>
                <w:color w:val="auto"/>
                <w:kern w:val="0"/>
                <w:sz w:val="20"/>
                <w:szCs w:val="20"/>
                <w:highlight w:val="none"/>
                <w:u w:val="none"/>
                <w:lang w:val="en-US" w:eastAsia="zh-CN" w:bidi="ar"/>
              </w:rPr>
              <w:t>）</w:t>
            </w:r>
          </w:p>
        </w:tc>
        <w:tc>
          <w:tcPr>
            <w:tcW w:w="4155" w:type="dxa"/>
            <w:vAlign w:val="center"/>
          </w:tcPr>
          <w:p w14:paraId="0000232D">
            <w:pPr>
              <w:spacing w:line="320" w:lineRule="exact"/>
              <w:jc w:val="left"/>
              <w:rPr>
                <w:rFonts w:hint="eastAsia" w:ascii="宋体" w:hAnsi="宋体" w:eastAsia="宋体" w:cs="宋体"/>
                <w:b/>
                <w:bCs/>
                <w:i w:val="0"/>
                <w:iCs w:val="0"/>
                <w:color w:val="auto"/>
                <w:kern w:val="2"/>
                <w:sz w:val="20"/>
                <w:szCs w:val="20"/>
                <w:highlight w:val="yellow"/>
                <w:u w:val="none"/>
                <w:lang w:val="en-US" w:eastAsia="zh-CN" w:bidi="ar-SA"/>
              </w:rPr>
            </w:pPr>
          </w:p>
        </w:tc>
        <w:tc>
          <w:tcPr>
            <w:tcW w:w="585" w:type="dxa"/>
            <w:vAlign w:val="center"/>
          </w:tcPr>
          <w:p w14:paraId="1404C2D3">
            <w:pPr>
              <w:spacing w:line="320" w:lineRule="exact"/>
              <w:jc w:val="center"/>
              <w:rPr>
                <w:rFonts w:hint="eastAsia" w:ascii="宋体" w:hAnsi="宋体" w:eastAsia="宋体" w:cs="宋体"/>
                <w:b/>
                <w:bCs/>
                <w:i w:val="0"/>
                <w:iCs w:val="0"/>
                <w:color w:val="auto"/>
                <w:kern w:val="2"/>
                <w:sz w:val="20"/>
                <w:szCs w:val="20"/>
                <w:highlight w:val="none"/>
                <w:u w:val="none"/>
                <w:lang w:val="en-US" w:eastAsia="zh-CN" w:bidi="ar-SA"/>
              </w:rPr>
            </w:pPr>
          </w:p>
        </w:tc>
        <w:tc>
          <w:tcPr>
            <w:tcW w:w="945" w:type="dxa"/>
            <w:vAlign w:val="center"/>
          </w:tcPr>
          <w:p w14:paraId="6A312F7A">
            <w:pPr>
              <w:keepNext w:val="0"/>
              <w:keepLines w:val="0"/>
              <w:widowControl/>
              <w:suppressLineNumbers w:val="0"/>
              <w:spacing w:line="320" w:lineRule="exact"/>
              <w:ind w:left="-120" w:leftChars="-57" w:right="-92" w:rightChars="-44"/>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51</w:t>
            </w:r>
            <w:r>
              <w:rPr>
                <w:rFonts w:hint="eastAsia" w:ascii="宋体" w:hAnsi="宋体" w:cs="宋体"/>
                <w:b/>
                <w:bCs/>
                <w:i w:val="0"/>
                <w:iCs w:val="0"/>
                <w:color w:val="auto"/>
                <w:kern w:val="0"/>
                <w:sz w:val="20"/>
                <w:szCs w:val="20"/>
                <w:highlight w:val="none"/>
                <w:u w:val="none"/>
                <w:lang w:val="en-US" w:eastAsia="zh-CN" w:bidi="ar"/>
              </w:rPr>
              <w:t>2</w:t>
            </w:r>
            <w:r>
              <w:rPr>
                <w:rFonts w:hint="eastAsia" w:ascii="宋体" w:hAnsi="宋体" w:eastAsia="宋体" w:cs="宋体"/>
                <w:b/>
                <w:bCs/>
                <w:i w:val="0"/>
                <w:iCs w:val="0"/>
                <w:color w:val="auto"/>
                <w:kern w:val="0"/>
                <w:sz w:val="20"/>
                <w:szCs w:val="20"/>
                <w:highlight w:val="none"/>
                <w:u w:val="none"/>
                <w:lang w:val="en-US" w:eastAsia="zh-CN" w:bidi="ar"/>
              </w:rPr>
              <w:t xml:space="preserve">3462 </w:t>
            </w:r>
          </w:p>
        </w:tc>
        <w:tc>
          <w:tcPr>
            <w:tcW w:w="795" w:type="dxa"/>
            <w:vAlign w:val="center"/>
          </w:tcPr>
          <w:p w14:paraId="1D44F388">
            <w:pPr>
              <w:keepNext w:val="0"/>
              <w:keepLines w:val="0"/>
              <w:widowControl/>
              <w:suppressLineNumbers w:val="0"/>
              <w:spacing w:line="320" w:lineRule="exact"/>
              <w:ind w:left="-139" w:leftChars="-66" w:right="-115" w:rightChars="-55" w:firstLine="0" w:firstLineChars="0"/>
              <w:jc w:val="center"/>
              <w:textAlignment w:val="center"/>
              <w:rPr>
                <w:rFonts w:hint="eastAsia" w:ascii="宋体" w:hAnsi="宋体" w:eastAsia="宋体" w:cs="宋体"/>
                <w:b/>
                <w:bCs/>
                <w:i w:val="0"/>
                <w:iCs w:val="0"/>
                <w:color w:val="auto"/>
                <w:spacing w:val="-6"/>
                <w:kern w:val="2"/>
                <w:sz w:val="20"/>
                <w:szCs w:val="20"/>
                <w:highlight w:val="none"/>
                <w:u w:val="none"/>
                <w:lang w:val="en-US" w:eastAsia="zh-CN" w:bidi="ar-SA"/>
              </w:rPr>
            </w:pPr>
            <w:r>
              <w:rPr>
                <w:rFonts w:hint="eastAsia" w:ascii="宋体" w:hAnsi="宋体" w:eastAsia="宋体" w:cs="宋体"/>
                <w:b/>
                <w:bCs/>
                <w:i w:val="0"/>
                <w:iCs w:val="0"/>
                <w:color w:val="auto"/>
                <w:spacing w:val="-6"/>
                <w:kern w:val="0"/>
                <w:sz w:val="20"/>
                <w:szCs w:val="20"/>
                <w:highlight w:val="none"/>
                <w:u w:val="none"/>
                <w:lang w:val="en-US" w:eastAsia="zh-CN" w:bidi="ar"/>
              </w:rPr>
              <w:t xml:space="preserve">1820016 </w:t>
            </w:r>
          </w:p>
        </w:tc>
        <w:tc>
          <w:tcPr>
            <w:tcW w:w="825" w:type="dxa"/>
            <w:vAlign w:val="center"/>
          </w:tcPr>
          <w:p w14:paraId="2073C944">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5</w:t>
            </w:r>
            <w:r>
              <w:rPr>
                <w:rFonts w:hint="eastAsia" w:ascii="宋体" w:hAnsi="宋体" w:cs="宋体"/>
                <w:b/>
                <w:bCs/>
                <w:i w:val="0"/>
                <w:iCs w:val="0"/>
                <w:color w:val="auto"/>
                <w:kern w:val="0"/>
                <w:sz w:val="20"/>
                <w:szCs w:val="20"/>
                <w:highlight w:val="none"/>
                <w:u w:val="none"/>
                <w:lang w:val="en-US" w:eastAsia="zh-CN" w:bidi="ar"/>
              </w:rPr>
              <w:t>4</w:t>
            </w:r>
            <w:r>
              <w:rPr>
                <w:rFonts w:hint="eastAsia" w:ascii="宋体" w:hAnsi="宋体" w:eastAsia="宋体" w:cs="宋体"/>
                <w:b/>
                <w:bCs/>
                <w:i w:val="0"/>
                <w:iCs w:val="0"/>
                <w:color w:val="auto"/>
                <w:kern w:val="0"/>
                <w:sz w:val="20"/>
                <w:szCs w:val="20"/>
                <w:highlight w:val="none"/>
                <w:u w:val="none"/>
                <w:lang w:val="en-US" w:eastAsia="zh-CN" w:bidi="ar"/>
              </w:rPr>
              <w:t xml:space="preserve">2995 </w:t>
            </w:r>
          </w:p>
        </w:tc>
        <w:tc>
          <w:tcPr>
            <w:tcW w:w="1230" w:type="dxa"/>
          </w:tcPr>
          <w:p w14:paraId="5151F1BD">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810" w:type="dxa"/>
          </w:tcPr>
          <w:p w14:paraId="745B3CCF">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35" w:type="dxa"/>
          </w:tcPr>
          <w:p w14:paraId="59F1CC20">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50" w:type="dxa"/>
          </w:tcPr>
          <w:p w14:paraId="7410FD52">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691EEA0C">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50" w:type="dxa"/>
          </w:tcPr>
          <w:p w14:paraId="04D46B04">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351B7DF7">
            <w:pPr>
              <w:spacing w:line="600" w:lineRule="exact"/>
              <w:jc w:val="center"/>
              <w:rPr>
                <w:rFonts w:hint="eastAsia" w:ascii="宋体" w:hAnsi="宋体" w:eastAsia="方正小标宋_GBK" w:cs="方正小标宋_GBK"/>
                <w:color w:val="auto"/>
                <w:sz w:val="44"/>
                <w:szCs w:val="44"/>
                <w:vertAlign w:val="baseline"/>
                <w:lang w:val="en-US" w:eastAsia="zh-CN"/>
              </w:rPr>
            </w:pPr>
          </w:p>
        </w:tc>
      </w:tr>
      <w:tr w14:paraId="7A24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940F5F1">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一</w:t>
            </w:r>
          </w:p>
        </w:tc>
        <w:tc>
          <w:tcPr>
            <w:tcW w:w="1215" w:type="dxa"/>
            <w:vAlign w:val="center"/>
          </w:tcPr>
          <w:p w14:paraId="55B12658">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省重点项目（4项）</w:t>
            </w:r>
          </w:p>
        </w:tc>
        <w:tc>
          <w:tcPr>
            <w:tcW w:w="4155" w:type="dxa"/>
            <w:vAlign w:val="center"/>
          </w:tcPr>
          <w:p w14:paraId="36BB93DE">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585" w:type="dxa"/>
            <w:vAlign w:val="center"/>
          </w:tcPr>
          <w:p w14:paraId="5B93A44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945" w:type="dxa"/>
            <w:vAlign w:val="center"/>
          </w:tcPr>
          <w:p w14:paraId="71ABBE07">
            <w:pPr>
              <w:keepNext w:val="0"/>
              <w:keepLines w:val="0"/>
              <w:widowControl/>
              <w:suppressLineNumbers w:val="0"/>
              <w:spacing w:line="320" w:lineRule="exact"/>
              <w:ind w:left="-100" w:leftChars="-57" w:right="-136" w:rightChars="-65" w:hanging="20" w:hangingChars="1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2</w:t>
            </w:r>
            <w:r>
              <w:rPr>
                <w:rFonts w:hint="eastAsia" w:ascii="宋体" w:hAnsi="宋体" w:cs="宋体"/>
                <w:b/>
                <w:bCs/>
                <w:i w:val="0"/>
                <w:iCs w:val="0"/>
                <w:color w:val="auto"/>
                <w:kern w:val="0"/>
                <w:sz w:val="20"/>
                <w:szCs w:val="20"/>
                <w:u w:val="none"/>
                <w:lang w:val="en-US" w:eastAsia="zh-CN" w:bidi="ar"/>
              </w:rPr>
              <w:t>2</w:t>
            </w:r>
            <w:r>
              <w:rPr>
                <w:rFonts w:hint="eastAsia" w:ascii="宋体" w:hAnsi="宋体" w:eastAsia="宋体" w:cs="宋体"/>
                <w:b/>
                <w:bCs/>
                <w:i w:val="0"/>
                <w:iCs w:val="0"/>
                <w:color w:val="auto"/>
                <w:kern w:val="0"/>
                <w:sz w:val="20"/>
                <w:szCs w:val="20"/>
                <w:u w:val="none"/>
                <w:lang w:val="en-US" w:eastAsia="zh-CN" w:bidi="ar"/>
              </w:rPr>
              <w:t xml:space="preserve">1331 </w:t>
            </w:r>
          </w:p>
        </w:tc>
        <w:tc>
          <w:tcPr>
            <w:tcW w:w="795" w:type="dxa"/>
            <w:vAlign w:val="center"/>
          </w:tcPr>
          <w:p w14:paraId="7035FA1C">
            <w:pPr>
              <w:keepNext w:val="0"/>
              <w:keepLines w:val="0"/>
              <w:widowControl/>
              <w:suppressLineNumbers w:val="0"/>
              <w:spacing w:line="320" w:lineRule="exact"/>
              <w:ind w:left="-100" w:leftChars="-57" w:right="-97" w:rightChars="-46" w:hanging="20" w:hangingChars="1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136700 </w:t>
            </w:r>
          </w:p>
        </w:tc>
        <w:tc>
          <w:tcPr>
            <w:tcW w:w="825" w:type="dxa"/>
            <w:vAlign w:val="center"/>
          </w:tcPr>
          <w:p w14:paraId="6BB9B7F6">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60</w:t>
            </w:r>
            <w:r>
              <w:rPr>
                <w:rFonts w:hint="eastAsia" w:ascii="宋体" w:hAnsi="宋体" w:eastAsia="宋体" w:cs="宋体"/>
                <w:b/>
                <w:bCs/>
                <w:i w:val="0"/>
                <w:iCs w:val="0"/>
                <w:color w:val="auto"/>
                <w:kern w:val="0"/>
                <w:sz w:val="20"/>
                <w:szCs w:val="20"/>
                <w:u w:val="none"/>
                <w:lang w:val="en-US" w:eastAsia="zh-CN" w:bidi="ar"/>
              </w:rPr>
              <w:t xml:space="preserve">000 </w:t>
            </w:r>
          </w:p>
        </w:tc>
        <w:tc>
          <w:tcPr>
            <w:tcW w:w="1230" w:type="dxa"/>
          </w:tcPr>
          <w:p w14:paraId="435230FC">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810" w:type="dxa"/>
          </w:tcPr>
          <w:p w14:paraId="6C9136DE">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35" w:type="dxa"/>
          </w:tcPr>
          <w:p w14:paraId="09F6534D">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50" w:type="dxa"/>
          </w:tcPr>
          <w:p w14:paraId="5236A4A9">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28DCFD91">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50" w:type="dxa"/>
          </w:tcPr>
          <w:p w14:paraId="0C109279">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52D8B2CB">
            <w:pPr>
              <w:spacing w:line="600" w:lineRule="exact"/>
              <w:jc w:val="center"/>
              <w:rPr>
                <w:rFonts w:hint="eastAsia" w:ascii="宋体" w:hAnsi="宋体" w:eastAsia="方正小标宋_GBK" w:cs="方正小标宋_GBK"/>
                <w:color w:val="auto"/>
                <w:sz w:val="44"/>
                <w:szCs w:val="44"/>
                <w:vertAlign w:val="baseline"/>
                <w:lang w:val="en-US" w:eastAsia="zh-CN"/>
              </w:rPr>
            </w:pPr>
          </w:p>
        </w:tc>
      </w:tr>
      <w:tr w14:paraId="1E92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14:paraId="1F798F63">
            <w:pPr>
              <w:keepNext w:val="0"/>
              <w:keepLines w:val="0"/>
              <w:widowControl/>
              <w:suppressLineNumbers w:val="0"/>
              <w:tabs>
                <w:tab w:val="left" w:pos="540"/>
              </w:tabs>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（一）</w:t>
            </w:r>
          </w:p>
        </w:tc>
        <w:tc>
          <w:tcPr>
            <w:tcW w:w="1215" w:type="dxa"/>
            <w:vAlign w:val="center"/>
          </w:tcPr>
          <w:p w14:paraId="6DBC9DC0">
            <w:pPr>
              <w:keepNext w:val="0"/>
              <w:keepLines w:val="0"/>
              <w:widowControl/>
              <w:suppressLineNumbers w:val="0"/>
              <w:tabs>
                <w:tab w:val="left" w:pos="1040"/>
              </w:tabs>
              <w:spacing w:line="320" w:lineRule="exact"/>
              <w:ind w:left="-79" w:leftChars="-47" w:right="-99" w:rightChars="-47" w:hanging="20" w:hangingChars="10"/>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计划新开工项目（2项）</w:t>
            </w:r>
          </w:p>
        </w:tc>
        <w:tc>
          <w:tcPr>
            <w:tcW w:w="4155" w:type="dxa"/>
            <w:vAlign w:val="center"/>
          </w:tcPr>
          <w:p w14:paraId="2B2542C0">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585" w:type="dxa"/>
            <w:vAlign w:val="center"/>
          </w:tcPr>
          <w:p w14:paraId="1410CD7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945" w:type="dxa"/>
            <w:vAlign w:val="center"/>
          </w:tcPr>
          <w:p w14:paraId="325BF68D">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4</w:t>
            </w:r>
            <w:r>
              <w:rPr>
                <w:rFonts w:hint="eastAsia" w:ascii="宋体" w:hAnsi="宋体" w:eastAsia="宋体" w:cs="宋体"/>
                <w:b/>
                <w:bCs/>
                <w:i w:val="0"/>
                <w:iCs w:val="0"/>
                <w:color w:val="auto"/>
                <w:kern w:val="0"/>
                <w:sz w:val="20"/>
                <w:szCs w:val="20"/>
                <w:u w:val="none"/>
                <w:lang w:val="en-US" w:eastAsia="zh-CN" w:bidi="ar"/>
              </w:rPr>
              <w:t xml:space="preserve">9631 </w:t>
            </w:r>
          </w:p>
        </w:tc>
        <w:tc>
          <w:tcPr>
            <w:tcW w:w="795" w:type="dxa"/>
            <w:vAlign w:val="center"/>
          </w:tcPr>
          <w:p w14:paraId="6B810D0C">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0 </w:t>
            </w:r>
          </w:p>
        </w:tc>
        <w:tc>
          <w:tcPr>
            <w:tcW w:w="825" w:type="dxa"/>
            <w:vAlign w:val="center"/>
          </w:tcPr>
          <w:p w14:paraId="17131B61">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30</w:t>
            </w:r>
            <w:r>
              <w:rPr>
                <w:rFonts w:hint="eastAsia" w:ascii="宋体" w:hAnsi="宋体" w:eastAsia="宋体" w:cs="宋体"/>
                <w:b/>
                <w:bCs/>
                <w:i w:val="0"/>
                <w:iCs w:val="0"/>
                <w:color w:val="auto"/>
                <w:kern w:val="0"/>
                <w:sz w:val="20"/>
                <w:szCs w:val="20"/>
                <w:u w:val="none"/>
                <w:lang w:val="en-US" w:eastAsia="zh-CN" w:bidi="ar"/>
              </w:rPr>
              <w:t xml:space="preserve">000 </w:t>
            </w:r>
          </w:p>
        </w:tc>
        <w:tc>
          <w:tcPr>
            <w:tcW w:w="1230" w:type="dxa"/>
          </w:tcPr>
          <w:p w14:paraId="6C54C6B0">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810" w:type="dxa"/>
          </w:tcPr>
          <w:p w14:paraId="0452D818">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35" w:type="dxa"/>
          </w:tcPr>
          <w:p w14:paraId="6CFC0EDF">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1050" w:type="dxa"/>
          </w:tcPr>
          <w:p w14:paraId="29D217B8">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2231EBFA">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50" w:type="dxa"/>
          </w:tcPr>
          <w:p w14:paraId="10FAC532">
            <w:pPr>
              <w:spacing w:line="600" w:lineRule="exact"/>
              <w:jc w:val="center"/>
              <w:rPr>
                <w:rFonts w:hint="eastAsia" w:ascii="宋体" w:hAnsi="宋体" w:eastAsia="方正小标宋_GBK" w:cs="方正小标宋_GBK"/>
                <w:color w:val="auto"/>
                <w:sz w:val="44"/>
                <w:szCs w:val="44"/>
                <w:vertAlign w:val="baseline"/>
                <w:lang w:val="en-US" w:eastAsia="zh-CN"/>
              </w:rPr>
            </w:pPr>
          </w:p>
        </w:tc>
        <w:tc>
          <w:tcPr>
            <w:tcW w:w="405" w:type="dxa"/>
          </w:tcPr>
          <w:p w14:paraId="2CC27064">
            <w:pPr>
              <w:spacing w:line="600" w:lineRule="exact"/>
              <w:jc w:val="center"/>
              <w:rPr>
                <w:rFonts w:hint="eastAsia" w:ascii="宋体" w:hAnsi="宋体" w:eastAsia="方正小标宋_GBK" w:cs="方正小标宋_GBK"/>
                <w:color w:val="auto"/>
                <w:sz w:val="44"/>
                <w:szCs w:val="44"/>
                <w:vertAlign w:val="baseline"/>
                <w:lang w:val="en-US" w:eastAsia="zh-CN"/>
              </w:rPr>
            </w:pPr>
          </w:p>
        </w:tc>
      </w:tr>
      <w:tr w14:paraId="5C97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45A6E8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1215" w:type="dxa"/>
            <w:vAlign w:val="center"/>
          </w:tcPr>
          <w:p w14:paraId="5DEC8859">
            <w:pPr>
              <w:keepNext w:val="0"/>
              <w:keepLines w:val="0"/>
              <w:widowControl/>
              <w:suppressLineNumbers w:val="0"/>
              <w:spacing w:line="320" w:lineRule="exact"/>
              <w:ind w:left="-59" w:leftChars="-28" w:right="-101" w:rightChars="-48"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源城区全域土地综合整治项目（一期）</w:t>
            </w:r>
          </w:p>
        </w:tc>
        <w:tc>
          <w:tcPr>
            <w:tcW w:w="4155" w:type="dxa"/>
            <w:vAlign w:val="center"/>
          </w:tcPr>
          <w:p w14:paraId="00361BF4">
            <w:pPr>
              <w:keepNext w:val="0"/>
              <w:keepLines w:val="0"/>
              <w:widowControl/>
              <w:suppressLineNumbers w:val="0"/>
              <w:spacing w:line="280" w:lineRule="exact"/>
              <w:ind w:left="-40" w:leftChars="-19" w:right="-71" w:rightChars="-34" w:firstLine="18" w:firstLineChars="10"/>
              <w:jc w:val="both"/>
              <w:textAlignment w:val="center"/>
              <w:rPr>
                <w:rFonts w:hint="eastAsia" w:ascii="宋体" w:hAnsi="宋体" w:eastAsia="宋体" w:cs="宋体"/>
                <w:i w:val="0"/>
                <w:iCs w:val="0"/>
                <w:color w:val="auto"/>
                <w:spacing w:val="-6"/>
                <w:kern w:val="2"/>
                <w:sz w:val="20"/>
                <w:szCs w:val="20"/>
                <w:u w:val="none"/>
                <w:lang w:val="en-US" w:eastAsia="zh-CN" w:bidi="ar-SA"/>
              </w:rPr>
            </w:pPr>
            <w:r>
              <w:rPr>
                <w:rFonts w:hint="eastAsia" w:ascii="宋体" w:hAnsi="宋体"/>
                <w:color w:val="auto"/>
                <w:spacing w:val="-6"/>
                <w:sz w:val="20"/>
                <w:szCs w:val="20"/>
              </w:rPr>
              <w:t>建设3个农田千亩方（其中补充耕地456000平方米、耕地提升1840666.67平方米）</w:t>
            </w:r>
            <w:r>
              <w:rPr>
                <w:rFonts w:hint="eastAsia" w:ascii="宋体" w:hAnsi="宋体"/>
                <w:color w:val="auto"/>
                <w:spacing w:val="-6"/>
                <w:sz w:val="20"/>
                <w:szCs w:val="20"/>
                <w:lang w:eastAsia="zh-CN"/>
              </w:rPr>
              <w:t>，</w:t>
            </w:r>
            <w:r>
              <w:rPr>
                <w:rFonts w:hint="eastAsia" w:ascii="宋体" w:hAnsi="宋体"/>
                <w:color w:val="auto"/>
                <w:spacing w:val="-6"/>
                <w:sz w:val="20"/>
                <w:szCs w:val="20"/>
              </w:rPr>
              <w:t>对66000平方米废弃矿山进行生态修复</w:t>
            </w:r>
            <w:r>
              <w:rPr>
                <w:rFonts w:hint="eastAsia" w:ascii="宋体" w:hAnsi="宋体"/>
                <w:color w:val="auto"/>
                <w:spacing w:val="-6"/>
                <w:sz w:val="20"/>
                <w:szCs w:val="20"/>
                <w:lang w:eastAsia="zh-CN"/>
              </w:rPr>
              <w:t>，</w:t>
            </w:r>
            <w:r>
              <w:rPr>
                <w:rFonts w:hint="eastAsia" w:ascii="宋体" w:hAnsi="宋体"/>
                <w:color w:val="auto"/>
                <w:spacing w:val="-6"/>
                <w:sz w:val="20"/>
                <w:szCs w:val="20"/>
              </w:rPr>
              <w:t>对95333.33平方米废弃产业用地进行增减挂钩</w:t>
            </w:r>
            <w:r>
              <w:rPr>
                <w:rFonts w:hint="eastAsia" w:ascii="宋体" w:hAnsi="宋体"/>
                <w:color w:val="auto"/>
                <w:spacing w:val="-6"/>
                <w:sz w:val="20"/>
                <w:szCs w:val="20"/>
                <w:lang w:eastAsia="zh-CN"/>
              </w:rPr>
              <w:t>，</w:t>
            </w:r>
            <w:r>
              <w:rPr>
                <w:rFonts w:hint="eastAsia" w:ascii="宋体" w:hAnsi="宋体"/>
                <w:color w:val="auto"/>
                <w:spacing w:val="-6"/>
                <w:sz w:val="20"/>
                <w:szCs w:val="20"/>
              </w:rPr>
              <w:t>完成45个自然村生活污水的治理（包括建设管网120公里，新建污水处理站点15座，资源化处理设施6座）</w:t>
            </w:r>
            <w:r>
              <w:rPr>
                <w:rFonts w:hint="eastAsia" w:ascii="宋体" w:hAnsi="宋体"/>
                <w:color w:val="auto"/>
                <w:spacing w:val="-6"/>
                <w:sz w:val="20"/>
                <w:szCs w:val="20"/>
                <w:lang w:eastAsia="zh-CN"/>
              </w:rPr>
              <w:t>，</w:t>
            </w:r>
            <w:r>
              <w:rPr>
                <w:rFonts w:hint="eastAsia" w:ascii="宋体" w:hAnsi="宋体"/>
                <w:color w:val="auto"/>
                <w:spacing w:val="-6"/>
                <w:sz w:val="20"/>
                <w:szCs w:val="20"/>
              </w:rPr>
              <w:t>完成1座老炉下水厂（2000</w:t>
            </w:r>
            <w:r>
              <w:rPr>
                <w:rFonts w:hint="eastAsia" w:ascii="宋体" w:hAnsi="宋体"/>
                <w:color w:val="auto"/>
                <w:spacing w:val="-6"/>
                <w:sz w:val="20"/>
                <w:szCs w:val="20"/>
                <w:lang w:val="en-US" w:eastAsia="zh-CN"/>
              </w:rPr>
              <w:t>平方米</w:t>
            </w:r>
            <w:r>
              <w:rPr>
                <w:rFonts w:hint="eastAsia" w:ascii="宋体" w:hAnsi="宋体"/>
                <w:color w:val="auto"/>
                <w:spacing w:val="-6"/>
                <w:sz w:val="20"/>
                <w:szCs w:val="20"/>
              </w:rPr>
              <w:t>）及配套设施的建设</w:t>
            </w:r>
            <w:r>
              <w:rPr>
                <w:rFonts w:hint="eastAsia" w:ascii="宋体" w:hAnsi="宋体"/>
                <w:color w:val="auto"/>
                <w:spacing w:val="-6"/>
                <w:sz w:val="20"/>
                <w:szCs w:val="20"/>
                <w:lang w:eastAsia="zh-CN"/>
              </w:rPr>
              <w:t>，</w:t>
            </w:r>
            <w:r>
              <w:rPr>
                <w:rFonts w:hint="eastAsia" w:ascii="宋体" w:hAnsi="宋体"/>
                <w:color w:val="auto"/>
                <w:spacing w:val="-6"/>
                <w:sz w:val="20"/>
                <w:szCs w:val="20"/>
              </w:rPr>
              <w:t>完成31369</w:t>
            </w:r>
            <w:r>
              <w:rPr>
                <w:rFonts w:hint="eastAsia" w:ascii="宋体" w:hAnsi="宋体"/>
                <w:color w:val="auto"/>
                <w:spacing w:val="-6"/>
                <w:sz w:val="20"/>
                <w:szCs w:val="20"/>
                <w:lang w:val="en-US" w:eastAsia="zh-CN"/>
              </w:rPr>
              <w:t>平方米</w:t>
            </w:r>
            <w:r>
              <w:rPr>
                <w:rFonts w:hint="eastAsia" w:ascii="宋体" w:hAnsi="宋体"/>
                <w:color w:val="auto"/>
                <w:spacing w:val="-6"/>
                <w:sz w:val="20"/>
                <w:szCs w:val="20"/>
              </w:rPr>
              <w:t>绿色农产品冷链物流及生产供应基地建设（建筑面积19000</w:t>
            </w:r>
            <w:r>
              <w:rPr>
                <w:rFonts w:hint="eastAsia" w:ascii="宋体" w:hAnsi="宋体"/>
                <w:color w:val="auto"/>
                <w:spacing w:val="-6"/>
                <w:sz w:val="20"/>
                <w:szCs w:val="20"/>
                <w:lang w:val="en-US" w:eastAsia="zh-CN"/>
              </w:rPr>
              <w:t>平方米</w:t>
            </w:r>
            <w:r>
              <w:rPr>
                <w:rFonts w:hint="eastAsia" w:ascii="宋体" w:hAnsi="宋体"/>
                <w:color w:val="auto"/>
                <w:spacing w:val="-6"/>
                <w:sz w:val="20"/>
                <w:szCs w:val="20"/>
              </w:rPr>
              <w:t>）</w:t>
            </w:r>
            <w:r>
              <w:rPr>
                <w:rFonts w:hint="eastAsia" w:ascii="宋体" w:hAnsi="宋体"/>
                <w:color w:val="auto"/>
                <w:spacing w:val="-6"/>
                <w:sz w:val="20"/>
                <w:szCs w:val="20"/>
                <w:lang w:eastAsia="zh-CN"/>
              </w:rPr>
              <w:t>，</w:t>
            </w:r>
            <w:r>
              <w:rPr>
                <w:rFonts w:hint="eastAsia" w:ascii="宋体" w:hAnsi="宋体"/>
                <w:color w:val="auto"/>
                <w:spacing w:val="-6"/>
                <w:sz w:val="20"/>
                <w:szCs w:val="20"/>
                <w:lang w:val="en-US" w:eastAsia="zh-CN"/>
              </w:rPr>
              <w:t>完成</w:t>
            </w:r>
            <w:r>
              <w:rPr>
                <w:rFonts w:hint="eastAsia" w:ascii="宋体" w:hAnsi="宋体"/>
                <w:color w:val="auto"/>
                <w:spacing w:val="-6"/>
                <w:sz w:val="20"/>
                <w:szCs w:val="20"/>
              </w:rPr>
              <w:t>34000</w:t>
            </w:r>
            <w:r>
              <w:rPr>
                <w:rFonts w:hint="eastAsia" w:ascii="宋体" w:hAnsi="宋体"/>
                <w:color w:val="auto"/>
                <w:spacing w:val="-6"/>
                <w:sz w:val="20"/>
                <w:szCs w:val="20"/>
                <w:lang w:val="en-US" w:eastAsia="zh-CN"/>
              </w:rPr>
              <w:t>平方米</w:t>
            </w:r>
            <w:r>
              <w:rPr>
                <w:rFonts w:hint="eastAsia" w:ascii="宋体" w:hAnsi="宋体"/>
                <w:color w:val="auto"/>
                <w:spacing w:val="-6"/>
                <w:sz w:val="20"/>
                <w:szCs w:val="20"/>
              </w:rPr>
              <w:t>屋顶光伏板及20个充电桩建设。</w:t>
            </w:r>
          </w:p>
        </w:tc>
        <w:tc>
          <w:tcPr>
            <w:tcW w:w="585" w:type="dxa"/>
            <w:vAlign w:val="center"/>
          </w:tcPr>
          <w:p w14:paraId="652BBBD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3FEFC92A">
            <w:pPr>
              <w:jc w:val="center"/>
              <w:rPr>
                <w:rFonts w:ascii="宋体" w:hAnsi="宋体"/>
                <w:color w:val="auto"/>
              </w:rPr>
            </w:pPr>
            <w:r>
              <w:rPr>
                <w:rFonts w:hint="eastAsia" w:ascii="宋体" w:hAnsi="宋体" w:eastAsia="宋体" w:cs="宋体"/>
                <w:i w:val="0"/>
                <w:iCs w:val="0"/>
                <w:color w:val="auto"/>
                <w:kern w:val="0"/>
                <w:sz w:val="20"/>
                <w:szCs w:val="20"/>
                <w:u w:val="none"/>
                <w:lang w:val="en-US" w:eastAsia="zh-CN" w:bidi="ar"/>
              </w:rPr>
              <w:t>-</w:t>
            </w:r>
          </w:p>
          <w:p w14:paraId="74F0D3B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945" w:type="dxa"/>
            <w:vAlign w:val="center"/>
          </w:tcPr>
          <w:p w14:paraId="7D966A0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49631</w:t>
            </w:r>
          </w:p>
        </w:tc>
        <w:tc>
          <w:tcPr>
            <w:tcW w:w="795" w:type="dxa"/>
            <w:vAlign w:val="center"/>
          </w:tcPr>
          <w:p w14:paraId="11C8AD2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6C1C020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30000</w:t>
            </w:r>
          </w:p>
        </w:tc>
        <w:tc>
          <w:tcPr>
            <w:tcW w:w="1230" w:type="dxa"/>
            <w:vAlign w:val="center"/>
          </w:tcPr>
          <w:p w14:paraId="0049DA6F">
            <w:pPr>
              <w:keepNext w:val="0"/>
              <w:keepLines w:val="0"/>
              <w:widowControl/>
              <w:suppressLineNumbers w:val="0"/>
              <w:spacing w:line="320" w:lineRule="exact"/>
              <w:ind w:left="-80" w:leftChars="-3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主要建设农田千亩方、自然村生活污水的治理、老炉下水厂及配套设施的建设等。</w:t>
            </w:r>
          </w:p>
        </w:tc>
        <w:tc>
          <w:tcPr>
            <w:tcW w:w="810" w:type="dxa"/>
            <w:vAlign w:val="center"/>
          </w:tcPr>
          <w:p w14:paraId="749D8E88">
            <w:pPr>
              <w:keepNext w:val="0"/>
              <w:keepLines w:val="0"/>
              <w:widowControl/>
              <w:suppressLineNumbers w:val="0"/>
              <w:spacing w:line="320" w:lineRule="exact"/>
              <w:ind w:left="-59" w:leftChars="-28" w:right="-80" w:rightChars="-38" w:firstLine="0" w:firstLineChars="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2025.06</w:t>
            </w:r>
          </w:p>
        </w:tc>
        <w:tc>
          <w:tcPr>
            <w:tcW w:w="1035" w:type="dxa"/>
            <w:vAlign w:val="center"/>
          </w:tcPr>
          <w:p w14:paraId="1AF13C3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河源市源城区绿美开发投资有限公司</w:t>
            </w:r>
          </w:p>
        </w:tc>
        <w:tc>
          <w:tcPr>
            <w:tcW w:w="1050" w:type="dxa"/>
            <w:vAlign w:val="center"/>
          </w:tcPr>
          <w:p w14:paraId="76B9E7E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区国资事务中心</w:t>
            </w:r>
          </w:p>
        </w:tc>
        <w:tc>
          <w:tcPr>
            <w:tcW w:w="405" w:type="dxa"/>
            <w:vAlign w:val="center"/>
          </w:tcPr>
          <w:p w14:paraId="28AAE60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450" w:type="dxa"/>
            <w:vAlign w:val="center"/>
          </w:tcPr>
          <w:p w14:paraId="28DBBBF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省重点项目</w:t>
            </w:r>
          </w:p>
        </w:tc>
        <w:tc>
          <w:tcPr>
            <w:tcW w:w="405" w:type="dxa"/>
            <w:vAlign w:val="center"/>
          </w:tcPr>
          <w:p w14:paraId="0A0F670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农林水基础设施工程</w:t>
            </w:r>
          </w:p>
        </w:tc>
      </w:tr>
      <w:tr w14:paraId="0981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735" w:type="dxa"/>
            <w:vAlign w:val="center"/>
          </w:tcPr>
          <w:p w14:paraId="6DE964C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2</w:t>
            </w:r>
          </w:p>
        </w:tc>
        <w:tc>
          <w:tcPr>
            <w:tcW w:w="1215" w:type="dxa"/>
            <w:vAlign w:val="center"/>
          </w:tcPr>
          <w:p w14:paraId="09BF95CD">
            <w:pPr>
              <w:keepNext w:val="0"/>
              <w:keepLines w:val="0"/>
              <w:widowControl/>
              <w:suppressLineNumbers w:val="0"/>
              <w:spacing w:line="320" w:lineRule="exact"/>
              <w:ind w:left="-79" w:leftChars="-47" w:right="-101" w:rightChars="-4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河源春沐源·岭南生态旅游度假区</w:t>
            </w:r>
          </w:p>
        </w:tc>
        <w:tc>
          <w:tcPr>
            <w:tcW w:w="4155" w:type="dxa"/>
            <w:vAlign w:val="center"/>
          </w:tcPr>
          <w:p w14:paraId="1F2EFDF7">
            <w:pPr>
              <w:keepNext w:val="0"/>
              <w:keepLines w:val="0"/>
              <w:widowControl/>
              <w:suppressLineNumbers w:val="0"/>
              <w:spacing w:line="32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总用地面积约</w:t>
            </w:r>
            <w:r>
              <w:rPr>
                <w:rFonts w:hint="eastAsia" w:ascii="宋体" w:hAnsi="宋体" w:cs="宋体"/>
                <w:color w:val="auto"/>
                <w:spacing w:val="-6"/>
                <w:kern w:val="0"/>
                <w:sz w:val="20"/>
                <w:szCs w:val="20"/>
                <w:u w:val="none"/>
                <w:lang w:bidi="ar"/>
              </w:rPr>
              <w:t>34733.33平方米</w:t>
            </w:r>
            <w:r>
              <w:rPr>
                <w:rFonts w:hint="eastAsia" w:ascii="宋体" w:hAnsi="宋体" w:eastAsia="宋体" w:cs="宋体"/>
                <w:i w:val="0"/>
                <w:iCs w:val="0"/>
                <w:color w:val="auto"/>
                <w:spacing w:val="-6"/>
                <w:kern w:val="0"/>
                <w:sz w:val="20"/>
                <w:szCs w:val="20"/>
                <w:u w:val="none"/>
                <w:lang w:val="en-US" w:eastAsia="zh-CN" w:bidi="ar"/>
              </w:rPr>
              <w:t>，规划建设以低层为主的居住类产品</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酒店、配套商业、文化创意类产品</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禾悦庄温泉酒店、咖啡厅、春沐源大道，市政道路，田园综合体温泉；规划配套幼儿园及相关社区公共服务设施</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音乐礼堂</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整体打造生态、自然、富有美学的人文景观体系和社区生态环境。</w:t>
            </w:r>
          </w:p>
        </w:tc>
        <w:tc>
          <w:tcPr>
            <w:tcW w:w="585" w:type="dxa"/>
            <w:vAlign w:val="center"/>
          </w:tcPr>
          <w:p w14:paraId="49FE92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spacing w:val="0"/>
                <w:kern w:val="0"/>
                <w:sz w:val="20"/>
                <w:szCs w:val="20"/>
                <w:u w:val="none"/>
                <w:lang w:val="en-US" w:eastAsia="zh-CN" w:bidi="ar"/>
              </w:rPr>
            </w:pPr>
            <w:r>
              <w:rPr>
                <w:rFonts w:hint="eastAsia" w:ascii="宋体" w:hAnsi="宋体" w:eastAsia="宋体" w:cs="宋体"/>
                <w:i w:val="0"/>
                <w:iCs w:val="0"/>
                <w:color w:val="auto"/>
                <w:spacing w:val="0"/>
                <w:kern w:val="0"/>
                <w:sz w:val="20"/>
                <w:szCs w:val="20"/>
                <w:u w:val="none"/>
                <w:lang w:val="en-US" w:eastAsia="zh-CN" w:bidi="ar"/>
              </w:rPr>
              <w:t>202</w:t>
            </w:r>
            <w:r>
              <w:rPr>
                <w:rFonts w:hint="eastAsia" w:ascii="宋体" w:hAnsi="宋体" w:cs="宋体"/>
                <w:i w:val="0"/>
                <w:iCs w:val="0"/>
                <w:color w:val="auto"/>
                <w:spacing w:val="0"/>
                <w:kern w:val="0"/>
                <w:sz w:val="20"/>
                <w:szCs w:val="20"/>
                <w:u w:val="none"/>
                <w:lang w:val="en-US" w:eastAsia="zh-CN" w:bidi="ar"/>
              </w:rPr>
              <w:t>0</w:t>
            </w:r>
          </w:p>
          <w:p w14:paraId="66562A1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spacing w:val="0"/>
                <w:kern w:val="0"/>
                <w:sz w:val="20"/>
                <w:szCs w:val="20"/>
                <w:u w:val="none"/>
                <w:lang w:val="en-US" w:eastAsia="zh-CN" w:bidi="ar"/>
              </w:rPr>
            </w:pPr>
            <w:r>
              <w:rPr>
                <w:rFonts w:hint="eastAsia" w:ascii="宋体" w:hAnsi="宋体" w:eastAsia="宋体" w:cs="宋体"/>
                <w:i w:val="0"/>
                <w:iCs w:val="0"/>
                <w:color w:val="auto"/>
                <w:spacing w:val="0"/>
                <w:kern w:val="0"/>
                <w:sz w:val="20"/>
                <w:szCs w:val="20"/>
                <w:u w:val="none"/>
                <w:lang w:val="en-US" w:eastAsia="zh-CN" w:bidi="ar"/>
              </w:rPr>
              <w:t>-</w:t>
            </w:r>
          </w:p>
          <w:p w14:paraId="4F29BDA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spacing w:val="0"/>
                <w:kern w:val="0"/>
                <w:sz w:val="20"/>
                <w:szCs w:val="20"/>
                <w:u w:val="none"/>
                <w:lang w:val="en-US" w:eastAsia="zh-CN" w:bidi="ar"/>
              </w:rPr>
              <w:t>2026</w:t>
            </w:r>
          </w:p>
        </w:tc>
        <w:tc>
          <w:tcPr>
            <w:tcW w:w="945" w:type="dxa"/>
            <w:vAlign w:val="center"/>
          </w:tcPr>
          <w:p w14:paraId="6FDACB63">
            <w:pPr>
              <w:keepNext w:val="0"/>
              <w:keepLines w:val="0"/>
              <w:widowControl/>
              <w:suppressLineNumbers w:val="0"/>
              <w:spacing w:line="320" w:lineRule="exact"/>
              <w:ind w:left="-199" w:leftChars="-95" w:right="-53" w:rightChars="-25" w:firstLine="200" w:firstLineChars="10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150000 </w:t>
            </w:r>
          </w:p>
        </w:tc>
        <w:tc>
          <w:tcPr>
            <w:tcW w:w="795" w:type="dxa"/>
            <w:vAlign w:val="center"/>
          </w:tcPr>
          <w:p w14:paraId="40CC17E2">
            <w:pPr>
              <w:keepNext w:val="0"/>
              <w:keepLines w:val="0"/>
              <w:widowControl/>
              <w:suppressLineNumbers w:val="0"/>
              <w:tabs>
                <w:tab w:val="left" w:pos="600"/>
              </w:tabs>
              <w:spacing w:line="320" w:lineRule="exact"/>
              <w:ind w:left="-119" w:leftChars="-66" w:right="-168" w:rightChars="-80"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130000 </w:t>
            </w:r>
          </w:p>
        </w:tc>
        <w:tc>
          <w:tcPr>
            <w:tcW w:w="825" w:type="dxa"/>
            <w:vAlign w:val="center"/>
          </w:tcPr>
          <w:p w14:paraId="7754849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15000</w:t>
            </w:r>
          </w:p>
        </w:tc>
        <w:tc>
          <w:tcPr>
            <w:tcW w:w="1230" w:type="dxa"/>
            <w:vAlign w:val="center"/>
          </w:tcPr>
          <w:p w14:paraId="52CC4B7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新增建设用地、音乐礼堂、商业配套等。</w:t>
            </w:r>
          </w:p>
        </w:tc>
        <w:tc>
          <w:tcPr>
            <w:tcW w:w="810" w:type="dxa"/>
            <w:vAlign w:val="center"/>
          </w:tcPr>
          <w:p w14:paraId="5917192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2020.</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2</w:t>
            </w:r>
          </w:p>
        </w:tc>
        <w:tc>
          <w:tcPr>
            <w:tcW w:w="1035" w:type="dxa"/>
            <w:vAlign w:val="center"/>
          </w:tcPr>
          <w:p w14:paraId="35A766C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河源春沐源旅游文化有限公司</w:t>
            </w:r>
          </w:p>
        </w:tc>
        <w:tc>
          <w:tcPr>
            <w:tcW w:w="1050" w:type="dxa"/>
            <w:vAlign w:val="center"/>
          </w:tcPr>
          <w:p w14:paraId="6B560CA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624B8C0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405" w:type="dxa"/>
            <w:vAlign w:val="center"/>
          </w:tcPr>
          <w:p w14:paraId="169D64D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6EFD36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省重点项目</w:t>
            </w:r>
          </w:p>
        </w:tc>
        <w:tc>
          <w:tcPr>
            <w:tcW w:w="405" w:type="dxa"/>
            <w:vAlign w:val="center"/>
          </w:tcPr>
          <w:p w14:paraId="2B84C5D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2882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735" w:type="dxa"/>
            <w:vAlign w:val="center"/>
          </w:tcPr>
          <w:p w14:paraId="4FE28A3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3</w:t>
            </w:r>
          </w:p>
        </w:tc>
        <w:tc>
          <w:tcPr>
            <w:tcW w:w="1215" w:type="dxa"/>
            <w:vAlign w:val="center"/>
          </w:tcPr>
          <w:p w14:paraId="5551B984">
            <w:pPr>
              <w:keepNext w:val="0"/>
              <w:keepLines w:val="0"/>
              <w:widowControl/>
              <w:suppressLineNumbers w:val="0"/>
              <w:spacing w:line="320" w:lineRule="exact"/>
              <w:ind w:left="-59" w:leftChars="-28" w:right="-120" w:rightChars="-57"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中储粮河源直属库仓储扩建项目</w:t>
            </w:r>
          </w:p>
        </w:tc>
        <w:tc>
          <w:tcPr>
            <w:tcW w:w="4155" w:type="dxa"/>
            <w:vAlign w:val="center"/>
          </w:tcPr>
          <w:p w14:paraId="64437E0A">
            <w:pPr>
              <w:keepNext w:val="0"/>
              <w:keepLines w:val="0"/>
              <w:widowControl/>
              <w:suppressLineNumbers w:val="0"/>
              <w:spacing w:line="32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占地面积16</w:t>
            </w:r>
            <w:r>
              <w:rPr>
                <w:rFonts w:hint="eastAsia" w:ascii="宋体" w:hAnsi="宋体" w:cs="宋体"/>
                <w:color w:val="auto"/>
                <w:kern w:val="0"/>
                <w:sz w:val="20"/>
                <w:szCs w:val="20"/>
                <w:u w:val="none"/>
                <w:lang w:eastAsia="zh-CN" w:bidi="ar"/>
              </w:rPr>
              <w:t>0</w:t>
            </w:r>
            <w:r>
              <w:rPr>
                <w:rFonts w:hint="eastAsia" w:ascii="宋体" w:hAnsi="宋体" w:cs="宋体"/>
                <w:color w:val="auto"/>
                <w:kern w:val="0"/>
                <w:sz w:val="20"/>
                <w:szCs w:val="20"/>
                <w:u w:val="none"/>
                <w:lang w:val="en-US" w:eastAsia="zh-CN" w:bidi="ar"/>
              </w:rPr>
              <w:t>00</w:t>
            </w:r>
            <w:r>
              <w:rPr>
                <w:rFonts w:hint="eastAsia" w:ascii="宋体" w:hAnsi="宋体" w:cs="宋体"/>
                <w:color w:val="auto"/>
                <w:kern w:val="0"/>
                <w:sz w:val="20"/>
                <w:szCs w:val="20"/>
                <w:u w:val="none"/>
                <w:lang w:bidi="ar"/>
              </w:rPr>
              <w:t>平方米，建筑面积128</w:t>
            </w:r>
            <w:r>
              <w:rPr>
                <w:rFonts w:hint="eastAsia" w:ascii="宋体" w:hAnsi="宋体" w:cs="宋体"/>
                <w:color w:val="auto"/>
                <w:kern w:val="0"/>
                <w:sz w:val="20"/>
                <w:szCs w:val="20"/>
                <w:u w:val="none"/>
                <w:lang w:val="en-US" w:eastAsia="zh-CN" w:bidi="ar"/>
              </w:rPr>
              <w:t>00</w:t>
            </w:r>
            <w:r>
              <w:rPr>
                <w:rFonts w:hint="eastAsia" w:ascii="宋体" w:hAnsi="宋体" w:cs="宋体"/>
                <w:color w:val="auto"/>
                <w:kern w:val="0"/>
                <w:sz w:val="20"/>
                <w:szCs w:val="20"/>
                <w:u w:val="none"/>
                <w:lang w:bidi="ar"/>
              </w:rPr>
              <w:t>平方米。在原来的基础上增设粮食储备浅圆仓11栋，一层内直径27米，高24米，单仓仓容1万吨，总储备仓容11万吨，用于储备粮食。</w:t>
            </w:r>
          </w:p>
        </w:tc>
        <w:tc>
          <w:tcPr>
            <w:tcW w:w="585" w:type="dxa"/>
            <w:vAlign w:val="center"/>
          </w:tcPr>
          <w:p w14:paraId="4B7919E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4634512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01375B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945" w:type="dxa"/>
            <w:vAlign w:val="center"/>
          </w:tcPr>
          <w:p w14:paraId="2B1BE5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21700 </w:t>
            </w:r>
          </w:p>
        </w:tc>
        <w:tc>
          <w:tcPr>
            <w:tcW w:w="795" w:type="dxa"/>
            <w:vAlign w:val="center"/>
          </w:tcPr>
          <w:p w14:paraId="09D9FF0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6700 </w:t>
            </w:r>
          </w:p>
        </w:tc>
        <w:tc>
          <w:tcPr>
            <w:tcW w:w="825" w:type="dxa"/>
            <w:vAlign w:val="center"/>
          </w:tcPr>
          <w:p w14:paraId="2F294B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1230" w:type="dxa"/>
            <w:vAlign w:val="center"/>
          </w:tcPr>
          <w:p w14:paraId="45DDFD9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建设仓容11万吨及附属设施。</w:t>
            </w:r>
          </w:p>
        </w:tc>
        <w:tc>
          <w:tcPr>
            <w:tcW w:w="810" w:type="dxa"/>
            <w:vAlign w:val="center"/>
          </w:tcPr>
          <w:p w14:paraId="16237E09">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2024.07</w:t>
            </w:r>
          </w:p>
        </w:tc>
        <w:tc>
          <w:tcPr>
            <w:tcW w:w="1035" w:type="dxa"/>
            <w:vAlign w:val="center"/>
          </w:tcPr>
          <w:p w14:paraId="76D6066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中央储备粮河源直属库有限公司</w:t>
            </w:r>
          </w:p>
        </w:tc>
        <w:tc>
          <w:tcPr>
            <w:tcW w:w="1050" w:type="dxa"/>
            <w:vAlign w:val="center"/>
          </w:tcPr>
          <w:p w14:paraId="6711AFE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405" w:type="dxa"/>
            <w:vAlign w:val="center"/>
          </w:tcPr>
          <w:p w14:paraId="6B554C1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450" w:type="dxa"/>
            <w:vAlign w:val="center"/>
          </w:tcPr>
          <w:p w14:paraId="7A298BF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省重点项目</w:t>
            </w:r>
          </w:p>
        </w:tc>
        <w:tc>
          <w:tcPr>
            <w:tcW w:w="405" w:type="dxa"/>
            <w:vAlign w:val="center"/>
          </w:tcPr>
          <w:p w14:paraId="0E25689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4087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35" w:type="dxa"/>
            <w:vAlign w:val="center"/>
          </w:tcPr>
          <w:p w14:paraId="33A62BF4">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二</w:t>
            </w:r>
          </w:p>
        </w:tc>
        <w:tc>
          <w:tcPr>
            <w:tcW w:w="1215" w:type="dxa"/>
            <w:vAlign w:val="center"/>
          </w:tcPr>
          <w:p w14:paraId="62DA44F8">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市重点项目（</w:t>
            </w:r>
            <w:r>
              <w:rPr>
                <w:rFonts w:hint="eastAsia" w:ascii="宋体" w:hAnsi="宋体" w:cs="宋体"/>
                <w:b/>
                <w:bCs/>
                <w:i w:val="0"/>
                <w:iCs w:val="0"/>
                <w:color w:val="auto"/>
                <w:kern w:val="0"/>
                <w:sz w:val="20"/>
                <w:szCs w:val="20"/>
                <w:u w:val="none"/>
                <w:lang w:val="en-US" w:eastAsia="zh-CN" w:bidi="ar"/>
              </w:rPr>
              <w:t>30</w:t>
            </w:r>
            <w:r>
              <w:rPr>
                <w:rFonts w:hint="eastAsia" w:ascii="宋体" w:hAnsi="宋体" w:eastAsia="宋体" w:cs="宋体"/>
                <w:b/>
                <w:bCs/>
                <w:i w:val="0"/>
                <w:iCs w:val="0"/>
                <w:color w:val="auto"/>
                <w:kern w:val="0"/>
                <w:sz w:val="20"/>
                <w:szCs w:val="20"/>
                <w:u w:val="none"/>
                <w:lang w:val="en-US" w:eastAsia="zh-CN" w:bidi="ar"/>
              </w:rPr>
              <w:t>项）</w:t>
            </w:r>
          </w:p>
        </w:tc>
        <w:tc>
          <w:tcPr>
            <w:tcW w:w="4155" w:type="dxa"/>
            <w:vAlign w:val="center"/>
          </w:tcPr>
          <w:p w14:paraId="64E40144">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585" w:type="dxa"/>
            <w:vAlign w:val="center"/>
          </w:tcPr>
          <w:p w14:paraId="0D6871E5">
            <w:pPr>
              <w:widowControl/>
              <w:spacing w:line="320" w:lineRule="exact"/>
              <w:ind w:left="-100" w:leftChars="-57" w:right="-124" w:rightChars="-59" w:hanging="20" w:hangingChars="1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c>
          <w:tcPr>
            <w:tcW w:w="945" w:type="dxa"/>
            <w:vAlign w:val="center"/>
          </w:tcPr>
          <w:p w14:paraId="4C016CEF">
            <w:pPr>
              <w:keepNext w:val="0"/>
              <w:keepLines w:val="0"/>
              <w:widowControl/>
              <w:suppressLineNumbers w:val="0"/>
              <w:spacing w:line="320" w:lineRule="exact"/>
              <w:ind w:left="-58" w:leftChars="-85" w:right="-151" w:rightChars="-72" w:hanging="120" w:hangingChars="6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10</w:t>
            </w:r>
            <w:r>
              <w:rPr>
                <w:rFonts w:hint="eastAsia" w:ascii="宋体" w:hAnsi="宋体" w:cs="宋体"/>
                <w:b/>
                <w:bCs/>
                <w:i w:val="0"/>
                <w:iCs w:val="0"/>
                <w:color w:val="auto"/>
                <w:kern w:val="0"/>
                <w:sz w:val="20"/>
                <w:szCs w:val="20"/>
                <w:u w:val="none"/>
                <w:lang w:val="en-US" w:eastAsia="zh-CN" w:bidi="ar"/>
              </w:rPr>
              <w:t>9</w:t>
            </w:r>
            <w:r>
              <w:rPr>
                <w:rFonts w:hint="eastAsia" w:ascii="宋体" w:hAnsi="宋体" w:eastAsia="宋体" w:cs="宋体"/>
                <w:b/>
                <w:bCs/>
                <w:i w:val="0"/>
                <w:iCs w:val="0"/>
                <w:color w:val="auto"/>
                <w:kern w:val="0"/>
                <w:sz w:val="20"/>
                <w:szCs w:val="20"/>
                <w:u w:val="none"/>
                <w:lang w:val="en-US" w:eastAsia="zh-CN" w:bidi="ar"/>
              </w:rPr>
              <w:t xml:space="preserve">2014 </w:t>
            </w:r>
          </w:p>
        </w:tc>
        <w:tc>
          <w:tcPr>
            <w:tcW w:w="795" w:type="dxa"/>
            <w:vAlign w:val="center"/>
          </w:tcPr>
          <w:p w14:paraId="3F9A51DE">
            <w:pPr>
              <w:keepNext w:val="0"/>
              <w:keepLines w:val="0"/>
              <w:widowControl/>
              <w:suppressLineNumbers w:val="0"/>
              <w:spacing w:line="320" w:lineRule="exact"/>
              <w:ind w:left="-120" w:leftChars="-57" w:right="-128" w:rightChars="-61" w:firstLine="0" w:firstLineChars="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256264 </w:t>
            </w:r>
          </w:p>
        </w:tc>
        <w:tc>
          <w:tcPr>
            <w:tcW w:w="825" w:type="dxa"/>
            <w:vAlign w:val="center"/>
          </w:tcPr>
          <w:p w14:paraId="1A742646">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320</w:t>
            </w:r>
            <w:r>
              <w:rPr>
                <w:rFonts w:hint="eastAsia" w:ascii="宋体" w:hAnsi="宋体" w:eastAsia="宋体" w:cs="宋体"/>
                <w:b/>
                <w:bCs/>
                <w:i w:val="0"/>
                <w:iCs w:val="0"/>
                <w:color w:val="auto"/>
                <w:kern w:val="0"/>
                <w:sz w:val="20"/>
                <w:szCs w:val="20"/>
                <w:u w:val="none"/>
                <w:lang w:val="en-US" w:eastAsia="zh-CN" w:bidi="ar"/>
              </w:rPr>
              <w:t xml:space="preserve">160 </w:t>
            </w:r>
          </w:p>
        </w:tc>
        <w:tc>
          <w:tcPr>
            <w:tcW w:w="1230" w:type="dxa"/>
            <w:vAlign w:val="center"/>
          </w:tcPr>
          <w:p w14:paraId="65DA1F2A">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0CB5052F">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1035" w:type="dxa"/>
            <w:vAlign w:val="center"/>
          </w:tcPr>
          <w:p w14:paraId="17C730CC">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1050" w:type="dxa"/>
            <w:vAlign w:val="center"/>
          </w:tcPr>
          <w:p w14:paraId="2966C80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05" w:type="dxa"/>
            <w:vAlign w:val="center"/>
          </w:tcPr>
          <w:p w14:paraId="177B6789">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50" w:type="dxa"/>
            <w:vAlign w:val="center"/>
          </w:tcPr>
          <w:p w14:paraId="0F9706B4">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05" w:type="dxa"/>
            <w:vAlign w:val="center"/>
          </w:tcPr>
          <w:p w14:paraId="05C6D269">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1E29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35" w:type="dxa"/>
            <w:vAlign w:val="center"/>
          </w:tcPr>
          <w:p w14:paraId="19BBC60E">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（一）</w:t>
            </w:r>
          </w:p>
        </w:tc>
        <w:tc>
          <w:tcPr>
            <w:tcW w:w="1215" w:type="dxa"/>
            <w:vAlign w:val="center"/>
          </w:tcPr>
          <w:p w14:paraId="765C61BD">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计划新开工项目</w:t>
            </w:r>
          </w:p>
          <w:p w14:paraId="617092E7">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（1</w:t>
            </w:r>
            <w:r>
              <w:rPr>
                <w:rFonts w:hint="eastAsia" w:ascii="宋体" w:hAnsi="宋体" w:cs="宋体"/>
                <w:b/>
                <w:bCs/>
                <w:i w:val="0"/>
                <w:iCs w:val="0"/>
                <w:color w:val="auto"/>
                <w:kern w:val="0"/>
                <w:sz w:val="20"/>
                <w:szCs w:val="20"/>
                <w:u w:val="none"/>
                <w:lang w:val="en-US" w:eastAsia="zh-CN" w:bidi="ar"/>
              </w:rPr>
              <w:t>8</w:t>
            </w:r>
            <w:r>
              <w:rPr>
                <w:rFonts w:hint="eastAsia" w:ascii="宋体" w:hAnsi="宋体" w:eastAsia="宋体" w:cs="宋体"/>
                <w:b/>
                <w:bCs/>
                <w:i w:val="0"/>
                <w:iCs w:val="0"/>
                <w:color w:val="auto"/>
                <w:kern w:val="0"/>
                <w:sz w:val="20"/>
                <w:szCs w:val="20"/>
                <w:u w:val="none"/>
                <w:lang w:val="en-US" w:eastAsia="zh-CN" w:bidi="ar"/>
              </w:rPr>
              <w:t>项）</w:t>
            </w:r>
          </w:p>
        </w:tc>
        <w:tc>
          <w:tcPr>
            <w:tcW w:w="4155" w:type="dxa"/>
            <w:vAlign w:val="center"/>
          </w:tcPr>
          <w:p w14:paraId="4F75DEA3">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585" w:type="dxa"/>
            <w:vAlign w:val="center"/>
          </w:tcPr>
          <w:p w14:paraId="72175A4C">
            <w:pPr>
              <w:widowControl/>
              <w:spacing w:line="320" w:lineRule="exact"/>
              <w:ind w:left="-100" w:leftChars="-57" w:right="-124" w:rightChars="-59" w:hanging="20" w:hangingChars="1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c>
          <w:tcPr>
            <w:tcW w:w="945" w:type="dxa"/>
            <w:vAlign w:val="center"/>
          </w:tcPr>
          <w:p w14:paraId="68D919DB">
            <w:pPr>
              <w:keepNext w:val="0"/>
              <w:keepLines w:val="0"/>
              <w:widowControl/>
              <w:suppressLineNumbers w:val="0"/>
              <w:spacing w:line="320" w:lineRule="exact"/>
              <w:ind w:left="-120" w:leftChars="-57" w:right="-118" w:rightChars="-56" w:firstLine="0" w:firstLineChars="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33</w:t>
            </w:r>
            <w:r>
              <w:rPr>
                <w:rFonts w:hint="eastAsia" w:ascii="宋体" w:hAnsi="宋体" w:eastAsia="宋体" w:cs="宋体"/>
                <w:b/>
                <w:bCs/>
                <w:i w:val="0"/>
                <w:iCs w:val="0"/>
                <w:color w:val="auto"/>
                <w:kern w:val="0"/>
                <w:sz w:val="20"/>
                <w:szCs w:val="20"/>
                <w:u w:val="none"/>
                <w:lang w:val="en-US" w:eastAsia="zh-CN" w:bidi="ar"/>
              </w:rPr>
              <w:t xml:space="preserve">3235 </w:t>
            </w:r>
          </w:p>
        </w:tc>
        <w:tc>
          <w:tcPr>
            <w:tcW w:w="795" w:type="dxa"/>
            <w:vAlign w:val="center"/>
          </w:tcPr>
          <w:p w14:paraId="7A0FD0EB">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0 </w:t>
            </w:r>
          </w:p>
        </w:tc>
        <w:tc>
          <w:tcPr>
            <w:tcW w:w="825" w:type="dxa"/>
            <w:vAlign w:val="center"/>
          </w:tcPr>
          <w:p w14:paraId="5C8544A8">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205</w:t>
            </w:r>
            <w:r>
              <w:rPr>
                <w:rFonts w:hint="eastAsia" w:ascii="宋体" w:hAnsi="宋体" w:eastAsia="宋体" w:cs="宋体"/>
                <w:b/>
                <w:bCs/>
                <w:i w:val="0"/>
                <w:iCs w:val="0"/>
                <w:color w:val="auto"/>
                <w:kern w:val="0"/>
                <w:sz w:val="20"/>
                <w:szCs w:val="20"/>
                <w:u w:val="none"/>
                <w:lang w:val="en-US" w:eastAsia="zh-CN" w:bidi="ar"/>
              </w:rPr>
              <w:t xml:space="preserve">660 </w:t>
            </w:r>
          </w:p>
        </w:tc>
        <w:tc>
          <w:tcPr>
            <w:tcW w:w="1230" w:type="dxa"/>
            <w:vAlign w:val="center"/>
          </w:tcPr>
          <w:p w14:paraId="56B443AA">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61D5300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1035" w:type="dxa"/>
            <w:vAlign w:val="center"/>
          </w:tcPr>
          <w:p w14:paraId="1DEBC48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1050" w:type="dxa"/>
            <w:vAlign w:val="center"/>
          </w:tcPr>
          <w:p w14:paraId="346906B4">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05" w:type="dxa"/>
            <w:vAlign w:val="center"/>
          </w:tcPr>
          <w:p w14:paraId="482A3B02">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50" w:type="dxa"/>
            <w:vAlign w:val="center"/>
          </w:tcPr>
          <w:p w14:paraId="72B1CCCC">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405" w:type="dxa"/>
            <w:vAlign w:val="center"/>
          </w:tcPr>
          <w:p w14:paraId="4C0430D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5E53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735" w:type="dxa"/>
            <w:vAlign w:val="center"/>
          </w:tcPr>
          <w:p w14:paraId="758920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4</w:t>
            </w:r>
          </w:p>
        </w:tc>
        <w:tc>
          <w:tcPr>
            <w:tcW w:w="1215" w:type="dxa"/>
            <w:vAlign w:val="center"/>
          </w:tcPr>
          <w:p w14:paraId="062DC304">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源城区君合新能源100MW/200MWh电化学储能项目</w:t>
            </w:r>
          </w:p>
        </w:tc>
        <w:tc>
          <w:tcPr>
            <w:tcW w:w="4155" w:type="dxa"/>
            <w:vAlign w:val="center"/>
          </w:tcPr>
          <w:p w14:paraId="0A8F8A0E">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spacing w:val="-6"/>
                <w:kern w:val="0"/>
                <w:sz w:val="20"/>
                <w:szCs w:val="20"/>
                <w:u w:val="none"/>
                <w:lang w:bidi="ar"/>
              </w:rPr>
              <w:t>占地面积为27196.46平方米，建筑面积为23856平方米，建设一座规模为100MW/200MWh储能电站</w:t>
            </w:r>
            <w:r>
              <w:rPr>
                <w:rFonts w:hint="eastAsia" w:ascii="宋体" w:hAnsi="宋体" w:cs="宋体"/>
                <w:color w:val="auto"/>
                <w:spacing w:val="-6"/>
                <w:kern w:val="0"/>
                <w:sz w:val="20"/>
                <w:szCs w:val="20"/>
                <w:u w:val="none"/>
                <w:lang w:eastAsia="zh-CN" w:bidi="ar"/>
              </w:rPr>
              <w:t>，</w:t>
            </w:r>
            <w:r>
              <w:rPr>
                <w:rFonts w:hint="eastAsia" w:ascii="宋体" w:hAnsi="宋体" w:cs="宋体"/>
                <w:color w:val="auto"/>
                <w:spacing w:val="-6"/>
                <w:kern w:val="0"/>
                <w:sz w:val="20"/>
                <w:szCs w:val="20"/>
                <w:u w:val="none"/>
                <w:lang w:bidi="ar"/>
              </w:rPr>
              <w:t>包括储能升压站以及相应的220kV配电装置、35kV配电装置、二次设备、通信设备及无功补偿装置等。</w:t>
            </w:r>
          </w:p>
        </w:tc>
        <w:tc>
          <w:tcPr>
            <w:tcW w:w="585" w:type="dxa"/>
            <w:vAlign w:val="center"/>
          </w:tcPr>
          <w:p w14:paraId="3767FBE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47A7F84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44B351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11AFC40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56000</w:t>
            </w:r>
            <w:r>
              <w:rPr>
                <w:rFonts w:hint="eastAsia" w:ascii="宋体" w:hAnsi="宋体" w:eastAsia="宋体" w:cs="宋体"/>
                <w:i w:val="0"/>
                <w:iCs w:val="0"/>
                <w:color w:val="auto"/>
                <w:kern w:val="0"/>
                <w:sz w:val="20"/>
                <w:szCs w:val="20"/>
                <w:u w:val="none"/>
                <w:lang w:val="en-US" w:eastAsia="zh-CN" w:bidi="ar"/>
              </w:rPr>
              <w:t xml:space="preserve"> </w:t>
            </w:r>
          </w:p>
        </w:tc>
        <w:tc>
          <w:tcPr>
            <w:tcW w:w="795" w:type="dxa"/>
            <w:vAlign w:val="center"/>
          </w:tcPr>
          <w:p w14:paraId="2E078CA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6CBF1B6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50000 </w:t>
            </w:r>
          </w:p>
        </w:tc>
        <w:tc>
          <w:tcPr>
            <w:tcW w:w="1230" w:type="dxa"/>
            <w:vAlign w:val="center"/>
          </w:tcPr>
          <w:p w14:paraId="1B11804E">
            <w:pPr>
              <w:keepNext w:val="0"/>
              <w:keepLines w:val="0"/>
              <w:widowControl/>
              <w:suppressLineNumbers w:val="0"/>
              <w:spacing w:line="320" w:lineRule="exact"/>
              <w:ind w:left="-40" w:leftChars="-19"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建设储能电站及配套设施。</w:t>
            </w:r>
          </w:p>
        </w:tc>
        <w:tc>
          <w:tcPr>
            <w:tcW w:w="810" w:type="dxa"/>
            <w:vAlign w:val="center"/>
          </w:tcPr>
          <w:p w14:paraId="1F3094D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2025.09</w:t>
            </w:r>
          </w:p>
        </w:tc>
        <w:tc>
          <w:tcPr>
            <w:tcW w:w="1035" w:type="dxa"/>
            <w:vAlign w:val="center"/>
          </w:tcPr>
          <w:p w14:paraId="04E5C6D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河源市君合新能源有限公司</w:t>
            </w:r>
          </w:p>
        </w:tc>
        <w:tc>
          <w:tcPr>
            <w:tcW w:w="1050" w:type="dxa"/>
            <w:vAlign w:val="center"/>
          </w:tcPr>
          <w:p w14:paraId="4AEAD29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源西街</w:t>
            </w:r>
          </w:p>
          <w:p w14:paraId="5C00A09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道办</w:t>
            </w:r>
          </w:p>
        </w:tc>
        <w:tc>
          <w:tcPr>
            <w:tcW w:w="405" w:type="dxa"/>
            <w:vAlign w:val="center"/>
          </w:tcPr>
          <w:p w14:paraId="005231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097F4E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09BB23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178F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35" w:type="dxa"/>
            <w:vAlign w:val="center"/>
          </w:tcPr>
          <w:p w14:paraId="0498A29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1215" w:type="dxa"/>
            <w:vAlign w:val="center"/>
          </w:tcPr>
          <w:p w14:paraId="3BED5484">
            <w:pPr>
              <w:keepNext w:val="0"/>
              <w:keepLines w:val="0"/>
              <w:widowControl/>
              <w:suppressLineNumbers w:val="0"/>
              <w:spacing w:line="320" w:lineRule="exact"/>
              <w:ind w:left="-39" w:leftChars="-28" w:right="-101" w:rightChars="-48" w:hanging="20" w:hangingChars="1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源城区精电显示器增资扩产项目</w:t>
            </w:r>
          </w:p>
        </w:tc>
        <w:tc>
          <w:tcPr>
            <w:tcW w:w="4155" w:type="dxa"/>
            <w:vAlign w:val="center"/>
          </w:tcPr>
          <w:p w14:paraId="6E9DBD13">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color w:val="auto"/>
                <w:kern w:val="0"/>
                <w:sz w:val="20"/>
                <w:szCs w:val="20"/>
                <w:highlight w:val="none"/>
                <w:u w:val="none"/>
                <w:lang w:bidi="ar"/>
              </w:rPr>
              <w:t>在与公司厂区相邻</w:t>
            </w:r>
            <w:r>
              <w:rPr>
                <w:rFonts w:hint="eastAsia" w:ascii="宋体" w:hAnsi="宋体" w:cs="宋体"/>
                <w:color w:val="auto"/>
                <w:kern w:val="0"/>
                <w:sz w:val="20"/>
                <w:szCs w:val="20"/>
                <w:highlight w:val="none"/>
                <w:u w:val="none"/>
                <w:lang w:eastAsia="zh-CN" w:bidi="ar"/>
              </w:rPr>
              <w:t>的</w:t>
            </w:r>
            <w:r>
              <w:rPr>
                <w:rFonts w:hint="eastAsia" w:ascii="宋体" w:hAnsi="宋体" w:cs="宋体"/>
                <w:color w:val="auto"/>
                <w:kern w:val="0"/>
                <w:sz w:val="20"/>
                <w:szCs w:val="20"/>
                <w:highlight w:val="none"/>
                <w:u w:val="none"/>
                <w:lang w:bidi="ar"/>
              </w:rPr>
              <w:t>1栋厂房及5栋民房进行扩建厂房，占地面积3450</w:t>
            </w:r>
            <w:r>
              <w:rPr>
                <w:rFonts w:hint="eastAsia" w:ascii="宋体" w:hAnsi="宋体" w:cs="宋体"/>
                <w:color w:val="auto"/>
                <w:kern w:val="0"/>
                <w:sz w:val="20"/>
                <w:szCs w:val="20"/>
                <w:highlight w:val="none"/>
                <w:u w:val="none"/>
                <w:lang w:val="en-US" w:eastAsia="zh-CN" w:bidi="ar"/>
              </w:rPr>
              <w:t>平方米</w:t>
            </w:r>
            <w:r>
              <w:rPr>
                <w:rFonts w:hint="eastAsia" w:ascii="宋体" w:hAnsi="宋体" w:cs="宋体"/>
                <w:color w:val="auto"/>
                <w:kern w:val="0"/>
                <w:sz w:val="20"/>
                <w:szCs w:val="20"/>
                <w:highlight w:val="none"/>
                <w:u w:val="none"/>
                <w:lang w:bidi="ar"/>
              </w:rPr>
              <w:t>，建筑面积7000</w:t>
            </w:r>
            <w:r>
              <w:rPr>
                <w:rFonts w:hint="eastAsia" w:ascii="宋体" w:hAnsi="宋体" w:cs="宋体"/>
                <w:color w:val="auto"/>
                <w:kern w:val="0"/>
                <w:sz w:val="20"/>
                <w:szCs w:val="20"/>
                <w:highlight w:val="none"/>
                <w:u w:val="none"/>
                <w:lang w:val="en-US" w:eastAsia="zh-CN" w:bidi="ar"/>
              </w:rPr>
              <w:t>平方米</w:t>
            </w:r>
            <w:r>
              <w:rPr>
                <w:rFonts w:hint="eastAsia" w:ascii="宋体" w:hAnsi="宋体" w:cs="宋体"/>
                <w:color w:val="auto"/>
                <w:kern w:val="0"/>
                <w:sz w:val="20"/>
                <w:szCs w:val="20"/>
                <w:highlight w:val="none"/>
                <w:u w:val="none"/>
                <w:lang w:bidi="ar"/>
              </w:rPr>
              <w:t>。主要用于</w:t>
            </w:r>
            <w:r>
              <w:rPr>
                <w:rFonts w:hint="eastAsia" w:ascii="宋体" w:hAnsi="宋体" w:cs="宋体"/>
                <w:color w:val="auto"/>
                <w:kern w:val="0"/>
                <w:sz w:val="20"/>
                <w:szCs w:val="20"/>
                <w:highlight w:val="none"/>
                <w:u w:val="none"/>
                <w:lang w:val="en-US" w:eastAsia="zh-CN" w:bidi="ar"/>
              </w:rPr>
              <w:t>满足</w:t>
            </w:r>
            <w:r>
              <w:rPr>
                <w:rFonts w:hint="eastAsia" w:ascii="宋体" w:hAnsi="宋体" w:cs="宋体"/>
                <w:color w:val="auto"/>
                <w:kern w:val="0"/>
                <w:sz w:val="20"/>
                <w:szCs w:val="20"/>
                <w:highlight w:val="none"/>
                <w:u w:val="none"/>
                <w:lang w:bidi="ar"/>
              </w:rPr>
              <w:t>新生产线的引进、设备的购置、仓储空间的增加等生产需求。</w:t>
            </w:r>
          </w:p>
        </w:tc>
        <w:tc>
          <w:tcPr>
            <w:tcW w:w="585" w:type="dxa"/>
            <w:vAlign w:val="center"/>
          </w:tcPr>
          <w:p w14:paraId="59A8373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w:t>
            </w:r>
            <w:r>
              <w:rPr>
                <w:rFonts w:hint="eastAsia" w:ascii="宋体" w:hAnsi="宋体" w:cs="宋体"/>
                <w:i w:val="0"/>
                <w:iCs w:val="0"/>
                <w:color w:val="auto"/>
                <w:kern w:val="0"/>
                <w:sz w:val="20"/>
                <w:szCs w:val="20"/>
                <w:highlight w:val="none"/>
                <w:u w:val="none"/>
                <w:lang w:val="en-US" w:eastAsia="zh-CN" w:bidi="ar"/>
              </w:rPr>
              <w:t>5</w:t>
            </w:r>
          </w:p>
          <w:p w14:paraId="32599C6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p w14:paraId="7CA92C4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2027</w:t>
            </w:r>
          </w:p>
        </w:tc>
        <w:tc>
          <w:tcPr>
            <w:tcW w:w="945" w:type="dxa"/>
            <w:vAlign w:val="center"/>
          </w:tcPr>
          <w:p w14:paraId="31D452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50000</w:t>
            </w:r>
          </w:p>
        </w:tc>
        <w:tc>
          <w:tcPr>
            <w:tcW w:w="795" w:type="dxa"/>
            <w:vAlign w:val="center"/>
          </w:tcPr>
          <w:p w14:paraId="1BB9A1C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 xml:space="preserve">0 </w:t>
            </w:r>
          </w:p>
        </w:tc>
        <w:tc>
          <w:tcPr>
            <w:tcW w:w="825" w:type="dxa"/>
            <w:vAlign w:val="center"/>
          </w:tcPr>
          <w:p w14:paraId="1E49567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15000</w:t>
            </w:r>
          </w:p>
        </w:tc>
        <w:tc>
          <w:tcPr>
            <w:tcW w:w="1230" w:type="dxa"/>
            <w:vAlign w:val="center"/>
          </w:tcPr>
          <w:p w14:paraId="2B957473">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建设厂房、仓库。</w:t>
            </w:r>
          </w:p>
        </w:tc>
        <w:tc>
          <w:tcPr>
            <w:tcW w:w="810" w:type="dxa"/>
            <w:vAlign w:val="center"/>
          </w:tcPr>
          <w:p w14:paraId="4AEE0A7C">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2025.09 </w:t>
            </w:r>
          </w:p>
        </w:tc>
        <w:tc>
          <w:tcPr>
            <w:tcW w:w="1035" w:type="dxa"/>
            <w:vAlign w:val="center"/>
          </w:tcPr>
          <w:p w14:paraId="6D841B13">
            <w:pPr>
              <w:keepNext w:val="0"/>
              <w:keepLines w:val="0"/>
              <w:widowControl/>
              <w:suppressLineNumbers w:val="0"/>
              <w:tabs>
                <w:tab w:val="left" w:pos="420"/>
              </w:tabs>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精电</w:t>
            </w:r>
            <w:r>
              <w:rPr>
                <w:rFonts w:hint="eastAsia" w:ascii="宋体" w:hAnsi="宋体" w:eastAsia="宋体" w:cs="宋体"/>
                <w:i w:val="0"/>
                <w:iCs w:val="0"/>
                <w:color w:val="auto"/>
                <w:spacing w:val="0"/>
                <w:kern w:val="0"/>
                <w:sz w:val="20"/>
                <w:szCs w:val="20"/>
                <w:highlight w:val="none"/>
                <w:u w:val="none"/>
                <w:lang w:val="en-US" w:eastAsia="zh-CN" w:bidi="ar"/>
              </w:rPr>
              <w:t>（河源）</w:t>
            </w:r>
            <w:r>
              <w:rPr>
                <w:rFonts w:hint="eastAsia" w:ascii="宋体" w:hAnsi="宋体" w:eastAsia="宋体" w:cs="宋体"/>
                <w:i w:val="0"/>
                <w:iCs w:val="0"/>
                <w:color w:val="auto"/>
                <w:kern w:val="0"/>
                <w:sz w:val="20"/>
                <w:szCs w:val="20"/>
                <w:highlight w:val="none"/>
                <w:u w:val="none"/>
                <w:lang w:val="en-US" w:eastAsia="zh-CN" w:bidi="ar"/>
              </w:rPr>
              <w:t>显示技术有限公司</w:t>
            </w:r>
          </w:p>
        </w:tc>
        <w:tc>
          <w:tcPr>
            <w:tcW w:w="1050" w:type="dxa"/>
            <w:vAlign w:val="center"/>
          </w:tcPr>
          <w:p w14:paraId="24604FA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源南镇</w:t>
            </w:r>
          </w:p>
          <w:p w14:paraId="26D6FC9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政府</w:t>
            </w:r>
          </w:p>
        </w:tc>
        <w:tc>
          <w:tcPr>
            <w:tcW w:w="405" w:type="dxa"/>
            <w:vAlign w:val="center"/>
          </w:tcPr>
          <w:p w14:paraId="7DC6A59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民间投资</w:t>
            </w:r>
          </w:p>
        </w:tc>
        <w:tc>
          <w:tcPr>
            <w:tcW w:w="450" w:type="dxa"/>
            <w:vAlign w:val="center"/>
          </w:tcPr>
          <w:p w14:paraId="319F4A1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市</w:t>
            </w:r>
            <w:r>
              <w:rPr>
                <w:rFonts w:hint="eastAsia" w:ascii="宋体" w:hAnsi="宋体" w:eastAsia="宋体" w:cs="宋体"/>
                <w:i w:val="0"/>
                <w:iCs w:val="0"/>
                <w:color w:val="auto"/>
                <w:kern w:val="0"/>
                <w:sz w:val="20"/>
                <w:szCs w:val="20"/>
                <w:highlight w:val="none"/>
                <w:u w:val="none"/>
                <w:lang w:val="en-US" w:eastAsia="zh-CN" w:bidi="ar"/>
              </w:rPr>
              <w:t>重点项目</w:t>
            </w:r>
          </w:p>
        </w:tc>
        <w:tc>
          <w:tcPr>
            <w:tcW w:w="405" w:type="dxa"/>
            <w:vAlign w:val="center"/>
          </w:tcPr>
          <w:p w14:paraId="58CF0A5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工业项目</w:t>
            </w:r>
          </w:p>
        </w:tc>
      </w:tr>
      <w:tr w14:paraId="2339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35" w:type="dxa"/>
            <w:vAlign w:val="center"/>
          </w:tcPr>
          <w:p w14:paraId="20662A6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w:t>
            </w:r>
          </w:p>
        </w:tc>
        <w:tc>
          <w:tcPr>
            <w:tcW w:w="1215" w:type="dxa"/>
            <w:vAlign w:val="center"/>
          </w:tcPr>
          <w:p w14:paraId="26E3CDB0">
            <w:pPr>
              <w:keepNext w:val="0"/>
              <w:keepLines w:val="0"/>
              <w:widowControl/>
              <w:suppressLineNumbers w:val="0"/>
              <w:spacing w:line="320" w:lineRule="exact"/>
              <w:ind w:left="-20" w:leftChars="-19" w:right="-101" w:rightChars="-4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源城区市政公共资源有偿使用建设项目</w:t>
            </w:r>
          </w:p>
        </w:tc>
        <w:tc>
          <w:tcPr>
            <w:tcW w:w="4155" w:type="dxa"/>
            <w:vAlign w:val="center"/>
          </w:tcPr>
          <w:p w14:paraId="226752AC">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在东至东江，北至东源（永盛路、永源路），南至迎客大桥，西至长深高速的区域范围内，建设停车泊位约12086个（一期涉及停车位8994个，二期涉及停车场3092个），充电桩691个。</w:t>
            </w:r>
          </w:p>
        </w:tc>
        <w:tc>
          <w:tcPr>
            <w:tcW w:w="585" w:type="dxa"/>
            <w:vAlign w:val="center"/>
          </w:tcPr>
          <w:p w14:paraId="57A82DD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1A1870E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190F275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945" w:type="dxa"/>
            <w:vAlign w:val="center"/>
          </w:tcPr>
          <w:p w14:paraId="23F080A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48040 </w:t>
            </w:r>
          </w:p>
        </w:tc>
        <w:tc>
          <w:tcPr>
            <w:tcW w:w="795" w:type="dxa"/>
            <w:vAlign w:val="center"/>
          </w:tcPr>
          <w:p w14:paraId="3F0384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495D3F2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1230" w:type="dxa"/>
            <w:vAlign w:val="center"/>
          </w:tcPr>
          <w:p w14:paraId="65717B19">
            <w:pPr>
              <w:keepNext w:val="0"/>
              <w:keepLines w:val="0"/>
              <w:widowControl/>
              <w:suppressLineNumbers w:val="0"/>
              <w:spacing w:line="320" w:lineRule="exact"/>
              <w:ind w:left="-100" w:leftChars="-57" w:right="-101" w:rightChars="-4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规划城市道路停车泊位，整合商业中心、市场周边、公园广场停车资源和充电配套设备</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B4B55BF">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1035" w:type="dxa"/>
            <w:vAlign w:val="center"/>
          </w:tcPr>
          <w:p w14:paraId="7888261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区城管综合执法局</w:t>
            </w:r>
          </w:p>
        </w:tc>
        <w:tc>
          <w:tcPr>
            <w:tcW w:w="1050" w:type="dxa"/>
            <w:vAlign w:val="center"/>
          </w:tcPr>
          <w:p w14:paraId="40B1A2A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区城管综合执法局</w:t>
            </w:r>
          </w:p>
        </w:tc>
        <w:tc>
          <w:tcPr>
            <w:tcW w:w="405" w:type="dxa"/>
            <w:vAlign w:val="center"/>
          </w:tcPr>
          <w:p w14:paraId="4EF82EF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450" w:type="dxa"/>
            <w:vAlign w:val="center"/>
          </w:tcPr>
          <w:p w14:paraId="281F0D8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74E96D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3147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3C903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w:t>
            </w:r>
          </w:p>
        </w:tc>
        <w:tc>
          <w:tcPr>
            <w:tcW w:w="1215" w:type="dxa"/>
            <w:vAlign w:val="center"/>
          </w:tcPr>
          <w:p w14:paraId="4B53D49E">
            <w:pPr>
              <w:keepNext w:val="0"/>
              <w:keepLines w:val="0"/>
              <w:widowControl/>
              <w:suppressLineNumbers w:val="0"/>
              <w:spacing w:line="320" w:lineRule="exact"/>
              <w:ind w:left="-20" w:leftChars="-19" w:right="-80" w:rightChars="-3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源城区乡村振兴示范带连线成片建设项目</w:t>
            </w:r>
          </w:p>
        </w:tc>
        <w:tc>
          <w:tcPr>
            <w:tcW w:w="4155" w:type="dxa"/>
            <w:vAlign w:val="center"/>
          </w:tcPr>
          <w:p w14:paraId="7857AF62">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在埔前镇上村村、高围村、陂角村等6个行政村连线成片建设乡村振兴示范带</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共13个子项目，其中涉及乡村建设项目4个、涉及产业发展和乡村运营项目9个。</w:t>
            </w:r>
          </w:p>
        </w:tc>
        <w:tc>
          <w:tcPr>
            <w:tcW w:w="585" w:type="dxa"/>
            <w:vAlign w:val="center"/>
          </w:tcPr>
          <w:p w14:paraId="6E13E2E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6BD4C4C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93BEE0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945" w:type="dxa"/>
            <w:vAlign w:val="center"/>
          </w:tcPr>
          <w:p w14:paraId="629D26B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13765 </w:t>
            </w:r>
          </w:p>
        </w:tc>
        <w:tc>
          <w:tcPr>
            <w:tcW w:w="795" w:type="dxa"/>
            <w:vAlign w:val="center"/>
          </w:tcPr>
          <w:p w14:paraId="03A6EDF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438DFC2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6500 </w:t>
            </w:r>
          </w:p>
        </w:tc>
        <w:tc>
          <w:tcPr>
            <w:tcW w:w="1230" w:type="dxa"/>
            <w:vAlign w:val="center"/>
          </w:tcPr>
          <w:p w14:paraId="275DD43B">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完善农村基础设施</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7CC27FF">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1035" w:type="dxa"/>
            <w:vAlign w:val="center"/>
          </w:tcPr>
          <w:p w14:paraId="7E402C3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2A9BEE0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1050" w:type="dxa"/>
            <w:vAlign w:val="center"/>
          </w:tcPr>
          <w:p w14:paraId="1C71B08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7FC677B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405" w:type="dxa"/>
            <w:vAlign w:val="center"/>
          </w:tcPr>
          <w:p w14:paraId="2AF84CB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450" w:type="dxa"/>
            <w:vAlign w:val="center"/>
          </w:tcPr>
          <w:p w14:paraId="643D043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5770456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4182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CD1AC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w:t>
            </w:r>
          </w:p>
        </w:tc>
        <w:tc>
          <w:tcPr>
            <w:tcW w:w="1215" w:type="dxa"/>
            <w:vAlign w:val="center"/>
          </w:tcPr>
          <w:p w14:paraId="3DB4801B">
            <w:pPr>
              <w:keepNext w:val="0"/>
              <w:keepLines w:val="0"/>
              <w:widowControl/>
              <w:suppressLineNumbers w:val="0"/>
              <w:spacing w:line="320" w:lineRule="exact"/>
              <w:ind w:left="-20" w:leftChars="-19" w:right="-101" w:rightChars="-48"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省道S514线源城区源南至新港段路面改造工程</w:t>
            </w:r>
          </w:p>
        </w:tc>
        <w:tc>
          <w:tcPr>
            <w:tcW w:w="4155" w:type="dxa"/>
            <w:vAlign w:val="center"/>
          </w:tcPr>
          <w:p w14:paraId="472B8CC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省道S514线源城区源南至新港段路面改造工程起于江东新区与东环路相交处(起点桩号K0+000)</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沿建设大道往西至河源大道(国道G205线)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向北沿河源大道至万绿湖大道入口，再向西沿整条万绿湖大道，终点新港镇(终点桩号K11+060)</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全长11.06公里，设计速度60公里/小时。</w:t>
            </w:r>
          </w:p>
        </w:tc>
        <w:tc>
          <w:tcPr>
            <w:tcW w:w="585" w:type="dxa"/>
            <w:vAlign w:val="center"/>
          </w:tcPr>
          <w:p w14:paraId="2D27C26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7414488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A15056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713C1E9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5270 </w:t>
            </w:r>
          </w:p>
        </w:tc>
        <w:tc>
          <w:tcPr>
            <w:tcW w:w="795" w:type="dxa"/>
            <w:vAlign w:val="center"/>
          </w:tcPr>
          <w:p w14:paraId="4457286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17BBEEF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4000 </w:t>
            </w:r>
          </w:p>
        </w:tc>
        <w:tc>
          <w:tcPr>
            <w:tcW w:w="1230" w:type="dxa"/>
            <w:vAlign w:val="center"/>
          </w:tcPr>
          <w:p w14:paraId="3054D9C5">
            <w:pPr>
              <w:keepNext w:val="0"/>
              <w:keepLines w:val="0"/>
              <w:widowControl/>
              <w:suppressLineNumbers w:val="0"/>
              <w:spacing w:line="320" w:lineRule="exact"/>
              <w:ind w:left="-80" w:leftChars="-3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省道S514线源城区源南至新港段路面改造</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BC8665F">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2025.03</w:t>
            </w:r>
          </w:p>
        </w:tc>
        <w:tc>
          <w:tcPr>
            <w:tcW w:w="1035" w:type="dxa"/>
            <w:vAlign w:val="center"/>
          </w:tcPr>
          <w:p w14:paraId="137E151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区公路事务中心</w:t>
            </w:r>
          </w:p>
        </w:tc>
        <w:tc>
          <w:tcPr>
            <w:tcW w:w="1050" w:type="dxa"/>
            <w:vAlign w:val="center"/>
          </w:tcPr>
          <w:p w14:paraId="740756D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区公路事务中心</w:t>
            </w:r>
          </w:p>
        </w:tc>
        <w:tc>
          <w:tcPr>
            <w:tcW w:w="405" w:type="dxa"/>
            <w:vAlign w:val="center"/>
          </w:tcPr>
          <w:p w14:paraId="3383736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450" w:type="dxa"/>
            <w:vAlign w:val="center"/>
          </w:tcPr>
          <w:p w14:paraId="006FAC5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775738F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交通运输工程</w:t>
            </w:r>
          </w:p>
        </w:tc>
      </w:tr>
      <w:tr w14:paraId="2CF4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6A3E4F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w:t>
            </w:r>
          </w:p>
        </w:tc>
        <w:tc>
          <w:tcPr>
            <w:tcW w:w="1215" w:type="dxa"/>
            <w:vAlign w:val="center"/>
          </w:tcPr>
          <w:p w14:paraId="44B0ADA0">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源城区国能能源发展有限公司18MW分布式光伏发电项目</w:t>
            </w:r>
          </w:p>
        </w:tc>
        <w:tc>
          <w:tcPr>
            <w:tcW w:w="4155" w:type="dxa"/>
            <w:vAlign w:val="center"/>
          </w:tcPr>
          <w:p w14:paraId="6516145C">
            <w:pPr>
              <w:keepNext w:val="0"/>
              <w:keepLines w:val="0"/>
              <w:widowControl/>
              <w:suppressLineNumbers w:val="0"/>
              <w:spacing w:line="240" w:lineRule="auto"/>
              <w:jc w:val="left"/>
              <w:textAlignment w:val="auto"/>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拟在源城区各镇</w:t>
            </w:r>
            <w:r>
              <w:rPr>
                <w:rFonts w:hint="eastAsia" w:ascii="宋体" w:hAnsi="宋体" w:cs="宋体"/>
                <w:i w:val="0"/>
                <w:iCs w:val="0"/>
                <w:color w:val="auto"/>
                <w:kern w:val="0"/>
                <w:sz w:val="20"/>
                <w:szCs w:val="20"/>
                <w:u w:val="none"/>
                <w:lang w:val="en-US" w:eastAsia="zh-CN" w:bidi="ar"/>
              </w:rPr>
              <w:t>（街道）</w:t>
            </w:r>
            <w:r>
              <w:rPr>
                <w:rFonts w:hint="eastAsia" w:ascii="宋体" w:hAnsi="宋体" w:eastAsia="宋体" w:cs="宋体"/>
                <w:i w:val="0"/>
                <w:iCs w:val="0"/>
                <w:color w:val="auto"/>
                <w:kern w:val="0"/>
                <w:sz w:val="20"/>
                <w:szCs w:val="20"/>
                <w:u w:val="none"/>
                <w:lang w:val="en-US" w:eastAsia="zh-CN" w:bidi="ar"/>
              </w:rPr>
              <w:t>居民屋顶建设装机容量18MW光伏发电站，占用土地面积180000平方米，建设面积180000平方米，采用光伏组件、逆变器等配件，以全额上网模式开发，预计年发电量1900万千瓦时。</w:t>
            </w:r>
          </w:p>
        </w:tc>
        <w:tc>
          <w:tcPr>
            <w:tcW w:w="585" w:type="dxa"/>
            <w:vAlign w:val="center"/>
          </w:tcPr>
          <w:p w14:paraId="7569290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2025 </w:t>
            </w:r>
          </w:p>
        </w:tc>
        <w:tc>
          <w:tcPr>
            <w:tcW w:w="945" w:type="dxa"/>
            <w:vAlign w:val="center"/>
          </w:tcPr>
          <w:p w14:paraId="07ECEB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8500 </w:t>
            </w:r>
          </w:p>
        </w:tc>
        <w:tc>
          <w:tcPr>
            <w:tcW w:w="795" w:type="dxa"/>
            <w:vAlign w:val="center"/>
          </w:tcPr>
          <w:p w14:paraId="0DA6F27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42598EF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8500 </w:t>
            </w:r>
          </w:p>
        </w:tc>
        <w:tc>
          <w:tcPr>
            <w:tcW w:w="1230" w:type="dxa"/>
            <w:vAlign w:val="center"/>
          </w:tcPr>
          <w:p w14:paraId="76317BE6">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在源城区各镇</w:t>
            </w:r>
            <w:r>
              <w:rPr>
                <w:rFonts w:hint="eastAsia" w:ascii="宋体" w:hAnsi="宋体" w:cs="宋体"/>
                <w:i w:val="0"/>
                <w:iCs w:val="0"/>
                <w:color w:val="auto"/>
                <w:kern w:val="0"/>
                <w:sz w:val="20"/>
                <w:szCs w:val="20"/>
                <w:u w:val="none"/>
                <w:lang w:val="en-US" w:eastAsia="zh-CN" w:bidi="ar"/>
              </w:rPr>
              <w:t>（街道）</w:t>
            </w:r>
            <w:r>
              <w:rPr>
                <w:rFonts w:hint="eastAsia" w:ascii="宋体" w:hAnsi="宋体" w:eastAsia="宋体" w:cs="宋体"/>
                <w:i w:val="0"/>
                <w:iCs w:val="0"/>
                <w:color w:val="auto"/>
                <w:kern w:val="0"/>
                <w:sz w:val="20"/>
                <w:szCs w:val="20"/>
                <w:u w:val="none"/>
                <w:lang w:val="en-US" w:eastAsia="zh-CN" w:bidi="ar"/>
              </w:rPr>
              <w:t>居民屋顶建设装机容量18MW光伏发电站</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9E717B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2025.01</w:t>
            </w:r>
          </w:p>
        </w:tc>
        <w:tc>
          <w:tcPr>
            <w:tcW w:w="1035" w:type="dxa"/>
            <w:vAlign w:val="center"/>
          </w:tcPr>
          <w:p w14:paraId="0CE10B7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国能（广东）能源发展有限公司</w:t>
            </w:r>
          </w:p>
          <w:p w14:paraId="389906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河源市源城区分公司</w:t>
            </w:r>
          </w:p>
        </w:tc>
        <w:tc>
          <w:tcPr>
            <w:tcW w:w="1050" w:type="dxa"/>
            <w:vAlign w:val="center"/>
          </w:tcPr>
          <w:p w14:paraId="0D28444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高埔岗街道办</w:t>
            </w:r>
          </w:p>
        </w:tc>
        <w:tc>
          <w:tcPr>
            <w:tcW w:w="405" w:type="dxa"/>
            <w:vAlign w:val="center"/>
          </w:tcPr>
          <w:p w14:paraId="5870204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450" w:type="dxa"/>
            <w:vAlign w:val="center"/>
          </w:tcPr>
          <w:p w14:paraId="70A1956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5608E30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54F5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735" w:type="dxa"/>
            <w:vAlign w:val="center"/>
          </w:tcPr>
          <w:p w14:paraId="5597046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w:t>
            </w:r>
          </w:p>
        </w:tc>
        <w:tc>
          <w:tcPr>
            <w:tcW w:w="1215" w:type="dxa"/>
            <w:vAlign w:val="center"/>
          </w:tcPr>
          <w:p w14:paraId="35F9F8A3">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源城区项熙新能源发展有限公司20MW分布式光伏发电项目</w:t>
            </w:r>
          </w:p>
        </w:tc>
        <w:tc>
          <w:tcPr>
            <w:tcW w:w="4155" w:type="dxa"/>
            <w:vAlign w:val="center"/>
          </w:tcPr>
          <w:p w14:paraId="3078AC49">
            <w:pPr>
              <w:keepNext w:val="0"/>
              <w:keepLines w:val="0"/>
              <w:widowControl/>
              <w:suppressLineNumbers w:val="0"/>
              <w:spacing w:line="320" w:lineRule="exact"/>
              <w:ind w:right="-92" w:rightChars="-4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拟在源城区各镇</w:t>
            </w:r>
            <w:r>
              <w:rPr>
                <w:rFonts w:hint="eastAsia" w:ascii="宋体" w:hAnsi="宋体" w:cs="宋体"/>
                <w:i w:val="0"/>
                <w:iCs w:val="0"/>
                <w:color w:val="auto"/>
                <w:kern w:val="0"/>
                <w:sz w:val="20"/>
                <w:szCs w:val="20"/>
                <w:u w:val="none"/>
                <w:lang w:val="en-US" w:eastAsia="zh-CN" w:bidi="ar"/>
              </w:rPr>
              <w:t>（街道）</w:t>
            </w:r>
            <w:r>
              <w:rPr>
                <w:rFonts w:hint="eastAsia" w:ascii="宋体" w:hAnsi="宋体" w:eastAsia="宋体" w:cs="宋体"/>
                <w:i w:val="0"/>
                <w:iCs w:val="0"/>
                <w:color w:val="auto"/>
                <w:kern w:val="0"/>
                <w:sz w:val="20"/>
                <w:szCs w:val="20"/>
                <w:u w:val="none"/>
                <w:lang w:val="en-US" w:eastAsia="zh-CN" w:bidi="ar"/>
              </w:rPr>
              <w:t>居民屋顶建设装机容量20MW光伏发电站，占用土地面积91120平方米，建设面积91120平方米，采用光伏组件、逆变器等配件，以全额上网模式开发，预计年发电量2336万千瓦时。</w:t>
            </w:r>
          </w:p>
        </w:tc>
        <w:tc>
          <w:tcPr>
            <w:tcW w:w="585" w:type="dxa"/>
            <w:vAlign w:val="center"/>
          </w:tcPr>
          <w:p w14:paraId="2B8BA23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2025 </w:t>
            </w:r>
          </w:p>
        </w:tc>
        <w:tc>
          <w:tcPr>
            <w:tcW w:w="945" w:type="dxa"/>
            <w:vAlign w:val="center"/>
          </w:tcPr>
          <w:p w14:paraId="5A0BD72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9000 </w:t>
            </w:r>
          </w:p>
        </w:tc>
        <w:tc>
          <w:tcPr>
            <w:tcW w:w="795" w:type="dxa"/>
            <w:vAlign w:val="center"/>
          </w:tcPr>
          <w:p w14:paraId="3061013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554094A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9000 </w:t>
            </w:r>
          </w:p>
        </w:tc>
        <w:tc>
          <w:tcPr>
            <w:tcW w:w="1230" w:type="dxa"/>
            <w:vAlign w:val="center"/>
          </w:tcPr>
          <w:p w14:paraId="4FEDC66C">
            <w:pPr>
              <w:keepNext w:val="0"/>
              <w:keepLines w:val="0"/>
              <w:widowControl/>
              <w:suppressLineNumbers w:val="0"/>
              <w:spacing w:line="320" w:lineRule="exact"/>
              <w:ind w:left="-59" w:leftChars="-28" w:right="-82" w:rightChars="-3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在源城区各镇</w:t>
            </w:r>
            <w:r>
              <w:rPr>
                <w:rFonts w:hint="eastAsia" w:ascii="宋体" w:hAnsi="宋体" w:cs="宋体"/>
                <w:i w:val="0"/>
                <w:iCs w:val="0"/>
                <w:color w:val="auto"/>
                <w:kern w:val="0"/>
                <w:sz w:val="20"/>
                <w:szCs w:val="20"/>
                <w:u w:val="none"/>
                <w:lang w:val="en-US" w:eastAsia="zh-CN" w:bidi="ar"/>
              </w:rPr>
              <w:t>（街道）</w:t>
            </w:r>
            <w:r>
              <w:rPr>
                <w:rFonts w:hint="eastAsia" w:ascii="宋体" w:hAnsi="宋体" w:eastAsia="宋体" w:cs="宋体"/>
                <w:i w:val="0"/>
                <w:iCs w:val="0"/>
                <w:color w:val="auto"/>
                <w:kern w:val="0"/>
                <w:sz w:val="20"/>
                <w:szCs w:val="20"/>
                <w:u w:val="none"/>
                <w:lang w:val="en-US" w:eastAsia="zh-CN" w:bidi="ar"/>
              </w:rPr>
              <w:t>居民屋顶建设装机容量20MW光伏发电站</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2CB4EC3">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2025.03</w:t>
            </w:r>
          </w:p>
        </w:tc>
        <w:tc>
          <w:tcPr>
            <w:tcW w:w="1035" w:type="dxa"/>
            <w:vAlign w:val="center"/>
          </w:tcPr>
          <w:p w14:paraId="1C42F44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河源项熙新能源发展有限公司</w:t>
            </w:r>
          </w:p>
        </w:tc>
        <w:tc>
          <w:tcPr>
            <w:tcW w:w="1050" w:type="dxa"/>
            <w:vAlign w:val="center"/>
          </w:tcPr>
          <w:p w14:paraId="3BA1412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新江街</w:t>
            </w:r>
          </w:p>
          <w:p w14:paraId="4B0C49F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道办</w:t>
            </w:r>
          </w:p>
        </w:tc>
        <w:tc>
          <w:tcPr>
            <w:tcW w:w="405" w:type="dxa"/>
            <w:vAlign w:val="center"/>
          </w:tcPr>
          <w:p w14:paraId="5F7575D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312CBE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1B08F41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2A0C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735" w:type="dxa"/>
            <w:vAlign w:val="center"/>
          </w:tcPr>
          <w:p w14:paraId="57DB225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11</w:t>
            </w:r>
          </w:p>
        </w:tc>
        <w:tc>
          <w:tcPr>
            <w:tcW w:w="1215" w:type="dxa"/>
            <w:vAlign w:val="center"/>
          </w:tcPr>
          <w:p w14:paraId="17833286">
            <w:pPr>
              <w:keepNext w:val="0"/>
              <w:keepLines w:val="0"/>
              <w:widowControl/>
              <w:suppressLineNumbers w:val="0"/>
              <w:spacing w:line="32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源城区政府控制屋顶光伏资源项目</w:t>
            </w:r>
          </w:p>
        </w:tc>
        <w:tc>
          <w:tcPr>
            <w:tcW w:w="4155" w:type="dxa"/>
            <w:vAlign w:val="center"/>
          </w:tcPr>
          <w:p w14:paraId="03D01621">
            <w:pPr>
              <w:keepNext w:val="0"/>
              <w:keepLines w:val="0"/>
              <w:widowControl/>
              <w:suppressLineNumbers w:val="0"/>
              <w:spacing w:line="320" w:lineRule="exact"/>
              <w:ind w:left="-40" w:leftChars="-19" w:right="-111" w:rightChars="-53"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拟利用源城区政府有偿使用范围</w:t>
            </w:r>
            <w:r>
              <w:rPr>
                <w:rFonts w:hint="eastAsia" w:ascii="宋体" w:hAnsi="宋体" w:cs="宋体"/>
                <w:i w:val="0"/>
                <w:iCs w:val="0"/>
                <w:color w:val="auto"/>
                <w:kern w:val="0"/>
                <w:sz w:val="20"/>
                <w:szCs w:val="20"/>
                <w:u w:val="none"/>
                <w:lang w:val="en-US" w:eastAsia="zh-CN" w:bidi="ar"/>
              </w:rPr>
              <w:t>内</w:t>
            </w:r>
            <w:r>
              <w:rPr>
                <w:rFonts w:hint="eastAsia" w:ascii="宋体" w:hAnsi="宋体" w:eastAsia="宋体" w:cs="宋体"/>
                <w:i w:val="0"/>
                <w:iCs w:val="0"/>
                <w:color w:val="auto"/>
                <w:kern w:val="0"/>
                <w:sz w:val="20"/>
                <w:szCs w:val="20"/>
                <w:u w:val="none"/>
                <w:lang w:val="en-US" w:eastAsia="zh-CN" w:bidi="ar"/>
              </w:rPr>
              <w:t>的存量屋顶布设屋顶光伏，建设分布式光伏电站，包括支架工程、光伏组件、逆变器、变电设备、基础工程等内容及防护、监控、维护等配套设施。总装机容量42072.38千瓦，标准发电量暂估算为4917.21万千瓦时/年。</w:t>
            </w:r>
          </w:p>
        </w:tc>
        <w:tc>
          <w:tcPr>
            <w:tcW w:w="585" w:type="dxa"/>
            <w:vAlign w:val="center"/>
          </w:tcPr>
          <w:p w14:paraId="2F320E6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76C15C1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3BA4C9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6393403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30000 </w:t>
            </w:r>
          </w:p>
        </w:tc>
        <w:tc>
          <w:tcPr>
            <w:tcW w:w="795" w:type="dxa"/>
            <w:vAlign w:val="center"/>
          </w:tcPr>
          <w:p w14:paraId="0F1B4E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77E875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23000 </w:t>
            </w:r>
          </w:p>
        </w:tc>
        <w:tc>
          <w:tcPr>
            <w:tcW w:w="1230" w:type="dxa"/>
            <w:vAlign w:val="center"/>
          </w:tcPr>
          <w:p w14:paraId="03DF5DD1">
            <w:pPr>
              <w:keepNext w:val="0"/>
              <w:keepLines w:val="0"/>
              <w:widowControl/>
              <w:suppressLineNumbers w:val="0"/>
              <w:spacing w:line="320" w:lineRule="exact"/>
              <w:ind w:left="-59" w:leftChars="-28" w:right="-82" w:rightChars="-3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利用源城区政府有偿使用范围</w:t>
            </w:r>
            <w:r>
              <w:rPr>
                <w:rFonts w:hint="eastAsia" w:ascii="宋体" w:hAnsi="宋体" w:cs="宋体"/>
                <w:i w:val="0"/>
                <w:iCs w:val="0"/>
                <w:color w:val="auto"/>
                <w:kern w:val="0"/>
                <w:sz w:val="20"/>
                <w:szCs w:val="20"/>
                <w:u w:val="none"/>
                <w:lang w:val="en-US" w:eastAsia="zh-CN" w:bidi="ar"/>
              </w:rPr>
              <w:t>内</w:t>
            </w:r>
            <w:r>
              <w:rPr>
                <w:rFonts w:hint="eastAsia" w:ascii="宋体" w:hAnsi="宋体" w:eastAsia="宋体" w:cs="宋体"/>
                <w:i w:val="0"/>
                <w:iCs w:val="0"/>
                <w:color w:val="auto"/>
                <w:kern w:val="0"/>
                <w:sz w:val="20"/>
                <w:szCs w:val="20"/>
                <w:u w:val="none"/>
                <w:lang w:val="en-US" w:eastAsia="zh-CN" w:bidi="ar"/>
              </w:rPr>
              <w:t>的存量屋顶布设屋顶建设分布式光伏发电项目。</w:t>
            </w:r>
          </w:p>
        </w:tc>
        <w:tc>
          <w:tcPr>
            <w:tcW w:w="810" w:type="dxa"/>
            <w:vAlign w:val="center"/>
          </w:tcPr>
          <w:p w14:paraId="3CA42C93">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2025.03</w:t>
            </w:r>
          </w:p>
        </w:tc>
        <w:tc>
          <w:tcPr>
            <w:tcW w:w="1035" w:type="dxa"/>
            <w:vAlign w:val="center"/>
          </w:tcPr>
          <w:p w14:paraId="3F5FD08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河源市源电能源投资有限公司</w:t>
            </w:r>
          </w:p>
        </w:tc>
        <w:tc>
          <w:tcPr>
            <w:tcW w:w="1050" w:type="dxa"/>
            <w:vAlign w:val="center"/>
          </w:tcPr>
          <w:p w14:paraId="395C4DE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区国资事务中心</w:t>
            </w:r>
          </w:p>
        </w:tc>
        <w:tc>
          <w:tcPr>
            <w:tcW w:w="405" w:type="dxa"/>
            <w:vAlign w:val="center"/>
          </w:tcPr>
          <w:p w14:paraId="76E9B5B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450" w:type="dxa"/>
            <w:vAlign w:val="center"/>
          </w:tcPr>
          <w:p w14:paraId="6D1AEA5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0527FA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40A5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735" w:type="dxa"/>
            <w:vAlign w:val="center"/>
          </w:tcPr>
          <w:p w14:paraId="6038DC9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12</w:t>
            </w:r>
          </w:p>
        </w:tc>
        <w:tc>
          <w:tcPr>
            <w:tcW w:w="1215" w:type="dxa"/>
            <w:vAlign w:val="center"/>
          </w:tcPr>
          <w:p w14:paraId="0D395708">
            <w:pPr>
              <w:keepNext w:val="0"/>
              <w:keepLines w:val="0"/>
              <w:widowControl/>
              <w:suppressLineNumbers w:val="0"/>
              <w:spacing w:line="320" w:lineRule="exact"/>
              <w:ind w:left="-40" w:leftChars="-19" w:right="-120" w:rightChars="-57"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源城区锦鹏科技二期建设项目</w:t>
            </w:r>
          </w:p>
        </w:tc>
        <w:tc>
          <w:tcPr>
            <w:tcW w:w="4155" w:type="dxa"/>
            <w:vAlign w:val="center"/>
          </w:tcPr>
          <w:p w14:paraId="4E7D1D5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w:t>
            </w:r>
            <w:r>
              <w:rPr>
                <w:rFonts w:hint="eastAsia" w:ascii="宋体" w:hAnsi="宋体" w:cs="宋体"/>
                <w:color w:val="auto"/>
                <w:kern w:val="0"/>
                <w:sz w:val="20"/>
                <w:szCs w:val="20"/>
                <w:u w:val="none"/>
                <w:lang w:bidi="ar"/>
              </w:rPr>
              <w:t>44666.67平方米</w:t>
            </w:r>
            <w:r>
              <w:rPr>
                <w:rFonts w:hint="eastAsia" w:ascii="宋体" w:hAnsi="宋体" w:eastAsia="宋体" w:cs="宋体"/>
                <w:i w:val="0"/>
                <w:iCs w:val="0"/>
                <w:color w:val="auto"/>
                <w:kern w:val="0"/>
                <w:sz w:val="20"/>
                <w:szCs w:val="20"/>
                <w:u w:val="none"/>
                <w:lang w:val="en-US" w:eastAsia="zh-CN" w:bidi="ar"/>
              </w:rPr>
              <w:t>，新建厂房、宿舍、办公楼。</w:t>
            </w:r>
          </w:p>
        </w:tc>
        <w:tc>
          <w:tcPr>
            <w:tcW w:w="585" w:type="dxa"/>
            <w:vAlign w:val="center"/>
          </w:tcPr>
          <w:p w14:paraId="7EF16B1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2CCC18A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67983C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71E872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795" w:type="dxa"/>
            <w:vAlign w:val="center"/>
          </w:tcPr>
          <w:p w14:paraId="1A7085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487EF9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8000</w:t>
            </w:r>
          </w:p>
        </w:tc>
        <w:tc>
          <w:tcPr>
            <w:tcW w:w="1230" w:type="dxa"/>
            <w:vAlign w:val="center"/>
          </w:tcPr>
          <w:p w14:paraId="7DF3E13D">
            <w:pPr>
              <w:keepNext w:val="0"/>
              <w:keepLines w:val="0"/>
              <w:widowControl/>
              <w:suppressLineNumbers w:val="0"/>
              <w:spacing w:line="320" w:lineRule="exact"/>
              <w:ind w:left="-59" w:leftChars="-28" w:right="-82" w:rightChars="-3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1F6CD2BB">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1035" w:type="dxa"/>
            <w:vAlign w:val="center"/>
          </w:tcPr>
          <w:p w14:paraId="7E4B0EB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河源锦鹏科技有限公司</w:t>
            </w:r>
          </w:p>
        </w:tc>
        <w:tc>
          <w:tcPr>
            <w:tcW w:w="1050" w:type="dxa"/>
            <w:vAlign w:val="center"/>
          </w:tcPr>
          <w:p w14:paraId="69CF26CD">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405" w:type="dxa"/>
            <w:vAlign w:val="center"/>
          </w:tcPr>
          <w:p w14:paraId="53395A1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30F0F4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3836B7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71C1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1BEC34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13</w:t>
            </w:r>
          </w:p>
        </w:tc>
        <w:tc>
          <w:tcPr>
            <w:tcW w:w="1215" w:type="dxa"/>
            <w:vAlign w:val="center"/>
          </w:tcPr>
          <w:p w14:paraId="77970C24">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源城区迈拓铝设备生产项目</w:t>
            </w:r>
          </w:p>
        </w:tc>
        <w:tc>
          <w:tcPr>
            <w:tcW w:w="4155" w:type="dxa"/>
            <w:vAlign w:val="center"/>
          </w:tcPr>
          <w:p w14:paraId="06F853E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w:t>
            </w:r>
            <w:r>
              <w:rPr>
                <w:rFonts w:hint="eastAsia" w:ascii="宋体" w:hAnsi="宋体" w:cs="宋体"/>
                <w:color w:val="auto"/>
                <w:kern w:val="0"/>
                <w:sz w:val="20"/>
                <w:szCs w:val="20"/>
                <w:u w:val="none"/>
                <w:lang w:bidi="ar"/>
              </w:rPr>
              <w:t>8533.33平方米</w:t>
            </w:r>
            <w:r>
              <w:rPr>
                <w:rFonts w:hint="eastAsia" w:ascii="宋体" w:hAnsi="宋体" w:eastAsia="宋体" w:cs="宋体"/>
                <w:i w:val="0"/>
                <w:iCs w:val="0"/>
                <w:color w:val="auto"/>
                <w:kern w:val="0"/>
                <w:sz w:val="20"/>
                <w:szCs w:val="20"/>
                <w:u w:val="none"/>
                <w:lang w:val="en-US" w:eastAsia="zh-CN" w:bidi="ar"/>
              </w:rPr>
              <w:t>，建设厂房、宿舍、办公楼。</w:t>
            </w:r>
          </w:p>
        </w:tc>
        <w:tc>
          <w:tcPr>
            <w:tcW w:w="585" w:type="dxa"/>
            <w:vAlign w:val="center"/>
          </w:tcPr>
          <w:p w14:paraId="7F2FFF2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28A1A1E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9A9697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12CCD30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795" w:type="dxa"/>
            <w:vAlign w:val="center"/>
          </w:tcPr>
          <w:p w14:paraId="58B322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1E95AEB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8000</w:t>
            </w:r>
          </w:p>
        </w:tc>
        <w:tc>
          <w:tcPr>
            <w:tcW w:w="1230" w:type="dxa"/>
            <w:vAlign w:val="center"/>
          </w:tcPr>
          <w:p w14:paraId="77A92954">
            <w:pPr>
              <w:keepNext w:val="0"/>
              <w:keepLines w:val="0"/>
              <w:widowControl/>
              <w:suppressLineNumbers w:val="0"/>
              <w:spacing w:line="320" w:lineRule="exact"/>
              <w:ind w:left="-80" w:leftChars="-38" w:right="-101" w:rightChars="-48" w:firstLine="0" w:firstLineChars="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F6FE7A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1035" w:type="dxa"/>
            <w:vAlign w:val="center"/>
          </w:tcPr>
          <w:p w14:paraId="7A39EDA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广东迈拓铝科技有限责任公司</w:t>
            </w:r>
          </w:p>
        </w:tc>
        <w:tc>
          <w:tcPr>
            <w:tcW w:w="1050" w:type="dxa"/>
            <w:vAlign w:val="center"/>
          </w:tcPr>
          <w:p w14:paraId="5F91E9E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405" w:type="dxa"/>
            <w:vAlign w:val="center"/>
          </w:tcPr>
          <w:p w14:paraId="2EC5A9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7F27C8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0D79B7C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5415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8553E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14</w:t>
            </w:r>
          </w:p>
        </w:tc>
        <w:tc>
          <w:tcPr>
            <w:tcW w:w="1215" w:type="dxa"/>
            <w:vAlign w:val="center"/>
          </w:tcPr>
          <w:p w14:paraId="06AF79D7">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源城区春旺新材料生产项目</w:t>
            </w:r>
          </w:p>
        </w:tc>
        <w:tc>
          <w:tcPr>
            <w:tcW w:w="4155" w:type="dxa"/>
            <w:vAlign w:val="center"/>
          </w:tcPr>
          <w:p w14:paraId="5076A48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w:t>
            </w:r>
            <w:r>
              <w:rPr>
                <w:rFonts w:hint="eastAsia" w:ascii="宋体" w:hAnsi="宋体" w:cs="宋体"/>
                <w:color w:val="auto"/>
                <w:kern w:val="0"/>
                <w:sz w:val="20"/>
                <w:szCs w:val="20"/>
                <w:u w:val="none"/>
                <w:lang w:bidi="ar"/>
              </w:rPr>
              <w:t>20000平方米</w:t>
            </w:r>
            <w:r>
              <w:rPr>
                <w:rFonts w:hint="eastAsia" w:ascii="宋体" w:hAnsi="宋体" w:eastAsia="宋体" w:cs="宋体"/>
                <w:i w:val="0"/>
                <w:iCs w:val="0"/>
                <w:color w:val="auto"/>
                <w:kern w:val="0"/>
                <w:sz w:val="20"/>
                <w:szCs w:val="20"/>
                <w:u w:val="none"/>
                <w:lang w:val="en-US" w:eastAsia="zh-CN" w:bidi="ar"/>
              </w:rPr>
              <w:t>，建设厂房、宿舍、办公楼。</w:t>
            </w:r>
          </w:p>
        </w:tc>
        <w:tc>
          <w:tcPr>
            <w:tcW w:w="585" w:type="dxa"/>
            <w:vAlign w:val="center"/>
          </w:tcPr>
          <w:p w14:paraId="48B0D04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73604A5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6E5D58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945" w:type="dxa"/>
            <w:vAlign w:val="center"/>
          </w:tcPr>
          <w:p w14:paraId="6AD5753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21000</w:t>
            </w:r>
          </w:p>
        </w:tc>
        <w:tc>
          <w:tcPr>
            <w:tcW w:w="795" w:type="dxa"/>
            <w:vAlign w:val="center"/>
          </w:tcPr>
          <w:p w14:paraId="541E44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825" w:type="dxa"/>
            <w:vAlign w:val="center"/>
          </w:tcPr>
          <w:p w14:paraId="3BDFEDA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12000</w:t>
            </w:r>
          </w:p>
        </w:tc>
        <w:tc>
          <w:tcPr>
            <w:tcW w:w="1230" w:type="dxa"/>
            <w:vAlign w:val="center"/>
          </w:tcPr>
          <w:p w14:paraId="45DF39B2">
            <w:pPr>
              <w:keepNext w:val="0"/>
              <w:keepLines w:val="0"/>
              <w:widowControl/>
              <w:suppressLineNumbers w:val="0"/>
              <w:spacing w:line="320" w:lineRule="exact"/>
              <w:ind w:left="-76" w:leftChars="-36" w:right="-101" w:rightChars="-48" w:firstLine="20" w:firstLineChars="1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AE4FE0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2025.04</w:t>
            </w:r>
          </w:p>
        </w:tc>
        <w:tc>
          <w:tcPr>
            <w:tcW w:w="1035" w:type="dxa"/>
            <w:vAlign w:val="center"/>
          </w:tcPr>
          <w:p w14:paraId="707096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广东春旺新材料有限公司</w:t>
            </w:r>
          </w:p>
        </w:tc>
        <w:tc>
          <w:tcPr>
            <w:tcW w:w="1050" w:type="dxa"/>
            <w:vAlign w:val="center"/>
          </w:tcPr>
          <w:p w14:paraId="71E442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405" w:type="dxa"/>
            <w:vAlign w:val="center"/>
          </w:tcPr>
          <w:p w14:paraId="338F994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450" w:type="dxa"/>
            <w:vAlign w:val="center"/>
          </w:tcPr>
          <w:p w14:paraId="487DFDA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405" w:type="dxa"/>
            <w:vAlign w:val="center"/>
          </w:tcPr>
          <w:p w14:paraId="514DD28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23BE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DF3A04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15</w:t>
            </w:r>
          </w:p>
        </w:tc>
        <w:tc>
          <w:tcPr>
            <w:tcW w:w="0" w:type="auto"/>
            <w:vAlign w:val="center"/>
          </w:tcPr>
          <w:p w14:paraId="0B31738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源城区聚芯源锂电池生产项目</w:t>
            </w:r>
          </w:p>
        </w:tc>
        <w:tc>
          <w:tcPr>
            <w:tcW w:w="0" w:type="auto"/>
            <w:vAlign w:val="center"/>
          </w:tcPr>
          <w:p w14:paraId="59CEA14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0" w:type="auto"/>
            <w:vAlign w:val="center"/>
          </w:tcPr>
          <w:p w14:paraId="5F17108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57834C8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07C8C7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125F3C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0" w:type="auto"/>
            <w:vAlign w:val="center"/>
          </w:tcPr>
          <w:p w14:paraId="48FDC0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55709A6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4000 </w:t>
            </w:r>
          </w:p>
        </w:tc>
        <w:tc>
          <w:tcPr>
            <w:tcW w:w="1230" w:type="dxa"/>
            <w:vAlign w:val="center"/>
          </w:tcPr>
          <w:p w14:paraId="153900DB">
            <w:pPr>
              <w:keepNext w:val="0"/>
              <w:keepLines w:val="0"/>
              <w:widowControl/>
              <w:suppressLineNumbers w:val="0"/>
              <w:spacing w:line="320" w:lineRule="exact"/>
              <w:ind w:left="-59" w:leftChars="-28" w:right="-101" w:rightChars="-48" w:firstLine="0" w:firstLineChars="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B4A0D4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2025.06 </w:t>
            </w:r>
          </w:p>
        </w:tc>
        <w:tc>
          <w:tcPr>
            <w:tcW w:w="0" w:type="auto"/>
            <w:vAlign w:val="center"/>
          </w:tcPr>
          <w:p w14:paraId="6FF7D31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河源市聚芯源科技有限公司</w:t>
            </w:r>
          </w:p>
        </w:tc>
        <w:tc>
          <w:tcPr>
            <w:tcW w:w="0" w:type="auto"/>
            <w:vAlign w:val="center"/>
          </w:tcPr>
          <w:p w14:paraId="25105BB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568F34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C7788A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0352C2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83A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B37CE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16</w:t>
            </w:r>
          </w:p>
        </w:tc>
        <w:tc>
          <w:tcPr>
            <w:tcW w:w="0" w:type="auto"/>
            <w:vAlign w:val="center"/>
          </w:tcPr>
          <w:p w14:paraId="355E7BBB">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源城区升杰实业项目</w:t>
            </w:r>
          </w:p>
        </w:tc>
        <w:tc>
          <w:tcPr>
            <w:tcW w:w="0" w:type="auto"/>
            <w:vAlign w:val="center"/>
          </w:tcPr>
          <w:p w14:paraId="04D957D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0" w:type="auto"/>
            <w:vAlign w:val="center"/>
          </w:tcPr>
          <w:p w14:paraId="10DC151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2CE269C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1E7297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3DDA6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12000</w:t>
            </w:r>
          </w:p>
        </w:tc>
        <w:tc>
          <w:tcPr>
            <w:tcW w:w="0" w:type="auto"/>
            <w:vAlign w:val="center"/>
          </w:tcPr>
          <w:p w14:paraId="16C7ED5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1988D1C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11A511E1">
            <w:pPr>
              <w:keepNext w:val="0"/>
              <w:keepLines w:val="0"/>
              <w:widowControl/>
              <w:suppressLineNumbers w:val="0"/>
              <w:spacing w:line="320" w:lineRule="exact"/>
              <w:ind w:right="-122" w:rightChars="-58"/>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42B26B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35C6C9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河源市力升创投有限公司</w:t>
            </w:r>
          </w:p>
        </w:tc>
        <w:tc>
          <w:tcPr>
            <w:tcW w:w="0" w:type="auto"/>
            <w:vAlign w:val="center"/>
          </w:tcPr>
          <w:p w14:paraId="1F87358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241CD03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1260D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78F63D7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129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0" w:type="auto"/>
            <w:vAlign w:val="center"/>
          </w:tcPr>
          <w:p w14:paraId="21571CD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17</w:t>
            </w:r>
          </w:p>
        </w:tc>
        <w:tc>
          <w:tcPr>
            <w:tcW w:w="0" w:type="auto"/>
            <w:vAlign w:val="center"/>
          </w:tcPr>
          <w:p w14:paraId="22566BF7">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广东圣威玻璃科技有限公司二期项目</w:t>
            </w:r>
          </w:p>
        </w:tc>
        <w:tc>
          <w:tcPr>
            <w:tcW w:w="0" w:type="auto"/>
            <w:vAlign w:val="center"/>
          </w:tcPr>
          <w:p w14:paraId="3A363AB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w:t>
            </w:r>
            <w:r>
              <w:rPr>
                <w:rFonts w:hint="eastAsia" w:ascii="宋体" w:hAnsi="宋体" w:cs="宋体"/>
                <w:i w:val="0"/>
                <w:iCs w:val="0"/>
                <w:color w:val="auto"/>
                <w:kern w:val="0"/>
                <w:sz w:val="20"/>
                <w:szCs w:val="20"/>
                <w:u w:val="none"/>
                <w:lang w:val="en-US" w:eastAsia="zh-CN" w:bidi="ar"/>
              </w:rPr>
              <w:t>。</w:t>
            </w:r>
          </w:p>
        </w:tc>
        <w:tc>
          <w:tcPr>
            <w:tcW w:w="0" w:type="auto"/>
            <w:vAlign w:val="center"/>
          </w:tcPr>
          <w:p w14:paraId="6214F98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6A4C8CC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2A79A4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5E3BEF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0" w:type="auto"/>
            <w:vAlign w:val="center"/>
          </w:tcPr>
          <w:p w14:paraId="1AF440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6FB1871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72F3B5C8">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6A62766">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5EC042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广东圣威玻璃科技有限公司</w:t>
            </w:r>
          </w:p>
        </w:tc>
        <w:tc>
          <w:tcPr>
            <w:tcW w:w="0" w:type="auto"/>
            <w:vAlign w:val="center"/>
          </w:tcPr>
          <w:p w14:paraId="1F9C47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665517F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F72A7C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4E0C35F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6E3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0" w:type="auto"/>
            <w:vAlign w:val="center"/>
          </w:tcPr>
          <w:p w14:paraId="584C5D9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18</w:t>
            </w:r>
          </w:p>
        </w:tc>
        <w:tc>
          <w:tcPr>
            <w:tcW w:w="0" w:type="auto"/>
            <w:vAlign w:val="center"/>
          </w:tcPr>
          <w:p w14:paraId="50324B5E">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源城区聚酷客食品项目</w:t>
            </w:r>
          </w:p>
        </w:tc>
        <w:tc>
          <w:tcPr>
            <w:tcW w:w="0" w:type="auto"/>
            <w:vAlign w:val="center"/>
          </w:tcPr>
          <w:p w14:paraId="1E14963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0" w:type="auto"/>
            <w:vAlign w:val="center"/>
          </w:tcPr>
          <w:p w14:paraId="0E91801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w:t>
            </w:r>
            <w:r>
              <w:rPr>
                <w:rFonts w:hint="eastAsia" w:ascii="宋体" w:hAnsi="宋体" w:cs="宋体"/>
                <w:i w:val="0"/>
                <w:iCs w:val="0"/>
                <w:color w:val="auto"/>
                <w:kern w:val="0"/>
                <w:sz w:val="20"/>
                <w:szCs w:val="20"/>
                <w:u w:val="none"/>
                <w:lang w:val="en-US" w:eastAsia="zh-CN" w:bidi="ar"/>
              </w:rPr>
              <w:t>5</w:t>
            </w:r>
          </w:p>
          <w:p w14:paraId="75C17C6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3EFA9D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7E5B55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0" w:type="auto"/>
            <w:vAlign w:val="center"/>
          </w:tcPr>
          <w:p w14:paraId="22582EA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6389B8A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59713562">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08493D1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490ABA9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广东晨晨嘉礼食品有限公司</w:t>
            </w:r>
          </w:p>
        </w:tc>
        <w:tc>
          <w:tcPr>
            <w:tcW w:w="0" w:type="auto"/>
            <w:vAlign w:val="center"/>
          </w:tcPr>
          <w:p w14:paraId="538F87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459FD9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7A79C8B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63E22F7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14FF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0" w:type="auto"/>
            <w:vAlign w:val="center"/>
          </w:tcPr>
          <w:p w14:paraId="2A93642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19</w:t>
            </w:r>
          </w:p>
        </w:tc>
        <w:tc>
          <w:tcPr>
            <w:tcW w:w="0" w:type="auto"/>
            <w:vAlign w:val="center"/>
          </w:tcPr>
          <w:p w14:paraId="2CC6B1E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源城区长乐园公墓山四期安置区墓地建设工程</w:t>
            </w:r>
          </w:p>
        </w:tc>
        <w:tc>
          <w:tcPr>
            <w:tcW w:w="0" w:type="auto"/>
            <w:vAlign w:val="center"/>
          </w:tcPr>
          <w:p w14:paraId="1E70497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规划面积约</w:t>
            </w:r>
            <w:r>
              <w:rPr>
                <w:rFonts w:hint="eastAsia" w:ascii="宋体" w:hAnsi="宋体" w:cs="宋体"/>
                <w:color w:val="auto"/>
                <w:kern w:val="0"/>
                <w:sz w:val="20"/>
                <w:szCs w:val="20"/>
                <w:u w:val="none"/>
                <w:lang w:bidi="ar"/>
              </w:rPr>
              <w:t>1333</w:t>
            </w:r>
            <w:r>
              <w:rPr>
                <w:rFonts w:hint="eastAsia" w:ascii="宋体" w:hAnsi="宋体" w:cs="宋体"/>
                <w:color w:val="auto"/>
                <w:kern w:val="0"/>
                <w:sz w:val="20"/>
                <w:szCs w:val="20"/>
                <w:u w:val="none"/>
                <w:lang w:eastAsia="zh-CN" w:bidi="ar"/>
              </w:rPr>
              <w:t>0</w:t>
            </w:r>
            <w:r>
              <w:rPr>
                <w:rFonts w:hint="eastAsia" w:ascii="宋体" w:hAnsi="宋体" w:cs="宋体"/>
                <w:color w:val="auto"/>
                <w:kern w:val="0"/>
                <w:sz w:val="20"/>
                <w:szCs w:val="20"/>
                <w:u w:val="none"/>
                <w:lang w:val="en-US" w:eastAsia="zh-CN" w:bidi="ar"/>
              </w:rPr>
              <w:t>0</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，建筑面积约1680平方米，包括建设成品墓穴、墓碑前道路、交通道路、管理房、流动厕所、消防水池、挡土墙及停车场等其他配套工程。其中，道路硬底化约20000平方米，停车场约6500平方米。</w:t>
            </w:r>
          </w:p>
        </w:tc>
        <w:tc>
          <w:tcPr>
            <w:tcW w:w="0" w:type="auto"/>
            <w:vAlign w:val="center"/>
          </w:tcPr>
          <w:p w14:paraId="113C221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1E78FDB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F9874C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5E62039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0" w:type="auto"/>
            <w:vAlign w:val="center"/>
          </w:tcPr>
          <w:p w14:paraId="657FD2B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7075DA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8000 </w:t>
            </w:r>
          </w:p>
        </w:tc>
        <w:tc>
          <w:tcPr>
            <w:tcW w:w="1230" w:type="dxa"/>
            <w:vAlign w:val="center"/>
          </w:tcPr>
          <w:p w14:paraId="53907E90">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计划完成挡土墙及道路、骨灰楼和服务中心、公厕、装饰、园林绿化等工程建设。</w:t>
            </w:r>
          </w:p>
        </w:tc>
        <w:tc>
          <w:tcPr>
            <w:tcW w:w="810" w:type="dxa"/>
            <w:vAlign w:val="center"/>
          </w:tcPr>
          <w:p w14:paraId="39D1ED17">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0782C6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广东省河源运通实业发展有限公司</w:t>
            </w:r>
          </w:p>
        </w:tc>
        <w:tc>
          <w:tcPr>
            <w:tcW w:w="0" w:type="auto"/>
            <w:vAlign w:val="center"/>
          </w:tcPr>
          <w:p w14:paraId="6EFDCAF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区国资事务中心</w:t>
            </w:r>
          </w:p>
        </w:tc>
        <w:tc>
          <w:tcPr>
            <w:tcW w:w="0" w:type="auto"/>
            <w:vAlign w:val="center"/>
          </w:tcPr>
          <w:p w14:paraId="542B9C8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0" w:type="auto"/>
            <w:vAlign w:val="center"/>
          </w:tcPr>
          <w:p w14:paraId="02EC99D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002A080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居民保障项目</w:t>
            </w:r>
          </w:p>
        </w:tc>
      </w:tr>
      <w:tr w14:paraId="08CA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0" w:type="auto"/>
            <w:vAlign w:val="center"/>
          </w:tcPr>
          <w:p w14:paraId="06C6D4B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w:t>
            </w:r>
          </w:p>
        </w:tc>
        <w:tc>
          <w:tcPr>
            <w:tcW w:w="0" w:type="auto"/>
            <w:vAlign w:val="center"/>
          </w:tcPr>
          <w:p w14:paraId="7BFBEB9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深能合和电力（河源）有限公司电化学储能联合调频项目</w:t>
            </w:r>
          </w:p>
        </w:tc>
        <w:tc>
          <w:tcPr>
            <w:tcW w:w="0" w:type="auto"/>
            <w:vAlign w:val="center"/>
          </w:tcPr>
          <w:p w14:paraId="13B5E896">
            <w:pPr>
              <w:keepNext w:val="0"/>
              <w:keepLines w:val="0"/>
              <w:widowControl/>
              <w:suppressLineNumbers w:val="0"/>
              <w:spacing w:line="32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新建一套20MW/20MWh级电化学储能系统。占地面积</w:t>
            </w:r>
            <w:r>
              <w:rPr>
                <w:rFonts w:hint="eastAsia" w:ascii="宋体" w:hAnsi="宋体" w:cs="宋体"/>
                <w:i w:val="0"/>
                <w:iCs w:val="0"/>
                <w:color w:val="auto"/>
                <w:spacing w:val="-6"/>
                <w:kern w:val="0"/>
                <w:sz w:val="20"/>
                <w:szCs w:val="20"/>
                <w:u w:val="none"/>
                <w:lang w:val="en-US" w:eastAsia="zh-CN" w:bidi="ar"/>
              </w:rPr>
              <w:t>约</w:t>
            </w:r>
            <w:r>
              <w:rPr>
                <w:rFonts w:hint="eastAsia" w:ascii="宋体" w:hAnsi="宋体" w:eastAsia="宋体" w:cs="宋体"/>
                <w:i w:val="0"/>
                <w:iCs w:val="0"/>
                <w:color w:val="auto"/>
                <w:spacing w:val="-6"/>
                <w:kern w:val="0"/>
                <w:sz w:val="20"/>
                <w:szCs w:val="20"/>
                <w:u w:val="none"/>
                <w:lang w:val="en-US" w:eastAsia="zh-CN" w:bidi="ar"/>
              </w:rPr>
              <w:t>1495平方米。储能系统由电池PCS</w:t>
            </w:r>
            <w:r>
              <w:rPr>
                <w:rFonts w:hint="eastAsia" w:ascii="宋体" w:hAnsi="宋体" w:cs="宋体"/>
                <w:i w:val="0"/>
                <w:iCs w:val="0"/>
                <w:color w:val="auto"/>
                <w:spacing w:val="-6"/>
                <w:kern w:val="0"/>
                <w:sz w:val="20"/>
                <w:szCs w:val="20"/>
                <w:u w:val="none"/>
                <w:lang w:val="en-US" w:eastAsia="zh-CN" w:bidi="ar"/>
              </w:rPr>
              <w:t>集装箱</w:t>
            </w:r>
            <w:r>
              <w:rPr>
                <w:rFonts w:hint="eastAsia" w:ascii="宋体" w:hAnsi="宋体" w:eastAsia="宋体" w:cs="宋体"/>
                <w:i w:val="0"/>
                <w:iCs w:val="0"/>
                <w:color w:val="auto"/>
                <w:spacing w:val="-6"/>
                <w:kern w:val="0"/>
                <w:sz w:val="20"/>
                <w:szCs w:val="20"/>
                <w:u w:val="none"/>
                <w:lang w:val="en-US" w:eastAsia="zh-CN" w:bidi="ar"/>
              </w:rPr>
              <w:t>、6kV高压汇流箱和集控集装箱组成。储能调频系统通过原有的四路开关分别接入#1、#2高厂变的6kV（1A、1B、2A、2B）工作母线。最终实现联合火电机组开展AGC调频辅助服务，以在调频辅助服务市场获得收益，同时减小机组在调频过程中的损耗。</w:t>
            </w:r>
          </w:p>
        </w:tc>
        <w:tc>
          <w:tcPr>
            <w:tcW w:w="0" w:type="auto"/>
            <w:vAlign w:val="center"/>
          </w:tcPr>
          <w:p w14:paraId="60CE18D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2025 </w:t>
            </w:r>
          </w:p>
        </w:tc>
        <w:tc>
          <w:tcPr>
            <w:tcW w:w="0" w:type="auto"/>
            <w:vAlign w:val="center"/>
          </w:tcPr>
          <w:p w14:paraId="6E41CAE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4660 </w:t>
            </w:r>
          </w:p>
        </w:tc>
        <w:tc>
          <w:tcPr>
            <w:tcW w:w="0" w:type="auto"/>
            <w:vAlign w:val="center"/>
          </w:tcPr>
          <w:p w14:paraId="660C320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2BB3781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4660 </w:t>
            </w:r>
          </w:p>
        </w:tc>
        <w:tc>
          <w:tcPr>
            <w:tcW w:w="1230" w:type="dxa"/>
            <w:vAlign w:val="center"/>
          </w:tcPr>
          <w:p w14:paraId="5BF64104">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新建一套20MW/20MWh级电化学储能系统。</w:t>
            </w:r>
          </w:p>
        </w:tc>
        <w:tc>
          <w:tcPr>
            <w:tcW w:w="810" w:type="dxa"/>
            <w:vAlign w:val="center"/>
          </w:tcPr>
          <w:p w14:paraId="2B71190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2025.04</w:t>
            </w:r>
          </w:p>
        </w:tc>
        <w:tc>
          <w:tcPr>
            <w:tcW w:w="0" w:type="auto"/>
            <w:vAlign w:val="center"/>
          </w:tcPr>
          <w:p w14:paraId="4CABFE8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深圳深能储能有限责任公司</w:t>
            </w:r>
          </w:p>
        </w:tc>
        <w:tc>
          <w:tcPr>
            <w:tcW w:w="0" w:type="auto"/>
            <w:vAlign w:val="center"/>
          </w:tcPr>
          <w:p w14:paraId="383E450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1C4BAD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17ECB4C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EBA4C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48743A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7011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0" w:type="auto"/>
            <w:vAlign w:val="center"/>
          </w:tcPr>
          <w:p w14:paraId="0A3BD8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21</w:t>
            </w:r>
          </w:p>
        </w:tc>
        <w:tc>
          <w:tcPr>
            <w:tcW w:w="0" w:type="auto"/>
            <w:vAlign w:val="center"/>
          </w:tcPr>
          <w:p w14:paraId="3CC3AD9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源城区华发金属制品有限公司超低排放技术改造项目</w:t>
            </w:r>
          </w:p>
        </w:tc>
        <w:tc>
          <w:tcPr>
            <w:tcW w:w="0" w:type="auto"/>
            <w:vAlign w:val="center"/>
          </w:tcPr>
          <w:p w14:paraId="4C2FE3BE">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新建3套除尘系统和厂房密闭性改造，颗粒物有组织排放浓度达到≤10mg/m³</w:t>
            </w:r>
            <w:r>
              <w:rPr>
                <w:rFonts w:hint="eastAsia" w:ascii="宋体" w:hAnsi="宋体" w:cs="宋体"/>
                <w:i w:val="0"/>
                <w:iCs w:val="0"/>
                <w:color w:val="auto"/>
                <w:kern w:val="0"/>
                <w:sz w:val="20"/>
                <w:szCs w:val="20"/>
                <w:u w:val="none"/>
                <w:lang w:val="en-US" w:eastAsia="zh-CN" w:bidi="ar"/>
              </w:rPr>
              <w:t>。</w:t>
            </w:r>
          </w:p>
        </w:tc>
        <w:tc>
          <w:tcPr>
            <w:tcW w:w="0" w:type="auto"/>
            <w:vAlign w:val="center"/>
          </w:tcPr>
          <w:p w14:paraId="29BCC8C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3CCD98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A47561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8B5B4E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9000 </w:t>
            </w:r>
          </w:p>
        </w:tc>
        <w:tc>
          <w:tcPr>
            <w:tcW w:w="0" w:type="auto"/>
            <w:vAlign w:val="center"/>
          </w:tcPr>
          <w:p w14:paraId="3FF5BAB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06436A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1230" w:type="dxa"/>
            <w:vAlign w:val="center"/>
          </w:tcPr>
          <w:p w14:paraId="38595334">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新建3套除尘系统。</w:t>
            </w:r>
          </w:p>
        </w:tc>
        <w:tc>
          <w:tcPr>
            <w:tcW w:w="810" w:type="dxa"/>
            <w:vAlign w:val="center"/>
          </w:tcPr>
          <w:p w14:paraId="07AEDCB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2025.09</w:t>
            </w:r>
          </w:p>
        </w:tc>
        <w:tc>
          <w:tcPr>
            <w:tcW w:w="0" w:type="auto"/>
            <w:vAlign w:val="center"/>
          </w:tcPr>
          <w:p w14:paraId="55FA025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源城华发金属制品有限公司</w:t>
            </w:r>
          </w:p>
        </w:tc>
        <w:tc>
          <w:tcPr>
            <w:tcW w:w="0" w:type="auto"/>
            <w:vAlign w:val="center"/>
          </w:tcPr>
          <w:p w14:paraId="517C244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5C13D6B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6D88E8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AADEC0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13FB4B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生态环保工程项目</w:t>
            </w:r>
          </w:p>
        </w:tc>
      </w:tr>
      <w:tr w14:paraId="49B7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38D0BD3">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（二）</w:t>
            </w:r>
          </w:p>
        </w:tc>
        <w:tc>
          <w:tcPr>
            <w:tcW w:w="0" w:type="auto"/>
            <w:vAlign w:val="center"/>
          </w:tcPr>
          <w:p w14:paraId="302E4FCE">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续建项目（12项）</w:t>
            </w:r>
          </w:p>
        </w:tc>
        <w:tc>
          <w:tcPr>
            <w:tcW w:w="0" w:type="auto"/>
            <w:vAlign w:val="center"/>
          </w:tcPr>
          <w:p w14:paraId="5B060776">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7B05DA7C">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4E25D37">
            <w:pPr>
              <w:keepNext w:val="0"/>
              <w:keepLines w:val="0"/>
              <w:widowControl/>
              <w:suppressLineNumbers w:val="0"/>
              <w:spacing w:line="320" w:lineRule="exact"/>
              <w:ind w:left="-100" w:leftChars="-57" w:right="-158" w:rightChars="-75" w:hanging="20" w:hangingChars="1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758779 </w:t>
            </w:r>
          </w:p>
        </w:tc>
        <w:tc>
          <w:tcPr>
            <w:tcW w:w="0" w:type="auto"/>
            <w:vAlign w:val="center"/>
          </w:tcPr>
          <w:p w14:paraId="543C12EE">
            <w:pPr>
              <w:keepNext w:val="0"/>
              <w:keepLines w:val="0"/>
              <w:widowControl/>
              <w:suppressLineNumbers w:val="0"/>
              <w:spacing w:line="320" w:lineRule="exact"/>
              <w:ind w:left="-120" w:leftChars="-57" w:right="-118" w:rightChars="-56" w:firstLine="0" w:firstLineChars="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256264 </w:t>
            </w:r>
          </w:p>
        </w:tc>
        <w:tc>
          <w:tcPr>
            <w:tcW w:w="0" w:type="auto"/>
            <w:vAlign w:val="center"/>
          </w:tcPr>
          <w:p w14:paraId="50CFCBE0">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114500 </w:t>
            </w:r>
          </w:p>
        </w:tc>
        <w:tc>
          <w:tcPr>
            <w:tcW w:w="1230" w:type="dxa"/>
            <w:vAlign w:val="center"/>
          </w:tcPr>
          <w:p w14:paraId="70C5D03E">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61C6FAED">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5103213C">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A59E6D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7504E2AB">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26BDCD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4BD9EEF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29A5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trPr>
        <w:tc>
          <w:tcPr>
            <w:tcW w:w="0" w:type="auto"/>
            <w:vAlign w:val="center"/>
          </w:tcPr>
          <w:p w14:paraId="1926537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22</w:t>
            </w:r>
          </w:p>
        </w:tc>
        <w:tc>
          <w:tcPr>
            <w:tcW w:w="0" w:type="auto"/>
            <w:vAlign w:val="center"/>
          </w:tcPr>
          <w:p w14:paraId="1A93B96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G205国道（埔前段）及埔前圩镇综合安全整治项目</w:t>
            </w:r>
          </w:p>
        </w:tc>
        <w:tc>
          <w:tcPr>
            <w:tcW w:w="0" w:type="auto"/>
            <w:vAlign w:val="center"/>
          </w:tcPr>
          <w:p w14:paraId="1CD81B45">
            <w:pPr>
              <w:keepNext w:val="0"/>
              <w:keepLines w:val="0"/>
              <w:widowControl/>
              <w:suppressLineNumbers w:val="0"/>
              <w:spacing w:line="260" w:lineRule="exact"/>
              <w:ind w:left="-41" w:leftChars="-28" w:right="-53" w:rightChars="-25" w:hanging="18" w:hangingChars="10"/>
              <w:jc w:val="left"/>
              <w:textAlignment w:val="center"/>
              <w:rPr>
                <w:rFonts w:hint="eastAsia" w:ascii="宋体" w:hAnsi="宋体" w:eastAsia="宋体" w:cs="宋体"/>
                <w:i w:val="0"/>
                <w:iCs w:val="0"/>
                <w:color w:val="auto"/>
                <w:spacing w:val="-6"/>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（1）对G205国道高埔岗街道口至大坑口长度约6.3</w:t>
            </w:r>
            <w:r>
              <w:rPr>
                <w:rFonts w:hint="eastAsia" w:ascii="宋体" w:hAnsi="宋体" w:cs="宋体"/>
                <w:i w:val="0"/>
                <w:iCs w:val="0"/>
                <w:color w:val="auto"/>
                <w:spacing w:val="-6"/>
                <w:kern w:val="0"/>
                <w:sz w:val="20"/>
                <w:szCs w:val="20"/>
                <w:u w:val="none"/>
                <w:lang w:val="en-US" w:eastAsia="zh-CN" w:bidi="ar"/>
              </w:rPr>
              <w:t>公里</w:t>
            </w:r>
            <w:r>
              <w:rPr>
                <w:rFonts w:hint="eastAsia" w:ascii="宋体" w:hAnsi="宋体" w:eastAsia="宋体" w:cs="宋体"/>
                <w:i w:val="0"/>
                <w:iCs w:val="0"/>
                <w:color w:val="auto"/>
                <w:spacing w:val="-6"/>
                <w:kern w:val="0"/>
                <w:sz w:val="20"/>
                <w:szCs w:val="20"/>
                <w:u w:val="none"/>
                <w:lang w:val="en-US" w:eastAsia="zh-CN" w:bidi="ar"/>
              </w:rPr>
              <w:t>范围两旁进行硬化、净化、市政化，增设慢行系统，建设辅道、人行道等市政设施。对G205国道高埔岗街道口至大坑口沿线、龙岭五路沿线房屋、广告位及主要路口节点进行安全综合整治。（2）对埔前圩镇内“两纵一横”长约3.9</w:t>
            </w:r>
            <w:r>
              <w:rPr>
                <w:rFonts w:hint="eastAsia" w:ascii="宋体" w:hAnsi="宋体" w:cs="宋体"/>
                <w:i w:val="0"/>
                <w:iCs w:val="0"/>
                <w:color w:val="auto"/>
                <w:spacing w:val="-6"/>
                <w:kern w:val="0"/>
                <w:sz w:val="20"/>
                <w:szCs w:val="20"/>
                <w:u w:val="none"/>
                <w:lang w:val="en-US" w:eastAsia="zh-CN" w:bidi="ar"/>
              </w:rPr>
              <w:t>公里</w:t>
            </w:r>
            <w:r>
              <w:rPr>
                <w:rFonts w:hint="eastAsia" w:ascii="宋体" w:hAnsi="宋体" w:eastAsia="宋体" w:cs="宋体"/>
                <w:i w:val="0"/>
                <w:iCs w:val="0"/>
                <w:color w:val="auto"/>
                <w:spacing w:val="-6"/>
                <w:kern w:val="0"/>
                <w:sz w:val="20"/>
                <w:szCs w:val="20"/>
                <w:u w:val="none"/>
                <w:lang w:val="en-US" w:eastAsia="zh-CN" w:bidi="ar"/>
              </w:rPr>
              <w:t>道路及沿线房屋、圩镇范围内其他支路巷道进行综合安全整治；（3）对埔前河圩镇段（约26700</w:t>
            </w:r>
            <w:r>
              <w:rPr>
                <w:rFonts w:hint="eastAsia" w:ascii="宋体" w:hAnsi="宋体" w:cs="宋体"/>
                <w:i w:val="0"/>
                <w:iCs w:val="0"/>
                <w:color w:val="auto"/>
                <w:spacing w:val="-6"/>
                <w:kern w:val="0"/>
                <w:sz w:val="20"/>
                <w:szCs w:val="20"/>
                <w:u w:val="none"/>
                <w:lang w:val="en-US" w:eastAsia="zh-CN" w:bidi="ar"/>
              </w:rPr>
              <w:t>平方米</w:t>
            </w:r>
            <w:r>
              <w:rPr>
                <w:rFonts w:hint="eastAsia" w:ascii="宋体" w:hAnsi="宋体" w:eastAsia="宋体" w:cs="宋体"/>
                <w:i w:val="0"/>
                <w:iCs w:val="0"/>
                <w:color w:val="auto"/>
                <w:spacing w:val="-6"/>
                <w:kern w:val="0"/>
                <w:sz w:val="20"/>
                <w:szCs w:val="20"/>
                <w:u w:val="none"/>
                <w:lang w:val="en-US" w:eastAsia="zh-CN" w:bidi="ar"/>
              </w:rPr>
              <w:t>）、埔前镇文化广场（约25400</w:t>
            </w:r>
            <w:r>
              <w:rPr>
                <w:rFonts w:hint="eastAsia" w:ascii="宋体" w:hAnsi="宋体" w:cs="宋体"/>
                <w:i w:val="0"/>
                <w:iCs w:val="0"/>
                <w:color w:val="auto"/>
                <w:spacing w:val="-6"/>
                <w:kern w:val="0"/>
                <w:sz w:val="20"/>
                <w:szCs w:val="20"/>
                <w:u w:val="none"/>
                <w:lang w:val="en-US" w:eastAsia="zh-CN" w:bidi="ar"/>
              </w:rPr>
              <w:t>平方米</w:t>
            </w:r>
            <w:r>
              <w:rPr>
                <w:rFonts w:hint="eastAsia" w:ascii="宋体" w:hAnsi="宋体" w:eastAsia="宋体" w:cs="宋体"/>
                <w:i w:val="0"/>
                <w:iCs w:val="0"/>
                <w:color w:val="auto"/>
                <w:spacing w:val="-6"/>
                <w:kern w:val="0"/>
                <w:sz w:val="20"/>
                <w:szCs w:val="20"/>
                <w:u w:val="none"/>
                <w:lang w:val="en-US" w:eastAsia="zh-CN" w:bidi="ar"/>
              </w:rPr>
              <w:t>）、美丽圩镇客厅门前（约1640</w:t>
            </w:r>
            <w:r>
              <w:rPr>
                <w:rFonts w:hint="eastAsia" w:ascii="宋体" w:hAnsi="宋体" w:cs="宋体"/>
                <w:i w:val="0"/>
                <w:iCs w:val="0"/>
                <w:color w:val="auto"/>
                <w:spacing w:val="-6"/>
                <w:kern w:val="0"/>
                <w:sz w:val="20"/>
                <w:szCs w:val="20"/>
                <w:u w:val="none"/>
                <w:lang w:val="en-US" w:eastAsia="zh-CN" w:bidi="ar"/>
              </w:rPr>
              <w:t>平方米</w:t>
            </w:r>
            <w:r>
              <w:rPr>
                <w:rFonts w:hint="eastAsia" w:ascii="宋体" w:hAnsi="宋体" w:eastAsia="宋体" w:cs="宋体"/>
                <w:i w:val="0"/>
                <w:iCs w:val="0"/>
                <w:color w:val="auto"/>
                <w:spacing w:val="-6"/>
                <w:kern w:val="0"/>
                <w:sz w:val="20"/>
                <w:szCs w:val="20"/>
                <w:u w:val="none"/>
                <w:lang w:val="en-US" w:eastAsia="zh-CN" w:bidi="ar"/>
              </w:rPr>
              <w:t>）、示范主街榕树前（约258</w:t>
            </w:r>
            <w:r>
              <w:rPr>
                <w:rFonts w:hint="eastAsia" w:ascii="宋体" w:hAnsi="宋体" w:cs="宋体"/>
                <w:i w:val="0"/>
                <w:iCs w:val="0"/>
                <w:color w:val="auto"/>
                <w:spacing w:val="-6"/>
                <w:kern w:val="0"/>
                <w:sz w:val="20"/>
                <w:szCs w:val="20"/>
                <w:u w:val="none"/>
                <w:lang w:val="en-US" w:eastAsia="zh-CN" w:bidi="ar"/>
              </w:rPr>
              <w:t>平方米</w:t>
            </w:r>
            <w:r>
              <w:rPr>
                <w:rFonts w:hint="eastAsia" w:ascii="宋体" w:hAnsi="宋体" w:eastAsia="宋体" w:cs="宋体"/>
                <w:i w:val="0"/>
                <w:iCs w:val="0"/>
                <w:color w:val="auto"/>
                <w:spacing w:val="-6"/>
                <w:kern w:val="0"/>
                <w:sz w:val="20"/>
                <w:szCs w:val="20"/>
                <w:u w:val="none"/>
                <w:lang w:val="en-US" w:eastAsia="zh-CN" w:bidi="ar"/>
              </w:rPr>
              <w:t>）等节点进行升级改造和安全整治；（4）完善埔前河圩镇段南岸的道路等市政设施，利用埔前河南岸闲置地，采用装配式建筑方式，建设一个</w:t>
            </w:r>
            <w:r>
              <w:rPr>
                <w:rFonts w:hint="eastAsia" w:ascii="宋体" w:hAnsi="宋体" w:cs="宋体"/>
                <w:i w:val="0"/>
                <w:iCs w:val="0"/>
                <w:color w:val="auto"/>
                <w:spacing w:val="-6"/>
                <w:kern w:val="0"/>
                <w:sz w:val="20"/>
                <w:szCs w:val="20"/>
                <w:u w:val="none"/>
                <w:lang w:val="en-US" w:eastAsia="zh-CN" w:bidi="ar"/>
              </w:rPr>
              <w:t>集</w:t>
            </w:r>
            <w:r>
              <w:rPr>
                <w:rFonts w:hint="eastAsia" w:ascii="宋体" w:hAnsi="宋体" w:eastAsia="宋体" w:cs="宋体"/>
                <w:i w:val="0"/>
                <w:iCs w:val="0"/>
                <w:color w:val="auto"/>
                <w:spacing w:val="-6"/>
                <w:kern w:val="0"/>
                <w:sz w:val="20"/>
                <w:szCs w:val="20"/>
                <w:u w:val="none"/>
                <w:lang w:val="en-US" w:eastAsia="zh-CN" w:bidi="ar"/>
              </w:rPr>
              <w:t>文化旅游、民间美食、艺术创作、河源特色等一体的文旅展示客厅。其中道路长约150</w:t>
            </w:r>
            <w:r>
              <w:rPr>
                <w:rFonts w:hint="eastAsia" w:ascii="宋体" w:hAnsi="宋体" w:cs="宋体"/>
                <w:i w:val="0"/>
                <w:iCs w:val="0"/>
                <w:color w:val="auto"/>
                <w:spacing w:val="-6"/>
                <w:kern w:val="0"/>
                <w:sz w:val="20"/>
                <w:szCs w:val="20"/>
                <w:u w:val="none"/>
                <w:lang w:val="en-US" w:eastAsia="zh-CN" w:bidi="ar"/>
              </w:rPr>
              <w:t>米</w:t>
            </w:r>
            <w:r>
              <w:rPr>
                <w:rFonts w:hint="eastAsia" w:ascii="宋体" w:hAnsi="宋体" w:eastAsia="宋体" w:cs="宋体"/>
                <w:i w:val="0"/>
                <w:iCs w:val="0"/>
                <w:color w:val="auto"/>
                <w:spacing w:val="-6"/>
                <w:kern w:val="0"/>
                <w:sz w:val="20"/>
                <w:szCs w:val="20"/>
                <w:u w:val="none"/>
                <w:lang w:val="en-US" w:eastAsia="zh-CN" w:bidi="ar"/>
              </w:rPr>
              <w:t>，人行道长约280</w:t>
            </w:r>
            <w:r>
              <w:rPr>
                <w:rFonts w:hint="eastAsia" w:ascii="宋体" w:hAnsi="宋体" w:cs="宋体"/>
                <w:i w:val="0"/>
                <w:iCs w:val="0"/>
                <w:color w:val="auto"/>
                <w:spacing w:val="-6"/>
                <w:kern w:val="0"/>
                <w:sz w:val="20"/>
                <w:szCs w:val="20"/>
                <w:u w:val="none"/>
                <w:lang w:val="en-US" w:eastAsia="zh-CN" w:bidi="ar"/>
              </w:rPr>
              <w:t>米</w:t>
            </w:r>
            <w:r>
              <w:rPr>
                <w:rFonts w:hint="eastAsia" w:ascii="宋体" w:hAnsi="宋体" w:eastAsia="宋体" w:cs="宋体"/>
                <w:i w:val="0"/>
                <w:iCs w:val="0"/>
                <w:color w:val="auto"/>
                <w:spacing w:val="-6"/>
                <w:kern w:val="0"/>
                <w:sz w:val="20"/>
                <w:szCs w:val="20"/>
                <w:u w:val="none"/>
                <w:lang w:val="en-US" w:eastAsia="zh-CN" w:bidi="ar"/>
              </w:rPr>
              <w:t>。</w:t>
            </w:r>
          </w:p>
        </w:tc>
        <w:tc>
          <w:tcPr>
            <w:tcW w:w="0" w:type="auto"/>
            <w:vAlign w:val="center"/>
          </w:tcPr>
          <w:p w14:paraId="305DDB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436EBB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2C0126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F6AE01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16375 </w:t>
            </w:r>
          </w:p>
        </w:tc>
        <w:tc>
          <w:tcPr>
            <w:tcW w:w="0" w:type="auto"/>
            <w:vAlign w:val="center"/>
          </w:tcPr>
          <w:p w14:paraId="56E9D7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2360 </w:t>
            </w:r>
          </w:p>
        </w:tc>
        <w:tc>
          <w:tcPr>
            <w:tcW w:w="0" w:type="auto"/>
            <w:vAlign w:val="center"/>
          </w:tcPr>
          <w:p w14:paraId="2B03762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8000 </w:t>
            </w:r>
          </w:p>
        </w:tc>
        <w:tc>
          <w:tcPr>
            <w:tcW w:w="1230" w:type="dxa"/>
            <w:vAlign w:val="center"/>
          </w:tcPr>
          <w:p w14:paraId="0CF3CF7C">
            <w:pPr>
              <w:keepNext w:val="0"/>
              <w:keepLines w:val="0"/>
              <w:widowControl/>
              <w:suppressLineNumbers w:val="0"/>
              <w:spacing w:line="280" w:lineRule="exact"/>
              <w:ind w:left="-80" w:leftChars="-38" w:right="-61" w:rightChars="-2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对</w:t>
            </w:r>
            <w:r>
              <w:rPr>
                <w:rFonts w:hint="eastAsia" w:ascii="宋体" w:hAnsi="宋体" w:eastAsia="宋体" w:cs="宋体"/>
                <w:i w:val="0"/>
                <w:iCs w:val="0"/>
                <w:color w:val="auto"/>
                <w:spacing w:val="0"/>
                <w:kern w:val="0"/>
                <w:sz w:val="20"/>
                <w:szCs w:val="20"/>
                <w:u w:val="none"/>
                <w:lang w:val="en-US" w:eastAsia="zh-CN" w:bidi="ar"/>
              </w:rPr>
              <w:t>G205国道高埔岗街道口至大坑口沿线、龙岭五路沿线房屋、广告位及主要路口节点和埔前圩镇内“两纵一横”道路及沿线房屋、圩镇范围内其他支路巷道进行综合安全整治；对埔前河圩镇段、埔前镇文化广场、美丽圩镇客厅门前、示范主街榕树前等节点进行升级改造</w:t>
            </w:r>
            <w:r>
              <w:rPr>
                <w:rFonts w:hint="eastAsia" w:ascii="宋体" w:hAnsi="宋体" w:eastAsia="宋体" w:cs="宋体"/>
                <w:i w:val="0"/>
                <w:iCs w:val="0"/>
                <w:color w:val="auto"/>
                <w:kern w:val="0"/>
                <w:sz w:val="20"/>
                <w:szCs w:val="20"/>
                <w:u w:val="none"/>
                <w:lang w:val="en-US" w:eastAsia="zh-CN" w:bidi="ar"/>
              </w:rPr>
              <w:t>。</w:t>
            </w:r>
          </w:p>
        </w:tc>
        <w:tc>
          <w:tcPr>
            <w:tcW w:w="810" w:type="dxa"/>
            <w:vAlign w:val="center"/>
          </w:tcPr>
          <w:p w14:paraId="242B1A8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2024.07</w:t>
            </w:r>
          </w:p>
        </w:tc>
        <w:tc>
          <w:tcPr>
            <w:tcW w:w="0" w:type="auto"/>
            <w:vAlign w:val="center"/>
          </w:tcPr>
          <w:p w14:paraId="6B687E2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埔前镇政府</w:t>
            </w:r>
          </w:p>
        </w:tc>
        <w:tc>
          <w:tcPr>
            <w:tcW w:w="0" w:type="auto"/>
            <w:vAlign w:val="center"/>
          </w:tcPr>
          <w:p w14:paraId="3F8E60C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0C135AE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270E5DF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5B23B01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4E1D034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0634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0" w:type="auto"/>
            <w:vAlign w:val="center"/>
          </w:tcPr>
          <w:p w14:paraId="53F9CCE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23</w:t>
            </w:r>
          </w:p>
        </w:tc>
        <w:tc>
          <w:tcPr>
            <w:tcW w:w="0" w:type="auto"/>
            <w:vAlign w:val="center"/>
          </w:tcPr>
          <w:p w14:paraId="73F0B14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源城区感之源电子项目</w:t>
            </w:r>
          </w:p>
        </w:tc>
        <w:tc>
          <w:tcPr>
            <w:tcW w:w="0" w:type="auto"/>
            <w:vAlign w:val="center"/>
          </w:tcPr>
          <w:p w14:paraId="40709BBF">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占地面积19623.42平方米，总建筑面积约50375平方米。拟建1栋6层厂房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1栋5层厂房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1栋4层厂房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1栋1层生产辅助用房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1栋8层宿舍楼及1栋1层辅助用房。购置压机、自动化生产线等设备。</w:t>
            </w:r>
          </w:p>
        </w:tc>
        <w:tc>
          <w:tcPr>
            <w:tcW w:w="0" w:type="auto"/>
            <w:vAlign w:val="center"/>
          </w:tcPr>
          <w:p w14:paraId="2625071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4068A6C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C7A1DA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BEC859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12000 </w:t>
            </w:r>
          </w:p>
        </w:tc>
        <w:tc>
          <w:tcPr>
            <w:tcW w:w="0" w:type="auto"/>
            <w:vAlign w:val="center"/>
          </w:tcPr>
          <w:p w14:paraId="1E4A151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3CF521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0B41FB96">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拟建1栋6层厂房，1栋5层厂房，1栋4层厂房，1栋1层生产辅助用房，1栋8层宿舍楼及1栋1层辅助用房。</w:t>
            </w:r>
          </w:p>
        </w:tc>
        <w:tc>
          <w:tcPr>
            <w:tcW w:w="810" w:type="dxa"/>
            <w:vAlign w:val="center"/>
          </w:tcPr>
          <w:p w14:paraId="3304D0F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9</w:t>
            </w:r>
          </w:p>
        </w:tc>
        <w:tc>
          <w:tcPr>
            <w:tcW w:w="0" w:type="auto"/>
            <w:vAlign w:val="center"/>
          </w:tcPr>
          <w:p w14:paraId="5E9EC90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深圳市科达嘉电子有限公司</w:t>
            </w:r>
          </w:p>
        </w:tc>
        <w:tc>
          <w:tcPr>
            <w:tcW w:w="0" w:type="auto"/>
            <w:vAlign w:val="center"/>
          </w:tcPr>
          <w:p w14:paraId="01761BF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79B1878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2DCB375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14B7149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1366505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692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0" w:type="auto"/>
            <w:vAlign w:val="center"/>
          </w:tcPr>
          <w:p w14:paraId="230944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24</w:t>
            </w:r>
          </w:p>
        </w:tc>
        <w:tc>
          <w:tcPr>
            <w:tcW w:w="0" w:type="auto"/>
            <w:vAlign w:val="center"/>
          </w:tcPr>
          <w:p w14:paraId="13E9E86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源城区伊罗卡科技增资扩产项目</w:t>
            </w:r>
          </w:p>
        </w:tc>
        <w:tc>
          <w:tcPr>
            <w:tcW w:w="0" w:type="auto"/>
            <w:vAlign w:val="center"/>
          </w:tcPr>
          <w:p w14:paraId="7910DCF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占地面积30000平方米，总建筑面积44000平方米，拟建设3栋厂房。</w:t>
            </w:r>
          </w:p>
        </w:tc>
        <w:tc>
          <w:tcPr>
            <w:tcW w:w="0" w:type="auto"/>
            <w:vAlign w:val="center"/>
          </w:tcPr>
          <w:p w14:paraId="500CE99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63C857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A73348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01C9BE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10300 </w:t>
            </w:r>
          </w:p>
        </w:tc>
        <w:tc>
          <w:tcPr>
            <w:tcW w:w="0" w:type="auto"/>
            <w:vAlign w:val="center"/>
          </w:tcPr>
          <w:p w14:paraId="72A822E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 </w:t>
            </w:r>
          </w:p>
        </w:tc>
        <w:tc>
          <w:tcPr>
            <w:tcW w:w="0" w:type="auto"/>
            <w:vAlign w:val="center"/>
          </w:tcPr>
          <w:p w14:paraId="6BCD1C0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9500 </w:t>
            </w:r>
          </w:p>
        </w:tc>
        <w:tc>
          <w:tcPr>
            <w:tcW w:w="1230" w:type="dxa"/>
            <w:vAlign w:val="center"/>
          </w:tcPr>
          <w:p w14:paraId="594F11E3">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建设3栋厂房</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7CC5D74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74A09B9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河源伊罗卡科技发展有限公司</w:t>
            </w:r>
          </w:p>
        </w:tc>
        <w:tc>
          <w:tcPr>
            <w:tcW w:w="0" w:type="auto"/>
            <w:vAlign w:val="center"/>
          </w:tcPr>
          <w:p w14:paraId="5C3EB98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5463D3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7591B1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6EAF01A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BCB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0" w:type="auto"/>
            <w:vAlign w:val="center"/>
          </w:tcPr>
          <w:p w14:paraId="079BFFB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25</w:t>
            </w:r>
          </w:p>
        </w:tc>
        <w:tc>
          <w:tcPr>
            <w:tcW w:w="0" w:type="auto"/>
            <w:vAlign w:val="center"/>
          </w:tcPr>
          <w:p w14:paraId="7A06524D">
            <w:pPr>
              <w:keepNext w:val="0"/>
              <w:keepLines w:val="0"/>
              <w:widowControl/>
              <w:suppressLineNumbers w:val="0"/>
              <w:spacing w:line="320" w:lineRule="exact"/>
              <w:ind w:right="-21" w:rightChars="-10"/>
              <w:jc w:val="left"/>
              <w:textAlignment w:val="center"/>
              <w:rPr>
                <w:rFonts w:hint="eastAsia" w:ascii="宋体" w:hAnsi="宋体" w:eastAsia="仿宋_GB2312" w:cs="仿宋_GB2312"/>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源城区工业园一、二期整体升级改造及自建园市政工程项目</w:t>
            </w:r>
          </w:p>
        </w:tc>
        <w:tc>
          <w:tcPr>
            <w:tcW w:w="0" w:type="auto"/>
            <w:vAlign w:val="center"/>
          </w:tcPr>
          <w:p w14:paraId="1C7CD46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占地面积约15.16平方公里；主要对源城区工业园区一、二期整体进行升级改造，包括完善园区内的道路交通、供水、排水排污及配套附属工程等基础设施。其中新建市政道路2327.15米，改建市政道路9690米，新建供水管网、排水管网7800米、排污管网7800米、电气工程电线铺设</w:t>
            </w:r>
            <w:r>
              <w:rPr>
                <w:rFonts w:hint="eastAsia" w:ascii="宋体" w:hAnsi="宋体" w:cs="宋体"/>
                <w:i w:val="0"/>
                <w:iCs w:val="0"/>
                <w:color w:val="auto"/>
                <w:kern w:val="0"/>
                <w:sz w:val="20"/>
                <w:szCs w:val="20"/>
                <w:highlight w:val="none"/>
                <w:u w:val="none"/>
                <w:lang w:val="en-US" w:eastAsia="zh-CN" w:bidi="ar"/>
              </w:rPr>
              <w:t>7800</w:t>
            </w:r>
            <w:r>
              <w:rPr>
                <w:rFonts w:hint="eastAsia" w:ascii="宋体" w:hAnsi="宋体" w:eastAsia="宋体" w:cs="宋体"/>
                <w:i w:val="0"/>
                <w:iCs w:val="0"/>
                <w:color w:val="auto"/>
                <w:kern w:val="0"/>
                <w:sz w:val="20"/>
                <w:szCs w:val="20"/>
                <w:highlight w:val="none"/>
                <w:u w:val="none"/>
                <w:lang w:val="en-US" w:eastAsia="zh-CN" w:bidi="ar"/>
              </w:rPr>
              <w:t>米，新建园区配套停车场约40000平方米（停车位2880个）以及通风工程、弱电工程等配套附属工程。</w:t>
            </w:r>
          </w:p>
        </w:tc>
        <w:tc>
          <w:tcPr>
            <w:tcW w:w="0" w:type="auto"/>
            <w:vAlign w:val="center"/>
          </w:tcPr>
          <w:p w14:paraId="368C777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2021</w:t>
            </w:r>
          </w:p>
          <w:p w14:paraId="6F288CC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p w14:paraId="4F81D0C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2026</w:t>
            </w:r>
          </w:p>
        </w:tc>
        <w:tc>
          <w:tcPr>
            <w:tcW w:w="0" w:type="auto"/>
            <w:vAlign w:val="center"/>
          </w:tcPr>
          <w:p w14:paraId="55E0D512">
            <w:pPr>
              <w:keepNext w:val="0"/>
              <w:keepLines w:val="0"/>
              <w:widowControl/>
              <w:suppressLineNumbers w:val="0"/>
              <w:spacing w:line="320" w:lineRule="exact"/>
              <w:ind w:left="-100" w:leftChars="-57" w:right="-111" w:rightChars="-53" w:hanging="20" w:hangingChars="10"/>
              <w:jc w:val="center"/>
              <w:textAlignment w:val="center"/>
              <w:rPr>
                <w:rFonts w:hint="eastAsia" w:ascii="宋体" w:hAnsi="宋体" w:eastAsia="宋体" w:cs="Times New Roman"/>
                <w:i w:val="0"/>
                <w:iCs w:val="0"/>
                <w:color w:val="auto"/>
                <w:kern w:val="2"/>
                <w:sz w:val="20"/>
                <w:szCs w:val="20"/>
                <w:highlight w:val="none"/>
                <w:u w:val="none"/>
                <w:lang w:val="en-US" w:eastAsia="zh-CN" w:bidi="ar-SA"/>
              </w:rPr>
            </w:pPr>
            <w:r>
              <w:rPr>
                <w:rFonts w:hint="default" w:ascii="宋体" w:hAnsi="宋体" w:eastAsia="宋体" w:cs="Times New Roman"/>
                <w:i w:val="0"/>
                <w:iCs w:val="0"/>
                <w:color w:val="auto"/>
                <w:kern w:val="0"/>
                <w:sz w:val="20"/>
                <w:szCs w:val="20"/>
                <w:highlight w:val="none"/>
                <w:u w:val="none"/>
                <w:lang w:val="en-US" w:eastAsia="zh-CN" w:bidi="ar"/>
              </w:rPr>
              <w:t xml:space="preserve">300000 </w:t>
            </w:r>
          </w:p>
        </w:tc>
        <w:tc>
          <w:tcPr>
            <w:tcW w:w="0" w:type="auto"/>
            <w:vAlign w:val="center"/>
          </w:tcPr>
          <w:p w14:paraId="26AAC9C4">
            <w:pPr>
              <w:keepNext w:val="0"/>
              <w:keepLines w:val="0"/>
              <w:widowControl/>
              <w:suppressLineNumbers w:val="0"/>
              <w:spacing w:line="320" w:lineRule="exact"/>
              <w:jc w:val="center"/>
              <w:textAlignment w:val="center"/>
              <w:rPr>
                <w:rFonts w:hint="eastAsia" w:ascii="宋体" w:hAnsi="宋体" w:eastAsia="宋体" w:cs="Times New Roman"/>
                <w:i w:val="0"/>
                <w:iCs w:val="0"/>
                <w:color w:val="auto"/>
                <w:kern w:val="2"/>
                <w:sz w:val="20"/>
                <w:szCs w:val="20"/>
                <w:highlight w:val="none"/>
                <w:u w:val="none"/>
                <w:lang w:val="en-US" w:eastAsia="zh-CN" w:bidi="ar-SA"/>
              </w:rPr>
            </w:pPr>
            <w:r>
              <w:rPr>
                <w:rFonts w:hint="default" w:ascii="宋体" w:hAnsi="宋体" w:eastAsia="宋体" w:cs="Times New Roman"/>
                <w:i w:val="0"/>
                <w:iCs w:val="0"/>
                <w:color w:val="auto"/>
                <w:kern w:val="0"/>
                <w:sz w:val="20"/>
                <w:szCs w:val="20"/>
                <w:highlight w:val="none"/>
                <w:u w:val="none"/>
                <w:lang w:val="en-US" w:eastAsia="zh-CN" w:bidi="ar"/>
              </w:rPr>
              <w:t xml:space="preserve">30000 </w:t>
            </w:r>
          </w:p>
        </w:tc>
        <w:tc>
          <w:tcPr>
            <w:tcW w:w="0" w:type="auto"/>
            <w:vAlign w:val="center"/>
          </w:tcPr>
          <w:p w14:paraId="247DC1C6">
            <w:pPr>
              <w:keepNext w:val="0"/>
              <w:keepLines w:val="0"/>
              <w:widowControl/>
              <w:suppressLineNumbers w:val="0"/>
              <w:spacing w:line="320" w:lineRule="exact"/>
              <w:jc w:val="center"/>
              <w:textAlignment w:val="center"/>
              <w:rPr>
                <w:rFonts w:hint="eastAsia" w:ascii="宋体" w:hAnsi="宋体" w:eastAsia="宋体" w:cs="Times New Roman"/>
                <w:i w:val="0"/>
                <w:iCs w:val="0"/>
                <w:color w:val="auto"/>
                <w:kern w:val="2"/>
                <w:sz w:val="20"/>
                <w:szCs w:val="20"/>
                <w:highlight w:val="none"/>
                <w:u w:val="none"/>
                <w:lang w:val="en-US" w:eastAsia="zh-CN" w:bidi="ar-SA"/>
              </w:rPr>
            </w:pPr>
            <w:r>
              <w:rPr>
                <w:rFonts w:hint="default" w:ascii="宋体" w:hAnsi="宋体" w:eastAsia="宋体" w:cs="Times New Roman"/>
                <w:i w:val="0"/>
                <w:iCs w:val="0"/>
                <w:color w:val="auto"/>
                <w:kern w:val="0"/>
                <w:sz w:val="20"/>
                <w:szCs w:val="20"/>
                <w:highlight w:val="none"/>
                <w:u w:val="none"/>
                <w:lang w:val="en-US" w:eastAsia="zh-CN" w:bidi="ar"/>
              </w:rPr>
              <w:t>15000</w:t>
            </w:r>
          </w:p>
        </w:tc>
        <w:tc>
          <w:tcPr>
            <w:tcW w:w="1230" w:type="dxa"/>
            <w:vAlign w:val="center"/>
          </w:tcPr>
          <w:p w14:paraId="611DCD3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源城区工业园区一、二期整体进行升级改造、园区新建及道路整治提升</w:t>
            </w:r>
            <w:r>
              <w:rPr>
                <w:rFonts w:hint="eastAsia" w:ascii="宋体" w:hAnsi="宋体" w:cs="宋体"/>
                <w:i w:val="0"/>
                <w:iCs w:val="0"/>
                <w:color w:val="auto"/>
                <w:kern w:val="0"/>
                <w:sz w:val="20"/>
                <w:szCs w:val="20"/>
                <w:highlight w:val="none"/>
                <w:u w:val="none"/>
                <w:lang w:val="en-US" w:eastAsia="zh-CN" w:bidi="ar"/>
              </w:rPr>
              <w:t>。</w:t>
            </w:r>
          </w:p>
        </w:tc>
        <w:tc>
          <w:tcPr>
            <w:tcW w:w="810" w:type="dxa"/>
            <w:vAlign w:val="center"/>
          </w:tcPr>
          <w:p w14:paraId="62A714E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2021.12</w:t>
            </w:r>
          </w:p>
        </w:tc>
        <w:tc>
          <w:tcPr>
            <w:tcW w:w="0" w:type="auto"/>
            <w:vAlign w:val="center"/>
          </w:tcPr>
          <w:p w14:paraId="0FB9C3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7A9C3A3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2CF08C6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1385E88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085B37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产业发展平台项目</w:t>
            </w:r>
          </w:p>
        </w:tc>
      </w:tr>
      <w:tr w14:paraId="2D0A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103BB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26</w:t>
            </w:r>
          </w:p>
        </w:tc>
        <w:tc>
          <w:tcPr>
            <w:tcW w:w="0" w:type="auto"/>
            <w:vAlign w:val="center"/>
          </w:tcPr>
          <w:p w14:paraId="7AECA430">
            <w:pPr>
              <w:keepNext w:val="0"/>
              <w:keepLines w:val="0"/>
              <w:widowControl/>
              <w:suppressLineNumbers w:val="0"/>
              <w:spacing w:line="320" w:lineRule="exact"/>
              <w:ind w:right="-40" w:rightChars="-1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源城区凯越建筑设备生产项目</w:t>
            </w:r>
          </w:p>
        </w:tc>
        <w:tc>
          <w:tcPr>
            <w:tcW w:w="0" w:type="auto"/>
            <w:vAlign w:val="center"/>
          </w:tcPr>
          <w:p w14:paraId="78F588C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占地面积为10358.53平方米，建筑占地面积为5078.36平方米，拟建设</w:t>
            </w:r>
            <w:r>
              <w:rPr>
                <w:rFonts w:hint="eastAsia" w:ascii="宋体" w:hAnsi="宋体" w:cs="宋体"/>
                <w:i w:val="0"/>
                <w:iCs w:val="0"/>
                <w:color w:val="auto"/>
                <w:spacing w:val="-6"/>
                <w:kern w:val="0"/>
                <w:sz w:val="20"/>
                <w:szCs w:val="20"/>
                <w:u w:val="none"/>
                <w:lang w:val="en-US" w:eastAsia="zh-CN" w:bidi="ar"/>
              </w:rPr>
              <w:t>2</w:t>
            </w:r>
            <w:r>
              <w:rPr>
                <w:rFonts w:hint="eastAsia" w:ascii="宋体" w:hAnsi="宋体" w:eastAsia="宋体" w:cs="宋体"/>
                <w:i w:val="0"/>
                <w:iCs w:val="0"/>
                <w:color w:val="auto"/>
                <w:spacing w:val="-6"/>
                <w:kern w:val="0"/>
                <w:sz w:val="20"/>
                <w:szCs w:val="20"/>
                <w:u w:val="none"/>
                <w:lang w:val="en-US" w:eastAsia="zh-CN" w:bidi="ar"/>
              </w:rPr>
              <w:t>栋厂房，其中1#厂房</w:t>
            </w:r>
            <w:r>
              <w:rPr>
                <w:rFonts w:hint="eastAsia" w:ascii="宋体" w:hAnsi="宋体" w:cs="宋体"/>
                <w:i w:val="0"/>
                <w:iCs w:val="0"/>
                <w:color w:val="auto"/>
                <w:spacing w:val="-6"/>
                <w:kern w:val="0"/>
                <w:sz w:val="20"/>
                <w:szCs w:val="20"/>
                <w:u w:val="none"/>
                <w:lang w:val="en-US" w:eastAsia="zh-CN" w:bidi="ar"/>
              </w:rPr>
              <w:t>4</w:t>
            </w:r>
            <w:r>
              <w:rPr>
                <w:rFonts w:hint="eastAsia" w:ascii="宋体" w:hAnsi="宋体" w:eastAsia="宋体" w:cs="宋体"/>
                <w:i w:val="0"/>
                <w:iCs w:val="0"/>
                <w:color w:val="auto"/>
                <w:spacing w:val="-6"/>
                <w:kern w:val="0"/>
                <w:sz w:val="20"/>
                <w:szCs w:val="20"/>
                <w:u w:val="none"/>
                <w:lang w:val="en-US" w:eastAsia="zh-CN" w:bidi="ar"/>
              </w:rPr>
              <w:t>层，2#厂房</w:t>
            </w:r>
            <w:r>
              <w:rPr>
                <w:rFonts w:hint="eastAsia" w:ascii="宋体" w:hAnsi="宋体" w:cs="宋体"/>
                <w:i w:val="0"/>
                <w:iCs w:val="0"/>
                <w:color w:val="auto"/>
                <w:spacing w:val="-6"/>
                <w:kern w:val="0"/>
                <w:sz w:val="20"/>
                <w:szCs w:val="20"/>
                <w:u w:val="none"/>
                <w:lang w:val="en-US" w:eastAsia="zh-CN" w:bidi="ar"/>
              </w:rPr>
              <w:t>2</w:t>
            </w:r>
            <w:r>
              <w:rPr>
                <w:rFonts w:hint="eastAsia" w:ascii="宋体" w:hAnsi="宋体" w:eastAsia="宋体" w:cs="宋体"/>
                <w:i w:val="0"/>
                <w:iCs w:val="0"/>
                <w:color w:val="auto"/>
                <w:spacing w:val="-6"/>
                <w:kern w:val="0"/>
                <w:sz w:val="20"/>
                <w:szCs w:val="20"/>
                <w:u w:val="none"/>
                <w:lang w:val="en-US" w:eastAsia="zh-CN" w:bidi="ar"/>
              </w:rPr>
              <w:t>层，总建筑面积为16007.65平方米；并购置激光切割机、数控车床等设备。</w:t>
            </w:r>
          </w:p>
        </w:tc>
        <w:tc>
          <w:tcPr>
            <w:tcW w:w="0" w:type="auto"/>
            <w:vAlign w:val="center"/>
          </w:tcPr>
          <w:p w14:paraId="71FFE0F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2A9CB25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7821B8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2757021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0" w:type="auto"/>
            <w:vAlign w:val="center"/>
          </w:tcPr>
          <w:p w14:paraId="27A66AA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vAlign w:val="center"/>
          </w:tcPr>
          <w:p w14:paraId="0DC897E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4000 </w:t>
            </w:r>
          </w:p>
        </w:tc>
        <w:tc>
          <w:tcPr>
            <w:tcW w:w="1230" w:type="dxa"/>
            <w:vAlign w:val="center"/>
          </w:tcPr>
          <w:p w14:paraId="3C21492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8CA53C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2024.09 </w:t>
            </w:r>
          </w:p>
        </w:tc>
        <w:tc>
          <w:tcPr>
            <w:tcW w:w="0" w:type="auto"/>
            <w:vAlign w:val="center"/>
          </w:tcPr>
          <w:p w14:paraId="6BEC657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河源市凯越机械工程有限公司</w:t>
            </w:r>
          </w:p>
        </w:tc>
        <w:tc>
          <w:tcPr>
            <w:tcW w:w="0" w:type="auto"/>
            <w:vAlign w:val="center"/>
          </w:tcPr>
          <w:p w14:paraId="0735FD1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区</w:t>
            </w:r>
            <w:r>
              <w:rPr>
                <w:rFonts w:hint="eastAsia" w:ascii="宋体" w:hAnsi="宋体" w:eastAsia="宋体" w:cs="宋体"/>
                <w:i w:val="0"/>
                <w:iCs w:val="0"/>
                <w:color w:val="auto"/>
                <w:kern w:val="0"/>
                <w:sz w:val="20"/>
                <w:szCs w:val="20"/>
                <w:u w:val="none"/>
                <w:lang w:val="en-US" w:eastAsia="zh-CN" w:bidi="ar"/>
              </w:rPr>
              <w:t>工业园管委会</w:t>
            </w:r>
          </w:p>
        </w:tc>
        <w:tc>
          <w:tcPr>
            <w:tcW w:w="0" w:type="auto"/>
            <w:vAlign w:val="center"/>
          </w:tcPr>
          <w:p w14:paraId="5D4FD7E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18DA6D7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2522520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4D62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0" w:type="auto"/>
            <w:vAlign w:val="center"/>
          </w:tcPr>
          <w:p w14:paraId="1BBD070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27</w:t>
            </w:r>
          </w:p>
        </w:tc>
        <w:tc>
          <w:tcPr>
            <w:tcW w:w="0" w:type="auto"/>
            <w:vAlign w:val="center"/>
          </w:tcPr>
          <w:p w14:paraId="4392CB8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源城区万桥科技钢结构及钢结构模板生产项目</w:t>
            </w:r>
          </w:p>
        </w:tc>
        <w:tc>
          <w:tcPr>
            <w:tcW w:w="0" w:type="auto"/>
            <w:vAlign w:val="center"/>
          </w:tcPr>
          <w:p w14:paraId="139EC36F">
            <w:pPr>
              <w:keepNext w:val="0"/>
              <w:keepLines w:val="0"/>
              <w:widowControl/>
              <w:suppressLineNumbers w:val="0"/>
              <w:spacing w:line="240" w:lineRule="auto"/>
              <w:jc w:val="left"/>
              <w:textAlignment w:val="auto"/>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占地面积20085.79平方米，总建筑面积约30000平方米，建设1栋1层厂房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1栋8层宿舍楼</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1栋6层办公楼。</w:t>
            </w:r>
          </w:p>
        </w:tc>
        <w:tc>
          <w:tcPr>
            <w:tcW w:w="0" w:type="auto"/>
            <w:vAlign w:val="center"/>
          </w:tcPr>
          <w:p w14:paraId="69E05BD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7FF2950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A34285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5BD8C37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0" w:type="auto"/>
            <w:vAlign w:val="center"/>
          </w:tcPr>
          <w:p w14:paraId="7D36747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7031DF2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2C0E4A91">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建设厂房1栋1层，宿舍楼1栋8层,办公楼1栋6层。</w:t>
            </w:r>
          </w:p>
        </w:tc>
        <w:tc>
          <w:tcPr>
            <w:tcW w:w="810" w:type="dxa"/>
            <w:vAlign w:val="center"/>
          </w:tcPr>
          <w:p w14:paraId="1911565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2024.09</w:t>
            </w:r>
          </w:p>
        </w:tc>
        <w:tc>
          <w:tcPr>
            <w:tcW w:w="0" w:type="auto"/>
            <w:vAlign w:val="center"/>
          </w:tcPr>
          <w:p w14:paraId="64F1ECD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河源市万桥科技有限公司</w:t>
            </w:r>
          </w:p>
        </w:tc>
        <w:tc>
          <w:tcPr>
            <w:tcW w:w="0" w:type="auto"/>
            <w:vAlign w:val="center"/>
          </w:tcPr>
          <w:p w14:paraId="3142AE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EA20B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2118AF1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28F66D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05DE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4A8C17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28</w:t>
            </w:r>
          </w:p>
        </w:tc>
        <w:tc>
          <w:tcPr>
            <w:tcW w:w="0" w:type="auto"/>
            <w:vAlign w:val="center"/>
          </w:tcPr>
          <w:p w14:paraId="36E31B5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源城区广杰精密零件生产项目</w:t>
            </w:r>
          </w:p>
        </w:tc>
        <w:tc>
          <w:tcPr>
            <w:tcW w:w="0" w:type="auto"/>
            <w:vAlign w:val="center"/>
          </w:tcPr>
          <w:p w14:paraId="2941D6E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建筑面积共13750平方米，1栋</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层厂房，1栋</w:t>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层宿舍。</w:t>
            </w:r>
          </w:p>
        </w:tc>
        <w:tc>
          <w:tcPr>
            <w:tcW w:w="0" w:type="auto"/>
            <w:vAlign w:val="center"/>
          </w:tcPr>
          <w:p w14:paraId="5FE3F79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4C28155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F4DB31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1E3D8F7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0" w:type="auto"/>
            <w:vAlign w:val="center"/>
          </w:tcPr>
          <w:p w14:paraId="2D12C4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44EC8F6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8000</w:t>
            </w:r>
          </w:p>
        </w:tc>
        <w:tc>
          <w:tcPr>
            <w:tcW w:w="1230" w:type="dxa"/>
            <w:vAlign w:val="center"/>
          </w:tcPr>
          <w:p w14:paraId="36B740C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36975E9">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2024.09</w:t>
            </w:r>
          </w:p>
        </w:tc>
        <w:tc>
          <w:tcPr>
            <w:tcW w:w="0" w:type="auto"/>
            <w:vAlign w:val="center"/>
          </w:tcPr>
          <w:p w14:paraId="1EAF600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河源广杰精密零件制造有限公司</w:t>
            </w:r>
          </w:p>
        </w:tc>
        <w:tc>
          <w:tcPr>
            <w:tcW w:w="0" w:type="auto"/>
            <w:vAlign w:val="center"/>
          </w:tcPr>
          <w:p w14:paraId="6BEE699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9BFFDC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82455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725712D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A1B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107752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29</w:t>
            </w:r>
          </w:p>
        </w:tc>
        <w:tc>
          <w:tcPr>
            <w:tcW w:w="0" w:type="auto"/>
            <w:vAlign w:val="center"/>
          </w:tcPr>
          <w:p w14:paraId="2CA312C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源城区佳明辉潮玩塑胶玩具生产项目</w:t>
            </w:r>
          </w:p>
        </w:tc>
        <w:tc>
          <w:tcPr>
            <w:tcW w:w="0" w:type="auto"/>
            <w:vAlign w:val="center"/>
          </w:tcPr>
          <w:p w14:paraId="68E0608C">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总建筑面积约41762.62平方米，主要建设3栋4层的厂房、1栋7层的研发办公楼、1栋6层的宿舍楼及相关配套设施。</w:t>
            </w:r>
          </w:p>
        </w:tc>
        <w:tc>
          <w:tcPr>
            <w:tcW w:w="0" w:type="auto"/>
            <w:vAlign w:val="center"/>
          </w:tcPr>
          <w:p w14:paraId="218F918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3C81C26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1236C5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119B64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30000 </w:t>
            </w:r>
          </w:p>
        </w:tc>
        <w:tc>
          <w:tcPr>
            <w:tcW w:w="0" w:type="auto"/>
            <w:vAlign w:val="center"/>
          </w:tcPr>
          <w:p w14:paraId="59B8D7B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0" w:type="auto"/>
            <w:vAlign w:val="center"/>
          </w:tcPr>
          <w:p w14:paraId="7310B71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15000</w:t>
            </w:r>
          </w:p>
        </w:tc>
        <w:tc>
          <w:tcPr>
            <w:tcW w:w="1230" w:type="dxa"/>
            <w:vAlign w:val="center"/>
          </w:tcPr>
          <w:p w14:paraId="536CD4E7">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0446167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2024.08</w:t>
            </w:r>
          </w:p>
        </w:tc>
        <w:tc>
          <w:tcPr>
            <w:tcW w:w="0" w:type="auto"/>
            <w:vAlign w:val="center"/>
          </w:tcPr>
          <w:p w14:paraId="728A41B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河源市佳明辉潮玩动漫科技有限公司</w:t>
            </w:r>
          </w:p>
        </w:tc>
        <w:tc>
          <w:tcPr>
            <w:tcW w:w="0" w:type="auto"/>
            <w:vAlign w:val="center"/>
          </w:tcPr>
          <w:p w14:paraId="6423B0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189EBD5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8AB3C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0AAB0C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1F7E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D929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w:t>
            </w:r>
          </w:p>
        </w:tc>
        <w:tc>
          <w:tcPr>
            <w:tcW w:w="0" w:type="auto"/>
            <w:vAlign w:val="center"/>
          </w:tcPr>
          <w:p w14:paraId="280C964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源城区帝澳森家居生产项目</w:t>
            </w:r>
          </w:p>
        </w:tc>
        <w:tc>
          <w:tcPr>
            <w:tcW w:w="0" w:type="auto"/>
            <w:vAlign w:val="center"/>
          </w:tcPr>
          <w:p w14:paraId="1EC41E0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占地面积2万平方米，建设2栋厂房、1栋办公楼、1栋宿舍楼。</w:t>
            </w:r>
          </w:p>
        </w:tc>
        <w:tc>
          <w:tcPr>
            <w:tcW w:w="0" w:type="auto"/>
            <w:vAlign w:val="center"/>
          </w:tcPr>
          <w:p w14:paraId="73E0CE1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7424E5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11AAC57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1C4423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20000 </w:t>
            </w:r>
          </w:p>
        </w:tc>
        <w:tc>
          <w:tcPr>
            <w:tcW w:w="0" w:type="auto"/>
            <w:vAlign w:val="center"/>
          </w:tcPr>
          <w:p w14:paraId="383CBEB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vAlign w:val="center"/>
          </w:tcPr>
          <w:p w14:paraId="5FAF65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0B50169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119C70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6148728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广东帝澳森家居有限公司</w:t>
            </w:r>
          </w:p>
        </w:tc>
        <w:tc>
          <w:tcPr>
            <w:tcW w:w="0" w:type="auto"/>
            <w:vAlign w:val="center"/>
          </w:tcPr>
          <w:p w14:paraId="7B2AE4D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3B79A23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09EF49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72F7B20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49AA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ACA984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31</w:t>
            </w:r>
          </w:p>
        </w:tc>
        <w:tc>
          <w:tcPr>
            <w:tcW w:w="0" w:type="auto"/>
            <w:vAlign w:val="center"/>
          </w:tcPr>
          <w:p w14:paraId="14A35527">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源城区富凯工艺品生产项目</w:t>
            </w:r>
          </w:p>
        </w:tc>
        <w:tc>
          <w:tcPr>
            <w:tcW w:w="0" w:type="auto"/>
            <w:vAlign w:val="center"/>
          </w:tcPr>
          <w:p w14:paraId="78E856E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建筑面积约32000平方米，</w:t>
            </w:r>
            <w:r>
              <w:rPr>
                <w:rFonts w:hint="eastAsia" w:ascii="宋体" w:hAnsi="宋体" w:cs="宋体"/>
                <w:i w:val="0"/>
                <w:iCs w:val="0"/>
                <w:color w:val="auto"/>
                <w:kern w:val="0"/>
                <w:sz w:val="20"/>
                <w:szCs w:val="20"/>
                <w:u w:val="none"/>
                <w:lang w:val="en-US" w:eastAsia="zh-CN" w:bidi="ar"/>
              </w:rPr>
              <w:t>建设</w:t>
            </w:r>
            <w:r>
              <w:rPr>
                <w:rFonts w:hint="eastAsia" w:ascii="宋体" w:hAnsi="宋体" w:eastAsia="宋体" w:cs="宋体"/>
                <w:i w:val="0"/>
                <w:iCs w:val="0"/>
                <w:color w:val="auto"/>
                <w:kern w:val="0"/>
                <w:sz w:val="20"/>
                <w:szCs w:val="20"/>
                <w:u w:val="none"/>
                <w:lang w:val="en-US" w:eastAsia="zh-CN" w:bidi="ar"/>
              </w:rPr>
              <w:t>3栋5层厂房</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1栋5层宿舍</w:t>
            </w:r>
            <w:r>
              <w:rPr>
                <w:rFonts w:hint="eastAsia" w:ascii="宋体" w:hAnsi="宋体" w:cs="宋体"/>
                <w:i w:val="0"/>
                <w:iCs w:val="0"/>
                <w:color w:val="auto"/>
                <w:kern w:val="0"/>
                <w:sz w:val="20"/>
                <w:szCs w:val="20"/>
                <w:u w:val="none"/>
                <w:lang w:val="en-US" w:eastAsia="zh-CN" w:bidi="ar"/>
              </w:rPr>
              <w:t>。</w:t>
            </w:r>
          </w:p>
        </w:tc>
        <w:tc>
          <w:tcPr>
            <w:tcW w:w="0" w:type="auto"/>
            <w:vAlign w:val="center"/>
          </w:tcPr>
          <w:p w14:paraId="787837D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B8E729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529A1D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65619A7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20000</w:t>
            </w:r>
          </w:p>
        </w:tc>
        <w:tc>
          <w:tcPr>
            <w:tcW w:w="0" w:type="auto"/>
            <w:vAlign w:val="center"/>
          </w:tcPr>
          <w:p w14:paraId="6C7BCDE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34143EC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13000</w:t>
            </w:r>
          </w:p>
        </w:tc>
        <w:tc>
          <w:tcPr>
            <w:tcW w:w="1230" w:type="dxa"/>
            <w:vAlign w:val="center"/>
          </w:tcPr>
          <w:p w14:paraId="5F65EE3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4DBA493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0D0617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河源市富凯投资发展有限公司</w:t>
            </w:r>
          </w:p>
        </w:tc>
        <w:tc>
          <w:tcPr>
            <w:tcW w:w="0" w:type="auto"/>
            <w:vAlign w:val="center"/>
          </w:tcPr>
          <w:p w14:paraId="46C6CF8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上城街道办</w:t>
            </w:r>
          </w:p>
        </w:tc>
        <w:tc>
          <w:tcPr>
            <w:tcW w:w="0" w:type="auto"/>
            <w:vAlign w:val="center"/>
          </w:tcPr>
          <w:p w14:paraId="1B3E0BB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F6FF6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50801A1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C00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8D546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32</w:t>
            </w:r>
          </w:p>
        </w:tc>
        <w:tc>
          <w:tcPr>
            <w:tcW w:w="0" w:type="auto"/>
            <w:vAlign w:val="center"/>
          </w:tcPr>
          <w:p w14:paraId="34E5008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河源春沐源·岭南生态农业观光建设项目</w:t>
            </w:r>
          </w:p>
        </w:tc>
        <w:tc>
          <w:tcPr>
            <w:tcW w:w="0" w:type="auto"/>
            <w:vAlign w:val="center"/>
          </w:tcPr>
          <w:p w14:paraId="382E7065">
            <w:pPr>
              <w:keepNext w:val="0"/>
              <w:keepLines w:val="0"/>
              <w:widowControl/>
              <w:suppressLineNumbers w:val="0"/>
              <w:spacing w:line="30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占地面积约</w:t>
            </w:r>
            <w:r>
              <w:rPr>
                <w:rFonts w:hint="eastAsia" w:ascii="宋体" w:hAnsi="宋体" w:cs="宋体"/>
                <w:i w:val="0"/>
                <w:iCs w:val="0"/>
                <w:color w:val="auto"/>
                <w:kern w:val="0"/>
                <w:sz w:val="20"/>
                <w:szCs w:val="20"/>
                <w:u w:val="none"/>
                <w:lang w:val="en-US" w:eastAsia="zh-CN" w:bidi="ar"/>
              </w:rPr>
              <w:t>93.33万平方米，</w:t>
            </w:r>
            <w:r>
              <w:rPr>
                <w:rFonts w:hint="eastAsia" w:ascii="宋体" w:hAnsi="宋体" w:eastAsia="宋体" w:cs="宋体"/>
                <w:i w:val="0"/>
                <w:iCs w:val="0"/>
                <w:color w:val="auto"/>
                <w:kern w:val="0"/>
                <w:sz w:val="20"/>
                <w:szCs w:val="20"/>
                <w:u w:val="none"/>
                <w:lang w:val="en-US" w:eastAsia="zh-CN" w:bidi="ar"/>
              </w:rPr>
              <w:t>建设内容为景观农业示范区</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景观花海</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果蔬无土种植温室大棚</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蔬菜加工厂</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农业科技中心</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研发基地</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农业公园</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儿童营地</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商业长廊</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体育公园</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温泉公园项目以及道路</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给排水等市政农业观光配套设施</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主要产出以果蔬菜</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加工农产品及花卉等。</w:t>
            </w:r>
          </w:p>
        </w:tc>
        <w:tc>
          <w:tcPr>
            <w:tcW w:w="0" w:type="auto"/>
            <w:vAlign w:val="center"/>
          </w:tcPr>
          <w:p w14:paraId="34D7778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2016</w:t>
            </w:r>
          </w:p>
          <w:p w14:paraId="7DFA0A3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2D5AF6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263CE4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300000 </w:t>
            </w:r>
          </w:p>
        </w:tc>
        <w:tc>
          <w:tcPr>
            <w:tcW w:w="0" w:type="auto"/>
            <w:vAlign w:val="center"/>
          </w:tcPr>
          <w:p w14:paraId="5F36FC0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189000 </w:t>
            </w:r>
          </w:p>
        </w:tc>
        <w:tc>
          <w:tcPr>
            <w:tcW w:w="0" w:type="auto"/>
            <w:vAlign w:val="center"/>
          </w:tcPr>
          <w:p w14:paraId="5F49BE3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6FC997A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扩建农业科技大棚、配套市政、道路、路政网管建设等</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0F380D56">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5C74B35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河源弘稼农业科技有限公司</w:t>
            </w:r>
          </w:p>
        </w:tc>
        <w:tc>
          <w:tcPr>
            <w:tcW w:w="0" w:type="auto"/>
            <w:vAlign w:val="center"/>
          </w:tcPr>
          <w:p w14:paraId="5FB9A93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7411758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1304A3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14DCD1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7D92ADE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2B4B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4677B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33</w:t>
            </w:r>
          </w:p>
        </w:tc>
        <w:tc>
          <w:tcPr>
            <w:tcW w:w="0" w:type="auto"/>
            <w:vAlign w:val="center"/>
          </w:tcPr>
          <w:p w14:paraId="38D03971">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源城区妇幼保健计划生育服务中心二期项目</w:t>
            </w:r>
          </w:p>
        </w:tc>
        <w:tc>
          <w:tcPr>
            <w:tcW w:w="0" w:type="auto"/>
            <w:vAlign w:val="center"/>
          </w:tcPr>
          <w:p w14:paraId="389C2E4F">
            <w:pPr>
              <w:keepNext w:val="0"/>
              <w:keepLines w:val="0"/>
              <w:widowControl/>
              <w:suppressLineNumbers w:val="0"/>
              <w:spacing w:line="320" w:lineRule="exact"/>
              <w:ind w:left="-59" w:leftChars="-28" w:right="-53" w:rightChars="-25"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占地面积3053平方米，拆除上城社区卫生服务中心综合大楼和区精神卫生防治所住院大楼，并在拆除原址上新建一栋建筑总面积约16</w:t>
            </w:r>
            <w:r>
              <w:rPr>
                <w:rFonts w:hint="eastAsia" w:ascii="宋体" w:hAnsi="宋体" w:cs="宋体"/>
                <w:i w:val="0"/>
                <w:iCs w:val="0"/>
                <w:color w:val="auto"/>
                <w:kern w:val="0"/>
                <w:sz w:val="20"/>
                <w:szCs w:val="20"/>
                <w:u w:val="none"/>
                <w:lang w:val="en-US" w:eastAsia="zh-CN" w:bidi="ar"/>
              </w:rPr>
              <w:t>000</w:t>
            </w:r>
            <w:r>
              <w:rPr>
                <w:rFonts w:hint="eastAsia" w:ascii="宋体" w:hAnsi="宋体" w:eastAsia="宋体" w:cs="宋体"/>
                <w:i w:val="0"/>
                <w:iCs w:val="0"/>
                <w:color w:val="auto"/>
                <w:kern w:val="0"/>
                <w:sz w:val="20"/>
                <w:szCs w:val="20"/>
                <w:u w:val="none"/>
                <w:lang w:val="en-US" w:eastAsia="zh-CN" w:bidi="ar"/>
              </w:rPr>
              <w:t>平方米的10层综合大楼(地面9层，地下1层)，内设病房、医技业务用房、保健业务用房、门诊急诊业务用房，改造原有住院大楼底层停车场、走廊、地下室人防工程、室内外附属工程等，购置综合大楼配套设备、信息化系统及基本医疗设备。</w:t>
            </w:r>
          </w:p>
        </w:tc>
        <w:tc>
          <w:tcPr>
            <w:tcW w:w="0" w:type="auto"/>
            <w:vAlign w:val="center"/>
          </w:tcPr>
          <w:p w14:paraId="2182721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w:t>
            </w:r>
          </w:p>
          <w:p w14:paraId="1DF2DE5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C86813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C8F870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20104 </w:t>
            </w:r>
          </w:p>
        </w:tc>
        <w:tc>
          <w:tcPr>
            <w:tcW w:w="0" w:type="auto"/>
            <w:vAlign w:val="center"/>
          </w:tcPr>
          <w:p w14:paraId="1E1CE5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13104 </w:t>
            </w:r>
          </w:p>
        </w:tc>
        <w:tc>
          <w:tcPr>
            <w:tcW w:w="0" w:type="auto"/>
            <w:vAlign w:val="center"/>
          </w:tcPr>
          <w:p w14:paraId="7C3DE6A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7000</w:t>
            </w:r>
          </w:p>
        </w:tc>
        <w:tc>
          <w:tcPr>
            <w:tcW w:w="1230" w:type="dxa"/>
            <w:vAlign w:val="center"/>
          </w:tcPr>
          <w:p w14:paraId="193ADB3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完成综合大楼主体建设及装修工作。</w:t>
            </w:r>
          </w:p>
        </w:tc>
        <w:tc>
          <w:tcPr>
            <w:tcW w:w="810" w:type="dxa"/>
            <w:vAlign w:val="center"/>
          </w:tcPr>
          <w:p w14:paraId="00F5A2E5">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2022.11</w:t>
            </w:r>
          </w:p>
        </w:tc>
        <w:tc>
          <w:tcPr>
            <w:tcW w:w="0" w:type="auto"/>
            <w:vAlign w:val="center"/>
          </w:tcPr>
          <w:p w14:paraId="7213158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区妇幼保健计划生育服务中心</w:t>
            </w:r>
          </w:p>
        </w:tc>
        <w:tc>
          <w:tcPr>
            <w:tcW w:w="0" w:type="auto"/>
            <w:vAlign w:val="center"/>
          </w:tcPr>
          <w:p w14:paraId="42915D7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新江街道办</w:t>
            </w:r>
          </w:p>
        </w:tc>
        <w:tc>
          <w:tcPr>
            <w:tcW w:w="0" w:type="auto"/>
            <w:vAlign w:val="center"/>
          </w:tcPr>
          <w:p w14:paraId="5782B7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49D73EA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市重点项目</w:t>
            </w:r>
          </w:p>
        </w:tc>
        <w:tc>
          <w:tcPr>
            <w:tcW w:w="0" w:type="auto"/>
            <w:vAlign w:val="center"/>
          </w:tcPr>
          <w:p w14:paraId="22473B5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医疗卫生项目</w:t>
            </w:r>
          </w:p>
        </w:tc>
      </w:tr>
      <w:tr w14:paraId="4E09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8D282B">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三</w:t>
            </w:r>
          </w:p>
        </w:tc>
        <w:tc>
          <w:tcPr>
            <w:tcW w:w="0" w:type="auto"/>
            <w:vAlign w:val="center"/>
          </w:tcPr>
          <w:p w14:paraId="0020CCDA">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区本级重点项目（41项）</w:t>
            </w:r>
          </w:p>
        </w:tc>
        <w:tc>
          <w:tcPr>
            <w:tcW w:w="0" w:type="auto"/>
            <w:vAlign w:val="center"/>
          </w:tcPr>
          <w:p w14:paraId="2E11EDAE">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54A2DCD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CB789B7">
            <w:pPr>
              <w:keepNext w:val="0"/>
              <w:keepLines w:val="0"/>
              <w:widowControl/>
              <w:suppressLineNumbers w:val="0"/>
              <w:spacing w:line="320" w:lineRule="exact"/>
              <w:ind w:left="-99" w:leftChars="-47" w:right="-97" w:rightChars="-46" w:firstLine="0" w:firstLineChars="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3810116 </w:t>
            </w:r>
          </w:p>
        </w:tc>
        <w:tc>
          <w:tcPr>
            <w:tcW w:w="0" w:type="auto"/>
            <w:vAlign w:val="center"/>
          </w:tcPr>
          <w:p w14:paraId="4AB97F6A">
            <w:pPr>
              <w:keepNext w:val="0"/>
              <w:keepLines w:val="0"/>
              <w:widowControl/>
              <w:suppressLineNumbers w:val="0"/>
              <w:spacing w:line="320" w:lineRule="exact"/>
              <w:ind w:left="-118" w:leftChars="-56" w:right="-118" w:rightChars="-56" w:firstLine="16" w:firstLineChars="9"/>
              <w:jc w:val="center"/>
              <w:textAlignment w:val="center"/>
              <w:rPr>
                <w:rFonts w:hint="eastAsia" w:ascii="宋体" w:hAnsi="宋体" w:eastAsia="宋体" w:cs="宋体"/>
                <w:b/>
                <w:bCs/>
                <w:i w:val="0"/>
                <w:iCs w:val="0"/>
                <w:color w:val="auto"/>
                <w:spacing w:val="-11"/>
                <w:kern w:val="2"/>
                <w:sz w:val="20"/>
                <w:szCs w:val="20"/>
                <w:u w:val="none"/>
                <w:lang w:val="en-US" w:eastAsia="zh-CN" w:bidi="ar-SA"/>
              </w:rPr>
            </w:pPr>
            <w:r>
              <w:rPr>
                <w:rFonts w:hint="eastAsia" w:ascii="宋体" w:hAnsi="宋体" w:eastAsia="宋体" w:cs="宋体"/>
                <w:b/>
                <w:bCs/>
                <w:i w:val="0"/>
                <w:iCs w:val="0"/>
                <w:color w:val="auto"/>
                <w:spacing w:val="-11"/>
                <w:kern w:val="0"/>
                <w:sz w:val="20"/>
                <w:szCs w:val="20"/>
                <w:u w:val="none"/>
                <w:lang w:val="en-US" w:eastAsia="zh-CN" w:bidi="ar"/>
              </w:rPr>
              <w:t xml:space="preserve">1427052 </w:t>
            </w:r>
          </w:p>
        </w:tc>
        <w:tc>
          <w:tcPr>
            <w:tcW w:w="0" w:type="auto"/>
            <w:vAlign w:val="center"/>
          </w:tcPr>
          <w:p w14:paraId="269359F2">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162835 </w:t>
            </w:r>
          </w:p>
        </w:tc>
        <w:tc>
          <w:tcPr>
            <w:tcW w:w="1230" w:type="dxa"/>
            <w:vAlign w:val="center"/>
          </w:tcPr>
          <w:p w14:paraId="410ADAC7">
            <w:pPr>
              <w:spacing w:line="320" w:lineRule="exact"/>
              <w:jc w:val="center"/>
              <w:rPr>
                <w:rFonts w:hint="eastAsia" w:ascii="宋体" w:hAnsi="宋体" w:eastAsia="宋体" w:cs="宋体"/>
                <w:b/>
                <w:bCs/>
                <w:i w:val="0"/>
                <w:iCs w:val="0"/>
                <w:color w:val="auto"/>
                <w:sz w:val="20"/>
                <w:szCs w:val="20"/>
                <w:u w:val="none"/>
              </w:rPr>
            </w:pPr>
          </w:p>
          <w:p w14:paraId="2AAFE4B1">
            <w:pPr>
              <w:spacing w:line="320" w:lineRule="exact"/>
              <w:jc w:val="center"/>
              <w:rPr>
                <w:rFonts w:hint="eastAsia" w:ascii="宋体" w:hAnsi="宋体" w:eastAsia="宋体" w:cs="宋体"/>
                <w:b/>
                <w:bCs/>
                <w:i w:val="0"/>
                <w:iCs w:val="0"/>
                <w:color w:val="auto"/>
                <w:sz w:val="20"/>
                <w:szCs w:val="20"/>
                <w:u w:val="none"/>
              </w:rPr>
            </w:pPr>
          </w:p>
          <w:p w14:paraId="1CAAD583">
            <w:pPr>
              <w:spacing w:line="320" w:lineRule="exact"/>
              <w:jc w:val="center"/>
              <w:rPr>
                <w:rFonts w:hint="eastAsia" w:ascii="宋体" w:hAnsi="宋体" w:eastAsia="宋体" w:cs="宋体"/>
                <w:b/>
                <w:bCs/>
                <w:i w:val="0"/>
                <w:iCs w:val="0"/>
                <w:color w:val="auto"/>
                <w:sz w:val="20"/>
                <w:szCs w:val="20"/>
                <w:u w:val="none"/>
              </w:rPr>
            </w:pPr>
          </w:p>
          <w:p w14:paraId="4E590513">
            <w:pPr>
              <w:spacing w:line="320" w:lineRule="exact"/>
              <w:jc w:val="both"/>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53CFCC7B">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829002E">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BF9E693">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1C7E549">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54CED4AE">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6D2B3C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1F98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92EE50B">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（一）</w:t>
            </w:r>
          </w:p>
        </w:tc>
        <w:tc>
          <w:tcPr>
            <w:tcW w:w="0" w:type="auto"/>
            <w:vAlign w:val="center"/>
          </w:tcPr>
          <w:p w14:paraId="51F37C9A">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计划新开工项目（12项）</w:t>
            </w:r>
          </w:p>
        </w:tc>
        <w:tc>
          <w:tcPr>
            <w:tcW w:w="0" w:type="auto"/>
            <w:vAlign w:val="center"/>
          </w:tcPr>
          <w:p w14:paraId="5E94E142">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30BABF47">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964418D">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36440 </w:t>
            </w:r>
          </w:p>
        </w:tc>
        <w:tc>
          <w:tcPr>
            <w:tcW w:w="0" w:type="auto"/>
            <w:vAlign w:val="center"/>
          </w:tcPr>
          <w:p w14:paraId="7CE3CD15">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400 </w:t>
            </w:r>
          </w:p>
        </w:tc>
        <w:tc>
          <w:tcPr>
            <w:tcW w:w="0" w:type="auto"/>
            <w:vAlign w:val="center"/>
          </w:tcPr>
          <w:p w14:paraId="247AA030">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15435 </w:t>
            </w:r>
          </w:p>
        </w:tc>
        <w:tc>
          <w:tcPr>
            <w:tcW w:w="1230" w:type="dxa"/>
            <w:vAlign w:val="center"/>
          </w:tcPr>
          <w:p w14:paraId="034AB33B">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73757CA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76278A0E">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35E7D1E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CC3D2F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222B284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53D08079">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3519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515AA3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34</w:t>
            </w:r>
          </w:p>
        </w:tc>
        <w:tc>
          <w:tcPr>
            <w:tcW w:w="0" w:type="auto"/>
            <w:vAlign w:val="center"/>
          </w:tcPr>
          <w:p w14:paraId="0A7E1CE4">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源城区工业园消防救援站建设项目</w:t>
            </w:r>
          </w:p>
        </w:tc>
        <w:tc>
          <w:tcPr>
            <w:tcW w:w="0" w:type="auto"/>
            <w:vAlign w:val="center"/>
          </w:tcPr>
          <w:p w14:paraId="2EEED822">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拟建设一座占地面积6810平方米、建设面积6238.2平方米</w:t>
            </w:r>
            <w:r>
              <w:rPr>
                <w:rFonts w:hint="eastAsia" w:ascii="宋体" w:hAnsi="宋体" w:cs="宋体"/>
                <w:i w:val="0"/>
                <w:iCs w:val="0"/>
                <w:color w:val="auto"/>
                <w:kern w:val="0"/>
                <w:sz w:val="20"/>
                <w:szCs w:val="20"/>
                <w:u w:val="none"/>
                <w:lang w:val="en-US" w:eastAsia="zh-CN" w:bidi="ar"/>
              </w:rPr>
              <w:t>的</w:t>
            </w:r>
            <w:r>
              <w:rPr>
                <w:rFonts w:hint="eastAsia" w:ascii="宋体" w:hAnsi="宋体" w:eastAsia="宋体" w:cs="宋体"/>
                <w:i w:val="0"/>
                <w:iCs w:val="0"/>
                <w:color w:val="auto"/>
                <w:kern w:val="0"/>
                <w:sz w:val="20"/>
                <w:szCs w:val="20"/>
                <w:u w:val="none"/>
                <w:lang w:val="en-US" w:eastAsia="zh-CN" w:bidi="ar"/>
              </w:rPr>
              <w:t>一级消防站，服务面积25.6平方公里，服务企业206家、人口约12万人。</w:t>
            </w:r>
          </w:p>
        </w:tc>
        <w:tc>
          <w:tcPr>
            <w:tcW w:w="0" w:type="auto"/>
            <w:vAlign w:val="center"/>
          </w:tcPr>
          <w:p w14:paraId="776715B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5269F9E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5CFD2B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0639A7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21B2AD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02104FA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w:t>
            </w:r>
          </w:p>
        </w:tc>
        <w:tc>
          <w:tcPr>
            <w:tcW w:w="1230" w:type="dxa"/>
            <w:vAlign w:val="center"/>
          </w:tcPr>
          <w:p w14:paraId="2980D366">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拟完成源城区工业园消防站主体建设。</w:t>
            </w:r>
          </w:p>
        </w:tc>
        <w:tc>
          <w:tcPr>
            <w:tcW w:w="810" w:type="dxa"/>
            <w:vAlign w:val="center"/>
          </w:tcPr>
          <w:p w14:paraId="452638AB">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2025.11</w:t>
            </w:r>
          </w:p>
        </w:tc>
        <w:tc>
          <w:tcPr>
            <w:tcW w:w="0" w:type="auto"/>
            <w:vAlign w:val="center"/>
          </w:tcPr>
          <w:p w14:paraId="6D7FBC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区消防救援大队</w:t>
            </w:r>
          </w:p>
        </w:tc>
        <w:tc>
          <w:tcPr>
            <w:tcW w:w="0" w:type="auto"/>
            <w:vAlign w:val="center"/>
          </w:tcPr>
          <w:p w14:paraId="33B0DB1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区消防救援大队</w:t>
            </w:r>
          </w:p>
        </w:tc>
        <w:tc>
          <w:tcPr>
            <w:tcW w:w="0" w:type="auto"/>
            <w:vAlign w:val="center"/>
          </w:tcPr>
          <w:p w14:paraId="1375A39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15A0432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8732B4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消防工程项目</w:t>
            </w:r>
          </w:p>
        </w:tc>
      </w:tr>
      <w:tr w14:paraId="059B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0" w:type="auto"/>
            <w:vAlign w:val="center"/>
          </w:tcPr>
          <w:p w14:paraId="447AF9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35</w:t>
            </w:r>
          </w:p>
        </w:tc>
        <w:tc>
          <w:tcPr>
            <w:tcW w:w="0" w:type="auto"/>
            <w:vAlign w:val="center"/>
          </w:tcPr>
          <w:p w14:paraId="50A52416">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源城区水利建设项目</w:t>
            </w:r>
          </w:p>
        </w:tc>
        <w:tc>
          <w:tcPr>
            <w:tcW w:w="0" w:type="auto"/>
            <w:vAlign w:val="center"/>
          </w:tcPr>
          <w:p w14:paraId="7EA4DCC3">
            <w:pPr>
              <w:keepNext w:val="0"/>
              <w:keepLines w:val="0"/>
              <w:widowControl/>
              <w:suppressLineNumbers w:val="0"/>
              <w:spacing w:line="30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重建、加固灌排渠道和水陂；新建抽水泵站；完善农田、产业园等高效节水灌溉系统；完善其他附属农田水利维养设施等；在埔前河现有河道基础上，对其进一步巩固、提升。新建渠道总长14295</w:t>
            </w:r>
            <w:r>
              <w:rPr>
                <w:rFonts w:hint="eastAsia" w:ascii="宋体" w:hAnsi="宋体" w:cs="宋体"/>
                <w:i w:val="0"/>
                <w:iCs w:val="0"/>
                <w:color w:val="auto"/>
                <w:kern w:val="0"/>
                <w:sz w:val="20"/>
                <w:szCs w:val="20"/>
                <w:u w:val="none"/>
                <w:lang w:val="en-US" w:eastAsia="zh-CN" w:bidi="ar"/>
              </w:rPr>
              <w:t>米</w:t>
            </w:r>
            <w:r>
              <w:rPr>
                <w:rFonts w:hint="eastAsia" w:ascii="宋体" w:hAnsi="宋体" w:eastAsia="宋体" w:cs="宋体"/>
                <w:i w:val="0"/>
                <w:iCs w:val="0"/>
                <w:color w:val="auto"/>
                <w:kern w:val="0"/>
                <w:sz w:val="20"/>
                <w:szCs w:val="20"/>
                <w:u w:val="none"/>
                <w:lang w:val="en-US" w:eastAsia="zh-CN" w:bidi="ar"/>
              </w:rPr>
              <w:t>，新建挡墙150</w:t>
            </w:r>
            <w:r>
              <w:rPr>
                <w:rFonts w:hint="eastAsia" w:ascii="宋体" w:hAnsi="宋体" w:cs="宋体"/>
                <w:i w:val="0"/>
                <w:iCs w:val="0"/>
                <w:color w:val="auto"/>
                <w:kern w:val="0"/>
                <w:sz w:val="20"/>
                <w:szCs w:val="20"/>
                <w:u w:val="none"/>
                <w:lang w:val="en-US" w:eastAsia="zh-CN" w:bidi="ar"/>
              </w:rPr>
              <w:t>米</w:t>
            </w:r>
            <w:r>
              <w:rPr>
                <w:rFonts w:hint="eastAsia" w:ascii="宋体" w:hAnsi="宋体" w:eastAsia="宋体" w:cs="宋体"/>
                <w:i w:val="0"/>
                <w:iCs w:val="0"/>
                <w:color w:val="auto"/>
                <w:kern w:val="0"/>
                <w:sz w:val="20"/>
                <w:szCs w:val="20"/>
                <w:u w:val="none"/>
                <w:lang w:val="en-US" w:eastAsia="zh-CN" w:bidi="ar"/>
              </w:rPr>
              <w:t>，新建泵房5座；河道清淤量450</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,水库清淤10000</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，渠道清淤29502</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；渠道修复长度5067</w:t>
            </w:r>
            <w:r>
              <w:rPr>
                <w:rFonts w:hint="eastAsia" w:ascii="宋体" w:hAnsi="宋体" w:cs="宋体"/>
                <w:i w:val="0"/>
                <w:iCs w:val="0"/>
                <w:color w:val="auto"/>
                <w:kern w:val="0"/>
                <w:sz w:val="20"/>
                <w:szCs w:val="20"/>
                <w:u w:val="none"/>
                <w:lang w:val="en-US" w:eastAsia="zh-CN" w:bidi="ar"/>
              </w:rPr>
              <w:t>米</w:t>
            </w:r>
            <w:r>
              <w:rPr>
                <w:rFonts w:hint="eastAsia" w:ascii="宋体" w:hAnsi="宋体" w:eastAsia="宋体" w:cs="宋体"/>
                <w:i w:val="0"/>
                <w:iCs w:val="0"/>
                <w:color w:val="auto"/>
                <w:kern w:val="0"/>
                <w:sz w:val="20"/>
                <w:szCs w:val="20"/>
                <w:u w:val="none"/>
                <w:lang w:val="en-US" w:eastAsia="zh-CN" w:bidi="ar"/>
              </w:rPr>
              <w:t>；修复闸门1套，新增一体化启闭机1套，附近水陂上游清淤300</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，下游抛石护底50</w:t>
            </w:r>
            <w:r>
              <w:rPr>
                <w:rFonts w:hint="eastAsia" w:ascii="宋体" w:hAnsi="宋体" w:cs="宋体"/>
                <w:i w:val="0"/>
                <w:iCs w:val="0"/>
                <w:color w:val="auto"/>
                <w:kern w:val="0"/>
                <w:sz w:val="20"/>
                <w:szCs w:val="20"/>
                <w:u w:val="none"/>
                <w:lang w:val="en-US" w:eastAsia="zh-CN" w:bidi="ar"/>
              </w:rPr>
              <w:t>立方米</w:t>
            </w:r>
            <w:r>
              <w:rPr>
                <w:rFonts w:hint="eastAsia" w:ascii="宋体" w:hAnsi="宋体" w:eastAsia="宋体" w:cs="宋体"/>
                <w:i w:val="0"/>
                <w:iCs w:val="0"/>
                <w:color w:val="auto"/>
                <w:kern w:val="0"/>
                <w:sz w:val="20"/>
                <w:szCs w:val="20"/>
                <w:u w:val="none"/>
                <w:lang w:val="en-US" w:eastAsia="zh-CN" w:bidi="ar"/>
              </w:rPr>
              <w:t>；岸坡整治共计6200</w:t>
            </w:r>
            <w:r>
              <w:rPr>
                <w:rFonts w:hint="eastAsia" w:ascii="宋体" w:hAnsi="宋体" w:cs="宋体"/>
                <w:i w:val="0"/>
                <w:iCs w:val="0"/>
                <w:color w:val="auto"/>
                <w:kern w:val="0"/>
                <w:sz w:val="20"/>
                <w:szCs w:val="20"/>
                <w:u w:val="none"/>
                <w:lang w:val="en-US" w:eastAsia="zh-CN" w:bidi="ar"/>
              </w:rPr>
              <w:t>米</w:t>
            </w:r>
            <w:r>
              <w:rPr>
                <w:rFonts w:hint="eastAsia" w:ascii="宋体" w:hAnsi="宋体" w:eastAsia="宋体" w:cs="宋体"/>
                <w:i w:val="0"/>
                <w:iCs w:val="0"/>
                <w:color w:val="auto"/>
                <w:kern w:val="0"/>
                <w:sz w:val="20"/>
                <w:szCs w:val="20"/>
                <w:u w:val="none"/>
                <w:lang w:val="en-US" w:eastAsia="zh-CN" w:bidi="ar"/>
              </w:rPr>
              <w:t>。</w:t>
            </w:r>
          </w:p>
        </w:tc>
        <w:tc>
          <w:tcPr>
            <w:tcW w:w="0" w:type="auto"/>
            <w:vAlign w:val="center"/>
          </w:tcPr>
          <w:p w14:paraId="0271B25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673CEA6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60465F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27F1DC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8000 </w:t>
            </w:r>
          </w:p>
        </w:tc>
        <w:tc>
          <w:tcPr>
            <w:tcW w:w="0" w:type="auto"/>
            <w:vAlign w:val="center"/>
          </w:tcPr>
          <w:p w14:paraId="6EC228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5379601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1230" w:type="dxa"/>
            <w:vAlign w:val="center"/>
          </w:tcPr>
          <w:p w14:paraId="42E06412">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重建、加固、清淤灌排渠道20公里；重建、加固水陂2座</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61DC98E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6C0F3D1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广东省河源运通实业发展有限公司</w:t>
            </w:r>
          </w:p>
        </w:tc>
        <w:tc>
          <w:tcPr>
            <w:tcW w:w="0" w:type="auto"/>
            <w:vAlign w:val="center"/>
          </w:tcPr>
          <w:p w14:paraId="6B27B48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区国资事务中心</w:t>
            </w:r>
          </w:p>
        </w:tc>
        <w:tc>
          <w:tcPr>
            <w:tcW w:w="0" w:type="auto"/>
            <w:vAlign w:val="center"/>
          </w:tcPr>
          <w:p w14:paraId="4BB4773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0" w:type="auto"/>
            <w:vAlign w:val="center"/>
          </w:tcPr>
          <w:p w14:paraId="5897C9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F61EE0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水利工程项目</w:t>
            </w:r>
          </w:p>
        </w:tc>
      </w:tr>
      <w:tr w14:paraId="16CE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612F8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36</w:t>
            </w:r>
          </w:p>
        </w:tc>
        <w:tc>
          <w:tcPr>
            <w:tcW w:w="0" w:type="auto"/>
            <w:vAlign w:val="center"/>
          </w:tcPr>
          <w:p w14:paraId="6C60C912">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源西街道白岭头村门店建设工程</w:t>
            </w:r>
          </w:p>
        </w:tc>
        <w:tc>
          <w:tcPr>
            <w:tcW w:w="0" w:type="auto"/>
            <w:vAlign w:val="center"/>
          </w:tcPr>
          <w:p w14:paraId="4E1A800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占地面积707平方米，建筑面积5736.4平方米，新建一栋地下</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层设备房、地上</w:t>
            </w: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层的门店。</w:t>
            </w:r>
          </w:p>
        </w:tc>
        <w:tc>
          <w:tcPr>
            <w:tcW w:w="0" w:type="auto"/>
            <w:vAlign w:val="center"/>
          </w:tcPr>
          <w:p w14:paraId="553C047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6F64990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25420D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77ECCF8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1680 </w:t>
            </w:r>
          </w:p>
        </w:tc>
        <w:tc>
          <w:tcPr>
            <w:tcW w:w="0" w:type="auto"/>
            <w:vAlign w:val="center"/>
          </w:tcPr>
          <w:p w14:paraId="2C53BF1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31BD820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1680 </w:t>
            </w:r>
          </w:p>
        </w:tc>
        <w:tc>
          <w:tcPr>
            <w:tcW w:w="1230" w:type="dxa"/>
            <w:vAlign w:val="center"/>
          </w:tcPr>
          <w:p w14:paraId="6C4821B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新建一栋地下一层设备房、地上七层的门店。</w:t>
            </w:r>
          </w:p>
        </w:tc>
        <w:tc>
          <w:tcPr>
            <w:tcW w:w="810" w:type="dxa"/>
            <w:vAlign w:val="center"/>
          </w:tcPr>
          <w:p w14:paraId="1025A54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2025.01</w:t>
            </w:r>
          </w:p>
        </w:tc>
        <w:tc>
          <w:tcPr>
            <w:tcW w:w="0" w:type="auto"/>
            <w:vAlign w:val="center"/>
          </w:tcPr>
          <w:p w14:paraId="6A2FC2C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源西街道白岭头村村委</w:t>
            </w:r>
            <w:r>
              <w:rPr>
                <w:rFonts w:hint="eastAsia" w:ascii="宋体" w:hAnsi="宋体" w:cs="宋体"/>
                <w:i w:val="0"/>
                <w:iCs w:val="0"/>
                <w:color w:val="auto"/>
                <w:kern w:val="0"/>
                <w:sz w:val="20"/>
                <w:szCs w:val="20"/>
                <w:u w:val="none"/>
                <w:lang w:val="en-US" w:eastAsia="zh-CN" w:bidi="ar"/>
              </w:rPr>
              <w:t>会</w:t>
            </w:r>
          </w:p>
        </w:tc>
        <w:tc>
          <w:tcPr>
            <w:tcW w:w="0" w:type="auto"/>
            <w:vAlign w:val="center"/>
          </w:tcPr>
          <w:p w14:paraId="49CDEB2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5C5F32B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783349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3657D32">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产业发展平台项目</w:t>
            </w:r>
          </w:p>
        </w:tc>
      </w:tr>
      <w:tr w14:paraId="1894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A4DAAD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37</w:t>
            </w:r>
          </w:p>
        </w:tc>
        <w:tc>
          <w:tcPr>
            <w:tcW w:w="0" w:type="auto"/>
            <w:vAlign w:val="center"/>
          </w:tcPr>
          <w:p w14:paraId="15D8E9F1">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高埔岗街道新作塘移民项目</w:t>
            </w:r>
          </w:p>
        </w:tc>
        <w:tc>
          <w:tcPr>
            <w:tcW w:w="0" w:type="auto"/>
            <w:vAlign w:val="center"/>
          </w:tcPr>
          <w:p w14:paraId="5DCBF57C">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一是新作塘保留点环境综合整治改造工程主要建设污水管道约4.5公里、污水处理站2个、垃圾站10座以及配套环境整治、绿化工程等。二是新作塘社区门店建设工程主要新建</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栋地上</w:t>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层</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占地225平方米</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总建筑面积1142.61平方米的门店。</w:t>
            </w:r>
          </w:p>
        </w:tc>
        <w:tc>
          <w:tcPr>
            <w:tcW w:w="0" w:type="auto"/>
            <w:vAlign w:val="center"/>
          </w:tcPr>
          <w:p w14:paraId="7CB2A59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35DEC2D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A366E2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BF953F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787 </w:t>
            </w:r>
          </w:p>
        </w:tc>
        <w:tc>
          <w:tcPr>
            <w:tcW w:w="0" w:type="auto"/>
            <w:vAlign w:val="center"/>
          </w:tcPr>
          <w:p w14:paraId="1DDAF6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7ED6F0E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787</w:t>
            </w:r>
          </w:p>
        </w:tc>
        <w:tc>
          <w:tcPr>
            <w:tcW w:w="1230" w:type="dxa"/>
            <w:vAlign w:val="center"/>
          </w:tcPr>
          <w:p w14:paraId="38AC249F">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新作塘保留点环境综合整治改造工程和新作塘社区门店建设工程。</w:t>
            </w:r>
          </w:p>
        </w:tc>
        <w:tc>
          <w:tcPr>
            <w:tcW w:w="810" w:type="dxa"/>
            <w:vAlign w:val="center"/>
          </w:tcPr>
          <w:p w14:paraId="34ADB9C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2025.02</w:t>
            </w:r>
          </w:p>
        </w:tc>
        <w:tc>
          <w:tcPr>
            <w:tcW w:w="0" w:type="auto"/>
            <w:vAlign w:val="center"/>
          </w:tcPr>
          <w:p w14:paraId="3C94559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高埔岗街道新作塘社区</w:t>
            </w:r>
            <w:r>
              <w:rPr>
                <w:rFonts w:hint="eastAsia" w:ascii="宋体" w:hAnsi="宋体" w:cs="宋体"/>
                <w:i w:val="0"/>
                <w:iCs w:val="0"/>
                <w:color w:val="auto"/>
                <w:kern w:val="0"/>
                <w:sz w:val="20"/>
                <w:szCs w:val="20"/>
                <w:u w:val="none"/>
                <w:lang w:val="en-US" w:eastAsia="zh-CN" w:bidi="ar"/>
              </w:rPr>
              <w:t>居委会</w:t>
            </w:r>
          </w:p>
        </w:tc>
        <w:tc>
          <w:tcPr>
            <w:tcW w:w="0" w:type="auto"/>
            <w:vAlign w:val="center"/>
          </w:tcPr>
          <w:p w14:paraId="13C68AB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高埔岗街道办</w:t>
            </w:r>
          </w:p>
        </w:tc>
        <w:tc>
          <w:tcPr>
            <w:tcW w:w="0" w:type="auto"/>
            <w:vAlign w:val="center"/>
          </w:tcPr>
          <w:p w14:paraId="0E5B27E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5D4D6F6D">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13E05CD">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3062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73F16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38</w:t>
            </w:r>
          </w:p>
        </w:tc>
        <w:tc>
          <w:tcPr>
            <w:tcW w:w="0" w:type="auto"/>
            <w:vAlign w:val="center"/>
          </w:tcPr>
          <w:p w14:paraId="6B36921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源城区埔前镇移民村农村生活污水治理项目</w:t>
            </w:r>
          </w:p>
        </w:tc>
        <w:tc>
          <w:tcPr>
            <w:tcW w:w="0" w:type="auto"/>
            <w:vAlign w:val="center"/>
          </w:tcPr>
          <w:p w14:paraId="524587B8">
            <w:pPr>
              <w:keepNext w:val="0"/>
              <w:keepLines w:val="0"/>
              <w:widowControl/>
              <w:suppressLineNumbers w:val="0"/>
              <w:spacing w:line="320" w:lineRule="exact"/>
              <w:ind w:right="-71" w:rightChars="-34"/>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主要建设污水管网，长度约21.6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（其中：河背村约9.1</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，南陂村约1.3</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，坪围村约2.6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，杨子坑村约4.4</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，中田村约1.6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，赤岭村约2.6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），污水处理站11处及其他配套设施等。</w:t>
            </w:r>
          </w:p>
        </w:tc>
        <w:tc>
          <w:tcPr>
            <w:tcW w:w="0" w:type="auto"/>
            <w:vAlign w:val="center"/>
          </w:tcPr>
          <w:p w14:paraId="152D7E6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6770005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325F15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236FF4D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1260 </w:t>
            </w:r>
          </w:p>
        </w:tc>
        <w:tc>
          <w:tcPr>
            <w:tcW w:w="0" w:type="auto"/>
            <w:vAlign w:val="center"/>
          </w:tcPr>
          <w:p w14:paraId="6C99DC92">
            <w:pPr>
              <w:spacing w:line="320" w:lineRule="exact"/>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0</w:t>
            </w:r>
          </w:p>
        </w:tc>
        <w:tc>
          <w:tcPr>
            <w:tcW w:w="0" w:type="auto"/>
            <w:vAlign w:val="center"/>
          </w:tcPr>
          <w:p w14:paraId="2BD63DF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1260 </w:t>
            </w:r>
          </w:p>
        </w:tc>
        <w:tc>
          <w:tcPr>
            <w:tcW w:w="1230" w:type="dxa"/>
            <w:vAlign w:val="center"/>
          </w:tcPr>
          <w:p w14:paraId="3243EC19">
            <w:pPr>
              <w:keepNext w:val="0"/>
              <w:keepLines w:val="0"/>
              <w:widowControl/>
              <w:suppressLineNumbers w:val="0"/>
              <w:spacing w:line="320" w:lineRule="exact"/>
              <w:ind w:left="-60" w:leftChars="-38" w:right="-82" w:rightChars="-39"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建设污水管网，长度约21.6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、污水处理站11处及其他配套设施等。</w:t>
            </w:r>
          </w:p>
        </w:tc>
        <w:tc>
          <w:tcPr>
            <w:tcW w:w="810" w:type="dxa"/>
            <w:vAlign w:val="center"/>
          </w:tcPr>
          <w:p w14:paraId="6CDCCA7B">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088F91A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6156D0A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12CD4E5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1FD5EAF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551CAA8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31C9E78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88644BD">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生态环保工程项目</w:t>
            </w:r>
          </w:p>
        </w:tc>
      </w:tr>
      <w:tr w14:paraId="4F7D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52443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39</w:t>
            </w:r>
          </w:p>
        </w:tc>
        <w:tc>
          <w:tcPr>
            <w:tcW w:w="0" w:type="auto"/>
            <w:vAlign w:val="center"/>
          </w:tcPr>
          <w:p w14:paraId="2CB20AC9">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河源市楚韵研学农旅基地项目</w:t>
            </w:r>
          </w:p>
        </w:tc>
        <w:tc>
          <w:tcPr>
            <w:tcW w:w="0" w:type="auto"/>
            <w:vAlign w:val="center"/>
          </w:tcPr>
          <w:p w14:paraId="1C6AB190">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占地面积约186946.67平方米，其中建设用地面积约20000平方米；建设3层综合功能场馆1栋、5层宿舍楼1栋、2层亲子民宿5栋。</w:t>
            </w:r>
          </w:p>
        </w:tc>
        <w:tc>
          <w:tcPr>
            <w:tcW w:w="0" w:type="auto"/>
            <w:vAlign w:val="center"/>
          </w:tcPr>
          <w:p w14:paraId="4D9D763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5108508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19851C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07CC909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0" w:type="auto"/>
            <w:vAlign w:val="center"/>
          </w:tcPr>
          <w:p w14:paraId="5C0929E0">
            <w:pPr>
              <w:spacing w:line="320" w:lineRule="exact"/>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0</w:t>
            </w:r>
          </w:p>
        </w:tc>
        <w:tc>
          <w:tcPr>
            <w:tcW w:w="0" w:type="auto"/>
            <w:vAlign w:val="center"/>
          </w:tcPr>
          <w:p w14:paraId="3C8310B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w:t>
            </w:r>
          </w:p>
        </w:tc>
        <w:tc>
          <w:tcPr>
            <w:tcW w:w="1230" w:type="dxa"/>
            <w:vAlign w:val="center"/>
          </w:tcPr>
          <w:p w14:paraId="1B41CAB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建设3层综合功能场馆1栋、5层宿舍楼1栋、2层亲子民宿5栋</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71FE339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0B27A8B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河源市楚韵生态农业有限公司</w:t>
            </w:r>
          </w:p>
        </w:tc>
        <w:tc>
          <w:tcPr>
            <w:tcW w:w="0" w:type="auto"/>
            <w:vAlign w:val="center"/>
          </w:tcPr>
          <w:p w14:paraId="0F81552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40EABD9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D2707BF">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4BF97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003B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F096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40</w:t>
            </w:r>
          </w:p>
        </w:tc>
        <w:tc>
          <w:tcPr>
            <w:tcW w:w="0" w:type="auto"/>
            <w:vAlign w:val="center"/>
          </w:tcPr>
          <w:p w14:paraId="74A143A8">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丰叶电器制造厂（河源）有限公司扩建厂房项目</w:t>
            </w:r>
          </w:p>
        </w:tc>
        <w:tc>
          <w:tcPr>
            <w:tcW w:w="0" w:type="auto"/>
            <w:vAlign w:val="center"/>
          </w:tcPr>
          <w:p w14:paraId="7B59E462">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占地面积3278.5平方米，建筑面积14612.5平方米，扩建1栋5层和1栋4层生产厂房，购置产品测试机、注塑机等设备。</w:t>
            </w:r>
          </w:p>
        </w:tc>
        <w:tc>
          <w:tcPr>
            <w:tcW w:w="0" w:type="auto"/>
            <w:vAlign w:val="center"/>
          </w:tcPr>
          <w:p w14:paraId="179A396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66D96EC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107EA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194F02F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 </w:t>
            </w:r>
          </w:p>
        </w:tc>
        <w:tc>
          <w:tcPr>
            <w:tcW w:w="0" w:type="auto"/>
            <w:vAlign w:val="center"/>
          </w:tcPr>
          <w:p w14:paraId="40BAF85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4C6805F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800</w:t>
            </w:r>
          </w:p>
        </w:tc>
        <w:tc>
          <w:tcPr>
            <w:tcW w:w="1230" w:type="dxa"/>
            <w:vAlign w:val="center"/>
          </w:tcPr>
          <w:p w14:paraId="47D3B835">
            <w:pPr>
              <w:keepNext w:val="0"/>
              <w:keepLines w:val="0"/>
              <w:widowControl/>
              <w:suppressLineNumbers w:val="0"/>
              <w:spacing w:line="320" w:lineRule="exact"/>
              <w:ind w:right="-65" w:rightChars="-31"/>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扩建1栋5层和1栋4层生产厂房。</w:t>
            </w:r>
          </w:p>
        </w:tc>
        <w:tc>
          <w:tcPr>
            <w:tcW w:w="810" w:type="dxa"/>
            <w:vAlign w:val="center"/>
          </w:tcPr>
          <w:p w14:paraId="0E4CAAB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5455BB3C">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丰叶电器制造厂（河源）有限公司</w:t>
            </w:r>
          </w:p>
        </w:tc>
        <w:tc>
          <w:tcPr>
            <w:tcW w:w="0" w:type="auto"/>
            <w:vAlign w:val="center"/>
          </w:tcPr>
          <w:p w14:paraId="3795B4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高埔岗街道办</w:t>
            </w:r>
          </w:p>
        </w:tc>
        <w:tc>
          <w:tcPr>
            <w:tcW w:w="0" w:type="auto"/>
            <w:vAlign w:val="center"/>
          </w:tcPr>
          <w:p w14:paraId="5DB34FB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90F55D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201A5E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6F8B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EEEAF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41</w:t>
            </w:r>
          </w:p>
        </w:tc>
        <w:tc>
          <w:tcPr>
            <w:tcW w:w="0" w:type="auto"/>
            <w:vAlign w:val="center"/>
          </w:tcPr>
          <w:p w14:paraId="79A7816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源西中学危旧楼拆建工程</w:t>
            </w:r>
          </w:p>
        </w:tc>
        <w:tc>
          <w:tcPr>
            <w:tcW w:w="0" w:type="auto"/>
            <w:vAlign w:val="center"/>
          </w:tcPr>
          <w:p w14:paraId="203C2931">
            <w:pPr>
              <w:keepNext w:val="0"/>
              <w:keepLines w:val="0"/>
              <w:widowControl/>
              <w:suppressLineNumbers w:val="0"/>
              <w:spacing w:line="320" w:lineRule="exact"/>
              <w:ind w:left="-19" w:leftChars="-9" w:right="-40" w:rightChars="-19"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拟拆除3、4号教学楼危房，新建</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栋6层教学楼，占地面积888</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，建筑面积5332</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；新建</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栋厨房，占地面积176</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，建筑面积352</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；拆除运动场，在原址新建架空地下车库，占地面积4400平方米，建筑面积约4400</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，一楼做架空层停车库，二楼做运动场。</w:t>
            </w:r>
          </w:p>
        </w:tc>
        <w:tc>
          <w:tcPr>
            <w:tcW w:w="0" w:type="auto"/>
            <w:vAlign w:val="center"/>
          </w:tcPr>
          <w:p w14:paraId="35B42B4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1EAC2A4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D4CFFB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558BF5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3829 </w:t>
            </w:r>
          </w:p>
        </w:tc>
        <w:tc>
          <w:tcPr>
            <w:tcW w:w="0" w:type="auto"/>
            <w:vAlign w:val="center"/>
          </w:tcPr>
          <w:p w14:paraId="6054265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 </w:t>
            </w:r>
          </w:p>
        </w:tc>
        <w:tc>
          <w:tcPr>
            <w:tcW w:w="0" w:type="auto"/>
            <w:vAlign w:val="center"/>
          </w:tcPr>
          <w:p w14:paraId="2CABBB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843</w:t>
            </w:r>
          </w:p>
        </w:tc>
        <w:tc>
          <w:tcPr>
            <w:tcW w:w="1230" w:type="dxa"/>
            <w:vAlign w:val="center"/>
          </w:tcPr>
          <w:p w14:paraId="0F9CEBB2">
            <w:pPr>
              <w:keepNext w:val="0"/>
              <w:keepLines w:val="0"/>
              <w:widowControl/>
              <w:suppressLineNumbers w:val="0"/>
              <w:spacing w:line="320" w:lineRule="exact"/>
              <w:ind w:left="-80" w:leftChars="-38" w:right="-84" w:rightChars="-40"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拆除危楼、建设教学楼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667F313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2025.09</w:t>
            </w:r>
          </w:p>
        </w:tc>
        <w:tc>
          <w:tcPr>
            <w:tcW w:w="0" w:type="auto"/>
            <w:vAlign w:val="center"/>
          </w:tcPr>
          <w:p w14:paraId="6074155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源西中学</w:t>
            </w:r>
          </w:p>
        </w:tc>
        <w:tc>
          <w:tcPr>
            <w:tcW w:w="0" w:type="auto"/>
            <w:vAlign w:val="center"/>
          </w:tcPr>
          <w:p w14:paraId="0D3E774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区教育局</w:t>
            </w:r>
          </w:p>
        </w:tc>
        <w:tc>
          <w:tcPr>
            <w:tcW w:w="0" w:type="auto"/>
            <w:vAlign w:val="center"/>
          </w:tcPr>
          <w:p w14:paraId="14FC71E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65B1CE6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2C15BD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教育项目</w:t>
            </w:r>
          </w:p>
        </w:tc>
      </w:tr>
      <w:tr w14:paraId="6166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058C6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42</w:t>
            </w:r>
          </w:p>
        </w:tc>
        <w:tc>
          <w:tcPr>
            <w:tcW w:w="0" w:type="auto"/>
            <w:vAlign w:val="center"/>
          </w:tcPr>
          <w:p w14:paraId="6CF4A752">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埔前镇第二中学改扩建项目</w:t>
            </w:r>
          </w:p>
        </w:tc>
        <w:tc>
          <w:tcPr>
            <w:tcW w:w="0" w:type="auto"/>
            <w:vAlign w:val="center"/>
          </w:tcPr>
          <w:p w14:paraId="1F9503FD">
            <w:pPr>
              <w:keepNext w:val="0"/>
              <w:keepLines w:val="0"/>
              <w:widowControl/>
              <w:suppressLineNumbers w:val="0"/>
              <w:spacing w:line="300" w:lineRule="exact"/>
              <w:ind w:left="-38" w:leftChars="-18" w:right="-40" w:rightChars="-19" w:firstLine="18" w:firstLineChars="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w:t>
            </w:r>
            <w:r>
              <w:rPr>
                <w:rFonts w:hint="eastAsia" w:ascii="宋体" w:hAnsi="宋体" w:cs="宋体"/>
                <w:i w:val="0"/>
                <w:iCs w:val="0"/>
                <w:color w:val="auto"/>
                <w:kern w:val="0"/>
                <w:sz w:val="20"/>
                <w:szCs w:val="20"/>
                <w:highlight w:val="none"/>
                <w:u w:val="none"/>
                <w:lang w:val="en-US" w:eastAsia="zh-CN" w:bidi="ar"/>
              </w:rPr>
              <w:t>1栋</w:t>
            </w:r>
            <w:r>
              <w:rPr>
                <w:rFonts w:hint="eastAsia" w:ascii="宋体" w:hAnsi="宋体" w:eastAsia="宋体" w:cs="宋体"/>
                <w:i w:val="0"/>
                <w:iCs w:val="0"/>
                <w:color w:val="auto"/>
                <w:kern w:val="0"/>
                <w:sz w:val="20"/>
                <w:szCs w:val="20"/>
                <w:highlight w:val="none"/>
                <w:u w:val="none"/>
                <w:lang w:val="en-US" w:eastAsia="zh-CN" w:bidi="ar"/>
              </w:rPr>
              <w:t>6层学生宿舍楼，宿舍楼占地面积601.02</w:t>
            </w:r>
            <w:r>
              <w:rPr>
                <w:rFonts w:hint="eastAsia" w:ascii="宋体" w:hAnsi="宋体" w:cs="宋体"/>
                <w:i w:val="0"/>
                <w:iCs w:val="0"/>
                <w:color w:val="auto"/>
                <w:kern w:val="0"/>
                <w:sz w:val="20"/>
                <w:szCs w:val="20"/>
                <w:highlight w:val="none"/>
                <w:u w:val="none"/>
                <w:lang w:val="en-US" w:eastAsia="zh-CN" w:bidi="ar"/>
              </w:rPr>
              <w:t>平方米</w:t>
            </w:r>
            <w:r>
              <w:rPr>
                <w:rFonts w:hint="eastAsia" w:ascii="宋体" w:hAnsi="宋体" w:eastAsia="宋体" w:cs="宋体"/>
                <w:i w:val="0"/>
                <w:iCs w:val="0"/>
                <w:color w:val="auto"/>
                <w:kern w:val="0"/>
                <w:sz w:val="20"/>
                <w:szCs w:val="20"/>
                <w:highlight w:val="none"/>
                <w:u w:val="none"/>
                <w:lang w:val="en-US" w:eastAsia="zh-CN" w:bidi="ar"/>
              </w:rPr>
              <w:t>,建筑面积3743.79</w:t>
            </w:r>
            <w:r>
              <w:rPr>
                <w:rFonts w:hint="eastAsia" w:ascii="宋体" w:hAnsi="宋体" w:cs="宋体"/>
                <w:i w:val="0"/>
                <w:iCs w:val="0"/>
                <w:color w:val="auto"/>
                <w:kern w:val="0"/>
                <w:sz w:val="20"/>
                <w:szCs w:val="20"/>
                <w:highlight w:val="none"/>
                <w:u w:val="none"/>
                <w:lang w:val="en-US" w:eastAsia="zh-CN" w:bidi="ar"/>
              </w:rPr>
              <w:t>平方米</w:t>
            </w:r>
            <w:r>
              <w:rPr>
                <w:rFonts w:hint="eastAsia" w:ascii="宋体" w:hAnsi="宋体" w:eastAsia="宋体" w:cs="宋体"/>
                <w:i w:val="0"/>
                <w:iCs w:val="0"/>
                <w:color w:val="auto"/>
                <w:kern w:val="0"/>
                <w:sz w:val="20"/>
                <w:szCs w:val="20"/>
                <w:highlight w:val="none"/>
                <w:u w:val="none"/>
                <w:lang w:val="en-US" w:eastAsia="zh-CN" w:bidi="ar"/>
              </w:rPr>
              <w:t>,共6层，一层为学生餐厅，二至</w:t>
            </w:r>
            <w:r>
              <w:rPr>
                <w:rFonts w:hint="eastAsia" w:ascii="宋体" w:hAnsi="宋体" w:eastAsia="宋体" w:cs="宋体"/>
                <w:i w:val="0"/>
                <w:iCs w:val="0"/>
                <w:color w:val="auto"/>
                <w:kern w:val="0"/>
                <w:sz w:val="20"/>
                <w:szCs w:val="20"/>
                <w:u w:val="none"/>
                <w:lang w:val="en-US" w:eastAsia="zh-CN" w:bidi="ar"/>
              </w:rPr>
              <w:t>六层为学生宿舍，每层11间宿舍，共55间宿舍。</w:t>
            </w:r>
          </w:p>
        </w:tc>
        <w:tc>
          <w:tcPr>
            <w:tcW w:w="0" w:type="auto"/>
            <w:vAlign w:val="center"/>
          </w:tcPr>
          <w:p w14:paraId="6562A14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2419102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4A78DD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DE15BF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1574 </w:t>
            </w:r>
          </w:p>
        </w:tc>
        <w:tc>
          <w:tcPr>
            <w:tcW w:w="0" w:type="auto"/>
            <w:vAlign w:val="center"/>
          </w:tcPr>
          <w:p w14:paraId="7159243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vAlign w:val="center"/>
          </w:tcPr>
          <w:p w14:paraId="6D5010A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1051.8</w:t>
            </w:r>
          </w:p>
        </w:tc>
        <w:tc>
          <w:tcPr>
            <w:tcW w:w="1230" w:type="dxa"/>
            <w:vAlign w:val="center"/>
          </w:tcPr>
          <w:p w14:paraId="41B687CC">
            <w:pPr>
              <w:keepNext w:val="0"/>
              <w:keepLines w:val="0"/>
              <w:widowControl/>
              <w:suppressLineNumbers w:val="0"/>
              <w:spacing w:line="320" w:lineRule="exact"/>
              <w:ind w:right="-126" w:rightChars="-6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新建宿舍楼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16C504B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2025.08</w:t>
            </w:r>
          </w:p>
        </w:tc>
        <w:tc>
          <w:tcPr>
            <w:tcW w:w="0" w:type="auto"/>
            <w:vAlign w:val="center"/>
          </w:tcPr>
          <w:p w14:paraId="0A2C25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埔前镇第二中学</w:t>
            </w:r>
          </w:p>
        </w:tc>
        <w:tc>
          <w:tcPr>
            <w:tcW w:w="0" w:type="auto"/>
            <w:vAlign w:val="center"/>
          </w:tcPr>
          <w:p w14:paraId="724106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区教育局</w:t>
            </w:r>
          </w:p>
        </w:tc>
        <w:tc>
          <w:tcPr>
            <w:tcW w:w="0" w:type="auto"/>
            <w:vAlign w:val="center"/>
          </w:tcPr>
          <w:p w14:paraId="0E05150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07FD3A49">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7F5CB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教育项目</w:t>
            </w:r>
          </w:p>
        </w:tc>
      </w:tr>
      <w:tr w14:paraId="28C7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CA0FCC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43</w:t>
            </w:r>
          </w:p>
        </w:tc>
        <w:tc>
          <w:tcPr>
            <w:tcW w:w="0" w:type="auto"/>
            <w:vAlign w:val="center"/>
          </w:tcPr>
          <w:p w14:paraId="70133F0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埔前镇中田小学教学楼建设项目</w:t>
            </w:r>
          </w:p>
        </w:tc>
        <w:tc>
          <w:tcPr>
            <w:tcW w:w="0" w:type="auto"/>
            <w:vAlign w:val="center"/>
          </w:tcPr>
          <w:p w14:paraId="2156AD9D">
            <w:pPr>
              <w:keepNext w:val="0"/>
              <w:keepLines w:val="0"/>
              <w:widowControl/>
              <w:suppressLineNumbers w:val="0"/>
              <w:spacing w:line="30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占地面积3705.02平方米，建筑面积2289.12平方米，新建</w:t>
            </w:r>
            <w:r>
              <w:rPr>
                <w:rFonts w:hint="eastAsia" w:ascii="宋体" w:hAnsi="宋体" w:cs="宋体"/>
                <w:color w:val="auto"/>
                <w:kern w:val="0"/>
                <w:sz w:val="20"/>
                <w:szCs w:val="20"/>
                <w:u w:val="none"/>
                <w:lang w:eastAsia="zh-CN" w:bidi="ar"/>
              </w:rPr>
              <w:t>1</w:t>
            </w:r>
            <w:r>
              <w:rPr>
                <w:rFonts w:hint="eastAsia" w:ascii="宋体" w:hAnsi="宋体" w:cs="宋体"/>
                <w:color w:val="auto"/>
                <w:kern w:val="0"/>
                <w:sz w:val="20"/>
                <w:szCs w:val="20"/>
                <w:u w:val="none"/>
                <w:lang w:bidi="ar"/>
              </w:rPr>
              <w:t>栋</w:t>
            </w:r>
            <w:r>
              <w:rPr>
                <w:rFonts w:hint="eastAsia" w:ascii="宋体" w:hAnsi="宋体" w:cs="宋体"/>
                <w:color w:val="auto"/>
                <w:kern w:val="0"/>
                <w:sz w:val="20"/>
                <w:szCs w:val="20"/>
                <w:u w:val="none"/>
                <w:lang w:eastAsia="zh-CN" w:bidi="ar"/>
              </w:rPr>
              <w:t>4</w:t>
            </w:r>
            <w:r>
              <w:rPr>
                <w:rFonts w:hint="eastAsia" w:ascii="宋体" w:hAnsi="宋体" w:cs="宋体"/>
                <w:color w:val="auto"/>
                <w:kern w:val="0"/>
                <w:sz w:val="20"/>
                <w:szCs w:val="20"/>
                <w:u w:val="none"/>
                <w:lang w:bidi="ar"/>
              </w:rPr>
              <w:t>层的教学楼</w:t>
            </w:r>
            <w:r>
              <w:rPr>
                <w:rFonts w:hint="eastAsia" w:ascii="宋体" w:hAnsi="宋体" w:cs="宋体"/>
                <w:color w:val="auto"/>
                <w:kern w:val="0"/>
                <w:sz w:val="20"/>
                <w:szCs w:val="20"/>
                <w:u w:val="none"/>
                <w:lang w:eastAsia="zh-CN" w:bidi="ar"/>
              </w:rPr>
              <w:t>，</w:t>
            </w:r>
            <w:r>
              <w:rPr>
                <w:rFonts w:hint="eastAsia" w:ascii="宋体" w:hAnsi="宋体" w:cs="宋体"/>
                <w:color w:val="auto"/>
                <w:kern w:val="0"/>
                <w:sz w:val="20"/>
                <w:szCs w:val="20"/>
                <w:u w:val="none"/>
                <w:lang w:bidi="ar"/>
              </w:rPr>
              <w:t>并对原教学楼进行改造，以及完善值班室、消防水泵房、户外广场、园林绿化等配套设施。</w:t>
            </w:r>
          </w:p>
        </w:tc>
        <w:tc>
          <w:tcPr>
            <w:tcW w:w="0" w:type="auto"/>
            <w:vAlign w:val="center"/>
          </w:tcPr>
          <w:p w14:paraId="13E05C1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506A4CA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B3CE29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54CAA9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1113 </w:t>
            </w:r>
          </w:p>
        </w:tc>
        <w:tc>
          <w:tcPr>
            <w:tcW w:w="0" w:type="auto"/>
            <w:vAlign w:val="center"/>
          </w:tcPr>
          <w:p w14:paraId="7A30FC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vAlign w:val="center"/>
          </w:tcPr>
          <w:p w14:paraId="125CA72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1012.9</w:t>
            </w:r>
          </w:p>
        </w:tc>
        <w:tc>
          <w:tcPr>
            <w:tcW w:w="1230" w:type="dxa"/>
            <w:vAlign w:val="center"/>
          </w:tcPr>
          <w:p w14:paraId="44D3681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完成主体工程及装修。</w:t>
            </w:r>
          </w:p>
        </w:tc>
        <w:tc>
          <w:tcPr>
            <w:tcW w:w="810" w:type="dxa"/>
            <w:vAlign w:val="center"/>
          </w:tcPr>
          <w:p w14:paraId="6A87378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2025.05</w:t>
            </w:r>
          </w:p>
        </w:tc>
        <w:tc>
          <w:tcPr>
            <w:tcW w:w="0" w:type="auto"/>
            <w:vAlign w:val="center"/>
          </w:tcPr>
          <w:p w14:paraId="248142C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埔前镇中田小学</w:t>
            </w:r>
          </w:p>
        </w:tc>
        <w:tc>
          <w:tcPr>
            <w:tcW w:w="0" w:type="auto"/>
            <w:vAlign w:val="center"/>
          </w:tcPr>
          <w:p w14:paraId="6822F6E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07C6B4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5BCFBF5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5960C42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220FA6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教育项目</w:t>
            </w:r>
          </w:p>
        </w:tc>
      </w:tr>
      <w:tr w14:paraId="0160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1D4A7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44</w:t>
            </w:r>
          </w:p>
        </w:tc>
        <w:tc>
          <w:tcPr>
            <w:tcW w:w="0" w:type="auto"/>
            <w:vAlign w:val="center"/>
          </w:tcPr>
          <w:p w14:paraId="5431E1F4">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源城区埔前镇陂角村客家风情移民民宿项目</w:t>
            </w:r>
          </w:p>
        </w:tc>
        <w:tc>
          <w:tcPr>
            <w:tcW w:w="0" w:type="auto"/>
            <w:vAlign w:val="center"/>
          </w:tcPr>
          <w:p w14:paraId="544B6E87">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占地面积2050</w:t>
            </w:r>
            <w:r>
              <w:rPr>
                <w:rFonts w:hint="eastAsia" w:ascii="宋体" w:hAnsi="宋体" w:cs="宋体"/>
                <w:color w:val="auto"/>
                <w:kern w:val="0"/>
                <w:sz w:val="20"/>
                <w:szCs w:val="20"/>
                <w:u w:val="none"/>
                <w:lang w:val="en-US" w:eastAsia="zh-CN" w:bidi="ar"/>
              </w:rPr>
              <w:t>平方米</w:t>
            </w:r>
            <w:r>
              <w:rPr>
                <w:rFonts w:hint="eastAsia" w:ascii="宋体" w:hAnsi="宋体" w:cs="宋体"/>
                <w:color w:val="auto"/>
                <w:kern w:val="0"/>
                <w:sz w:val="20"/>
                <w:szCs w:val="20"/>
                <w:u w:val="none"/>
                <w:lang w:bidi="ar"/>
              </w:rPr>
              <w:t>，总建筑面积约2500</w:t>
            </w:r>
            <w:r>
              <w:rPr>
                <w:rFonts w:hint="eastAsia" w:ascii="宋体" w:hAnsi="宋体" w:cs="宋体"/>
                <w:color w:val="auto"/>
                <w:kern w:val="0"/>
                <w:sz w:val="20"/>
                <w:szCs w:val="20"/>
                <w:u w:val="none"/>
                <w:lang w:val="en-US" w:eastAsia="zh-CN" w:bidi="ar"/>
              </w:rPr>
              <w:t>平方米</w:t>
            </w:r>
            <w:r>
              <w:rPr>
                <w:rFonts w:hint="eastAsia" w:ascii="宋体" w:hAnsi="宋体" w:cs="宋体"/>
                <w:color w:val="auto"/>
                <w:kern w:val="0"/>
                <w:sz w:val="20"/>
                <w:szCs w:val="20"/>
                <w:u w:val="none"/>
                <w:lang w:bidi="ar"/>
              </w:rPr>
              <w:t>，建设一栋</w:t>
            </w:r>
            <w:r>
              <w:rPr>
                <w:rFonts w:hint="eastAsia" w:ascii="宋体" w:hAnsi="宋体" w:cs="宋体"/>
                <w:color w:val="auto"/>
                <w:kern w:val="0"/>
                <w:sz w:val="20"/>
                <w:szCs w:val="20"/>
                <w:u w:val="none"/>
                <w:lang w:val="en-US" w:eastAsia="zh-CN" w:bidi="ar"/>
              </w:rPr>
              <w:t>两</w:t>
            </w:r>
            <w:r>
              <w:rPr>
                <w:rFonts w:hint="eastAsia" w:ascii="宋体" w:hAnsi="宋体" w:cs="宋体"/>
                <w:color w:val="auto"/>
                <w:kern w:val="0"/>
                <w:sz w:val="20"/>
                <w:szCs w:val="20"/>
                <w:u w:val="none"/>
                <w:lang w:bidi="ar"/>
              </w:rPr>
              <w:t>层半游客服务接待中心和四栋两层独栋民宿及后期景亭廊构筑物。</w:t>
            </w:r>
          </w:p>
        </w:tc>
        <w:tc>
          <w:tcPr>
            <w:tcW w:w="0" w:type="auto"/>
            <w:vAlign w:val="center"/>
          </w:tcPr>
          <w:p w14:paraId="05F3993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074E2F2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44F8AA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B9268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1397 </w:t>
            </w:r>
          </w:p>
        </w:tc>
        <w:tc>
          <w:tcPr>
            <w:tcW w:w="0" w:type="auto"/>
            <w:vAlign w:val="center"/>
          </w:tcPr>
          <w:p w14:paraId="2759CB58">
            <w:pPr>
              <w:spacing w:line="320" w:lineRule="exact"/>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sz w:val="20"/>
                <w:szCs w:val="20"/>
                <w:u w:val="none"/>
                <w:lang w:val="en-US" w:eastAsia="zh-CN"/>
              </w:rPr>
              <w:t>0</w:t>
            </w:r>
          </w:p>
        </w:tc>
        <w:tc>
          <w:tcPr>
            <w:tcW w:w="0" w:type="auto"/>
            <w:vAlign w:val="center"/>
          </w:tcPr>
          <w:p w14:paraId="6D9E089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w:t>
            </w:r>
          </w:p>
        </w:tc>
        <w:tc>
          <w:tcPr>
            <w:tcW w:w="1230" w:type="dxa"/>
            <w:vAlign w:val="center"/>
          </w:tcPr>
          <w:p w14:paraId="24AEDFEB">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建设一栋</w:t>
            </w:r>
            <w:r>
              <w:rPr>
                <w:rFonts w:hint="eastAsia" w:ascii="宋体" w:hAnsi="宋体" w:cs="宋体"/>
                <w:color w:val="auto"/>
                <w:kern w:val="0"/>
                <w:sz w:val="20"/>
                <w:szCs w:val="20"/>
                <w:u w:val="none"/>
                <w:lang w:val="en-US" w:eastAsia="zh-CN" w:bidi="ar"/>
              </w:rPr>
              <w:t>两</w:t>
            </w:r>
            <w:r>
              <w:rPr>
                <w:rFonts w:hint="eastAsia" w:ascii="宋体" w:hAnsi="宋体" w:cs="宋体"/>
                <w:color w:val="auto"/>
                <w:kern w:val="0"/>
                <w:sz w:val="20"/>
                <w:szCs w:val="20"/>
                <w:u w:val="none"/>
                <w:lang w:bidi="ar"/>
              </w:rPr>
              <w:t>层半游客服务接待中心和四栋两层独栋民宿及后期景亭廊构筑物。</w:t>
            </w:r>
          </w:p>
        </w:tc>
        <w:tc>
          <w:tcPr>
            <w:tcW w:w="810" w:type="dxa"/>
            <w:vAlign w:val="center"/>
          </w:tcPr>
          <w:p w14:paraId="290C348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2025.06</w:t>
            </w:r>
          </w:p>
        </w:tc>
        <w:tc>
          <w:tcPr>
            <w:tcW w:w="0" w:type="auto"/>
            <w:vAlign w:val="center"/>
          </w:tcPr>
          <w:p w14:paraId="70BFFE8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4BD4A77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42B7C8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3DA58CA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7B85FE7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40EAF0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227FC0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185B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22E0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45</w:t>
            </w:r>
          </w:p>
        </w:tc>
        <w:tc>
          <w:tcPr>
            <w:tcW w:w="0" w:type="auto"/>
            <w:vAlign w:val="center"/>
          </w:tcPr>
          <w:p w14:paraId="345F73F5">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源城区2025年中压线路及低压台区改造工程</w:t>
            </w:r>
          </w:p>
        </w:tc>
        <w:tc>
          <w:tcPr>
            <w:tcW w:w="0" w:type="auto"/>
            <w:vAlign w:val="center"/>
          </w:tcPr>
          <w:p w14:paraId="72131012">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新建变压器76台，新敷设10kV线路12回，敷设台区低压线路约130</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，敷设10kV电力电缆约30</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w:t>
            </w:r>
          </w:p>
        </w:tc>
        <w:tc>
          <w:tcPr>
            <w:tcW w:w="0" w:type="auto"/>
            <w:vAlign w:val="center"/>
          </w:tcPr>
          <w:p w14:paraId="0DF2AB9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p w14:paraId="32938A2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14466A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0C5E832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2AAF77D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0 </w:t>
            </w:r>
          </w:p>
        </w:tc>
        <w:tc>
          <w:tcPr>
            <w:tcW w:w="0" w:type="auto"/>
            <w:vAlign w:val="center"/>
          </w:tcPr>
          <w:p w14:paraId="602E5A1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w:t>
            </w:r>
          </w:p>
        </w:tc>
        <w:tc>
          <w:tcPr>
            <w:tcW w:w="1230" w:type="dxa"/>
            <w:vAlign w:val="center"/>
          </w:tcPr>
          <w:p w14:paraId="113766B2">
            <w:pPr>
              <w:keepNext w:val="0"/>
              <w:keepLines w:val="0"/>
              <w:widowControl/>
              <w:suppressLineNumbers w:val="0"/>
              <w:spacing w:line="320" w:lineRule="exact"/>
              <w:ind w:right="-42" w:rightChars="-20"/>
              <w:jc w:val="left"/>
              <w:textAlignment w:val="center"/>
              <w:rPr>
                <w:rFonts w:hint="eastAsia" w:ascii="宋体" w:hAnsi="宋体" w:eastAsia="宋体" w:cs="宋体"/>
                <w:color w:val="auto"/>
                <w:kern w:val="0"/>
                <w:sz w:val="20"/>
                <w:szCs w:val="20"/>
                <w:u w:val="none"/>
                <w:lang w:val="en-US" w:eastAsia="zh-CN" w:bidi="ar"/>
              </w:rPr>
            </w:pPr>
            <w:r>
              <w:rPr>
                <w:rFonts w:hint="eastAsia" w:ascii="宋体" w:hAnsi="宋体" w:cs="宋体"/>
                <w:color w:val="auto"/>
                <w:kern w:val="0"/>
                <w:sz w:val="20"/>
                <w:szCs w:val="20"/>
                <w:u w:val="none"/>
                <w:lang w:bidi="ar"/>
              </w:rPr>
              <w:t>新建变压器76台，新敷设10kV线路12回，敷设台区低压线路约130千米，敷设10kV电力电缆约30千米。</w:t>
            </w:r>
          </w:p>
        </w:tc>
        <w:tc>
          <w:tcPr>
            <w:tcW w:w="810" w:type="dxa"/>
            <w:vAlign w:val="center"/>
          </w:tcPr>
          <w:p w14:paraId="420D409D">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2025.04</w:t>
            </w:r>
          </w:p>
        </w:tc>
        <w:tc>
          <w:tcPr>
            <w:tcW w:w="0" w:type="auto"/>
            <w:vAlign w:val="center"/>
          </w:tcPr>
          <w:p w14:paraId="2A52C4F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源城供电局</w:t>
            </w:r>
          </w:p>
        </w:tc>
        <w:tc>
          <w:tcPr>
            <w:tcW w:w="0" w:type="auto"/>
            <w:vAlign w:val="center"/>
          </w:tcPr>
          <w:p w14:paraId="4218F30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源城供电局</w:t>
            </w:r>
          </w:p>
        </w:tc>
        <w:tc>
          <w:tcPr>
            <w:tcW w:w="0" w:type="auto"/>
            <w:vAlign w:val="center"/>
          </w:tcPr>
          <w:p w14:paraId="52B784A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国有投资</w:t>
            </w:r>
          </w:p>
        </w:tc>
        <w:tc>
          <w:tcPr>
            <w:tcW w:w="0" w:type="auto"/>
            <w:vAlign w:val="center"/>
          </w:tcPr>
          <w:p w14:paraId="3E474B5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8D1C6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2258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E3E9609">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（二）</w:t>
            </w:r>
          </w:p>
        </w:tc>
        <w:tc>
          <w:tcPr>
            <w:tcW w:w="0" w:type="auto"/>
            <w:vAlign w:val="center"/>
          </w:tcPr>
          <w:p w14:paraId="3C6E03B3">
            <w:pPr>
              <w:keepNext w:val="0"/>
              <w:keepLines w:val="0"/>
              <w:widowControl/>
              <w:suppressLineNumbers w:val="0"/>
              <w:spacing w:line="320" w:lineRule="exact"/>
              <w:jc w:val="left"/>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续建项目（29项）</w:t>
            </w:r>
          </w:p>
        </w:tc>
        <w:tc>
          <w:tcPr>
            <w:tcW w:w="0" w:type="auto"/>
            <w:vAlign w:val="center"/>
          </w:tcPr>
          <w:p w14:paraId="3324AEAD">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2F474B4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16BCAA2B">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3773677 </w:t>
            </w:r>
          </w:p>
        </w:tc>
        <w:tc>
          <w:tcPr>
            <w:tcW w:w="0" w:type="auto"/>
            <w:vAlign w:val="center"/>
          </w:tcPr>
          <w:p w14:paraId="056DDBB4">
            <w:pPr>
              <w:keepNext w:val="0"/>
              <w:keepLines w:val="0"/>
              <w:widowControl/>
              <w:suppressLineNumbers w:val="0"/>
              <w:spacing w:line="320" w:lineRule="exact"/>
              <w:ind w:left="-100" w:leftChars="-57" w:right="-101" w:rightChars="-48" w:hanging="20" w:hangingChars="1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1426652 </w:t>
            </w:r>
          </w:p>
        </w:tc>
        <w:tc>
          <w:tcPr>
            <w:tcW w:w="0" w:type="auto"/>
            <w:vAlign w:val="center"/>
          </w:tcPr>
          <w:p w14:paraId="1A5F1FFE">
            <w:pPr>
              <w:keepNext w:val="0"/>
              <w:keepLines w:val="0"/>
              <w:widowControl/>
              <w:suppressLineNumbers w:val="0"/>
              <w:spacing w:line="320" w:lineRule="exact"/>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 xml:space="preserve">147400 </w:t>
            </w:r>
          </w:p>
        </w:tc>
        <w:tc>
          <w:tcPr>
            <w:tcW w:w="1230" w:type="dxa"/>
            <w:vAlign w:val="center"/>
          </w:tcPr>
          <w:p w14:paraId="06927C48">
            <w:pPr>
              <w:spacing w:line="320" w:lineRule="exact"/>
              <w:jc w:val="left"/>
              <w:rPr>
                <w:rFonts w:hint="eastAsia" w:ascii="宋体" w:hAnsi="宋体" w:eastAsia="宋体" w:cs="宋体"/>
                <w:b/>
                <w:bCs/>
                <w:i w:val="0"/>
                <w:iCs w:val="0"/>
                <w:color w:val="auto"/>
                <w:kern w:val="2"/>
                <w:sz w:val="20"/>
                <w:szCs w:val="20"/>
                <w:u w:val="none"/>
                <w:lang w:val="en-US" w:eastAsia="zh-CN" w:bidi="ar-SA"/>
              </w:rPr>
            </w:pPr>
          </w:p>
        </w:tc>
        <w:tc>
          <w:tcPr>
            <w:tcW w:w="810" w:type="dxa"/>
            <w:vAlign w:val="center"/>
          </w:tcPr>
          <w:p w14:paraId="4EF06C51">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3809BE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7CFAB98">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4E6CC8EF">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49196253">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c>
          <w:tcPr>
            <w:tcW w:w="0" w:type="auto"/>
            <w:vAlign w:val="center"/>
          </w:tcPr>
          <w:p w14:paraId="0A4DBCCA">
            <w:pPr>
              <w:spacing w:line="320" w:lineRule="exact"/>
              <w:jc w:val="center"/>
              <w:rPr>
                <w:rFonts w:hint="eastAsia" w:ascii="宋体" w:hAnsi="宋体" w:eastAsia="宋体" w:cs="宋体"/>
                <w:b/>
                <w:bCs/>
                <w:i w:val="0"/>
                <w:iCs w:val="0"/>
                <w:color w:val="auto"/>
                <w:kern w:val="2"/>
                <w:sz w:val="20"/>
                <w:szCs w:val="20"/>
                <w:u w:val="none"/>
                <w:lang w:val="en-US" w:eastAsia="zh-CN" w:bidi="ar-SA"/>
              </w:rPr>
            </w:pPr>
          </w:p>
        </w:tc>
      </w:tr>
      <w:tr w14:paraId="73AE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4D562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46</w:t>
            </w:r>
          </w:p>
        </w:tc>
        <w:tc>
          <w:tcPr>
            <w:tcW w:w="0" w:type="auto"/>
            <w:vAlign w:val="center"/>
          </w:tcPr>
          <w:p w14:paraId="5B6C6028">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广州笑宇环保科技有限公司河源分公司源城区电动自行车充电站建设项目</w:t>
            </w:r>
          </w:p>
        </w:tc>
        <w:tc>
          <w:tcPr>
            <w:tcW w:w="0" w:type="auto"/>
            <w:vAlign w:val="center"/>
          </w:tcPr>
          <w:p w14:paraId="45D6CF8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建筑面积约15000平方</w:t>
            </w:r>
            <w:r>
              <w:rPr>
                <w:rFonts w:hint="eastAsia" w:ascii="宋体" w:hAnsi="宋体" w:eastAsia="宋体" w:cs="宋体"/>
                <w:i w:val="0"/>
                <w:iCs w:val="0"/>
                <w:color w:val="auto"/>
                <w:spacing w:val="-6"/>
                <w:kern w:val="0"/>
                <w:sz w:val="20"/>
                <w:szCs w:val="20"/>
                <w:highlight w:val="none"/>
                <w:u w:val="none"/>
                <w:lang w:val="en-US" w:eastAsia="zh-CN" w:bidi="ar"/>
              </w:rPr>
              <w:t>米、占地面积约15000平方米，在源城区范围内的公共区域及住宅小区内部建设电动自行车充电站，购置电动自行车（源电通）充电桩设备，每套设备10个充电端</w:t>
            </w:r>
            <w:r>
              <w:rPr>
                <w:rFonts w:hint="eastAsia" w:ascii="宋体" w:hAnsi="宋体" w:eastAsia="宋体" w:cs="宋体"/>
                <w:i w:val="0"/>
                <w:iCs w:val="0"/>
                <w:color w:val="auto"/>
                <w:spacing w:val="-6"/>
                <w:kern w:val="0"/>
                <w:sz w:val="20"/>
                <w:szCs w:val="20"/>
                <w:u w:val="none"/>
                <w:lang w:val="en-US" w:eastAsia="zh-CN" w:bidi="ar"/>
              </w:rPr>
              <w:t>口，每个充电端口输入电压AC220V+10%50Hz、最大输出功率0.9Kw，充电站配套有电动自行车充电桩、监控摄像头、灭火器，预计建设充电端口约10000个。</w:t>
            </w:r>
          </w:p>
        </w:tc>
        <w:tc>
          <w:tcPr>
            <w:tcW w:w="0" w:type="auto"/>
            <w:vAlign w:val="center"/>
          </w:tcPr>
          <w:p w14:paraId="1EAE0F2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6100C09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20BDCE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2DC71EE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 </w:t>
            </w:r>
          </w:p>
        </w:tc>
        <w:tc>
          <w:tcPr>
            <w:tcW w:w="0" w:type="auto"/>
            <w:vAlign w:val="center"/>
          </w:tcPr>
          <w:p w14:paraId="2F80E96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 </w:t>
            </w:r>
          </w:p>
        </w:tc>
        <w:tc>
          <w:tcPr>
            <w:tcW w:w="0" w:type="auto"/>
            <w:vAlign w:val="center"/>
          </w:tcPr>
          <w:p w14:paraId="1B2A5D0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1230" w:type="dxa"/>
            <w:vAlign w:val="center"/>
          </w:tcPr>
          <w:p w14:paraId="3D61D972">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在源城区范围内的公共区域及住宅小区内部建设电动自行车充电站</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B4AAD1E">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2024.09</w:t>
            </w:r>
          </w:p>
        </w:tc>
        <w:tc>
          <w:tcPr>
            <w:tcW w:w="0" w:type="auto"/>
            <w:vAlign w:val="center"/>
          </w:tcPr>
          <w:p w14:paraId="4BF7D0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广州笑宇环保科技有限公司河源</w:t>
            </w:r>
          </w:p>
          <w:p w14:paraId="6081FC1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分公司</w:t>
            </w:r>
          </w:p>
        </w:tc>
        <w:tc>
          <w:tcPr>
            <w:tcW w:w="0" w:type="auto"/>
            <w:vAlign w:val="center"/>
          </w:tcPr>
          <w:p w14:paraId="3F351D8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715536F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1279A0E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510D25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1453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62E86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47</w:t>
            </w:r>
          </w:p>
        </w:tc>
        <w:tc>
          <w:tcPr>
            <w:tcW w:w="0" w:type="auto"/>
            <w:vAlign w:val="center"/>
          </w:tcPr>
          <w:p w14:paraId="22336282">
            <w:pPr>
              <w:keepNext w:val="0"/>
              <w:keepLines w:val="0"/>
              <w:widowControl/>
              <w:suppressLineNumbers w:val="0"/>
              <w:spacing w:line="300" w:lineRule="exact"/>
              <w:ind w:left="-59" w:leftChars="-28" w:right="-101" w:rightChars="-48"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河源港</w:t>
            </w:r>
            <w:r>
              <w:rPr>
                <w:rFonts w:hint="eastAsia" w:ascii="宋体" w:hAnsi="宋体" w:eastAsia="宋体" w:cs="宋体"/>
                <w:i w:val="0"/>
                <w:iCs w:val="0"/>
                <w:color w:val="auto"/>
                <w:spacing w:val="-6"/>
                <w:kern w:val="0"/>
                <w:sz w:val="20"/>
                <w:szCs w:val="20"/>
                <w:u w:val="none"/>
                <w:lang w:val="en-US" w:eastAsia="zh-CN" w:bidi="ar"/>
              </w:rPr>
              <w:t>能投智慧能源有限公司新建河源湧嘉5.8522MW分布式光伏电站</w:t>
            </w:r>
          </w:p>
        </w:tc>
        <w:tc>
          <w:tcPr>
            <w:tcW w:w="0" w:type="auto"/>
            <w:vAlign w:val="center"/>
          </w:tcPr>
          <w:p w14:paraId="3E35D6A4">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0"/>
                <w:kern w:val="0"/>
                <w:sz w:val="20"/>
                <w:szCs w:val="20"/>
                <w:u w:val="none"/>
                <w:lang w:val="en-US" w:eastAsia="zh-CN" w:bidi="ar"/>
              </w:rPr>
              <w:t>在园区已有建筑物屋顶上新建项目规划装机容量为5000.18kw分布式光伏发电项目</w:t>
            </w:r>
            <w:r>
              <w:rPr>
                <w:rFonts w:hint="eastAsia" w:ascii="宋体" w:hAnsi="宋体" w:cs="宋体"/>
                <w:i w:val="0"/>
                <w:iCs w:val="0"/>
                <w:color w:val="auto"/>
                <w:spacing w:val="0"/>
                <w:kern w:val="0"/>
                <w:sz w:val="20"/>
                <w:szCs w:val="20"/>
                <w:u w:val="none"/>
                <w:lang w:val="en-US" w:eastAsia="zh-CN" w:bidi="ar"/>
              </w:rPr>
              <w:t>，</w:t>
            </w:r>
            <w:r>
              <w:rPr>
                <w:rFonts w:hint="eastAsia" w:ascii="宋体" w:hAnsi="宋体" w:eastAsia="宋体" w:cs="宋体"/>
                <w:i w:val="0"/>
                <w:iCs w:val="0"/>
                <w:color w:val="auto"/>
                <w:spacing w:val="0"/>
                <w:kern w:val="0"/>
                <w:sz w:val="20"/>
                <w:szCs w:val="20"/>
                <w:u w:val="none"/>
                <w:lang w:val="en-US" w:eastAsia="zh-CN" w:bidi="ar"/>
              </w:rPr>
              <w:t>共铺设8621块高效580W单晶组件，配置31台组串式并网逆变器，并网等级为用户侧0.4kv，并网模式为自发自用，余电上网。</w:t>
            </w:r>
          </w:p>
        </w:tc>
        <w:tc>
          <w:tcPr>
            <w:tcW w:w="0" w:type="auto"/>
            <w:vAlign w:val="center"/>
          </w:tcPr>
          <w:p w14:paraId="503A1F3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610BA6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A7FCC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625436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2347 </w:t>
            </w:r>
          </w:p>
        </w:tc>
        <w:tc>
          <w:tcPr>
            <w:tcW w:w="0" w:type="auto"/>
            <w:vAlign w:val="center"/>
          </w:tcPr>
          <w:p w14:paraId="52EE983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847 </w:t>
            </w:r>
          </w:p>
        </w:tc>
        <w:tc>
          <w:tcPr>
            <w:tcW w:w="0" w:type="auto"/>
            <w:vAlign w:val="center"/>
          </w:tcPr>
          <w:p w14:paraId="6204870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 </w:t>
            </w:r>
          </w:p>
        </w:tc>
        <w:tc>
          <w:tcPr>
            <w:tcW w:w="1230" w:type="dxa"/>
            <w:vAlign w:val="center"/>
          </w:tcPr>
          <w:p w14:paraId="0F09704B">
            <w:pPr>
              <w:keepNext w:val="0"/>
              <w:keepLines w:val="0"/>
              <w:widowControl/>
              <w:suppressLineNumbers w:val="0"/>
              <w:spacing w:line="320" w:lineRule="exact"/>
              <w:ind w:right="-141" w:rightChars="-6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新建项目规划装机容量为5000.18kw分布式光伏发电项目</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0413094E">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2024.08</w:t>
            </w:r>
          </w:p>
        </w:tc>
        <w:tc>
          <w:tcPr>
            <w:tcW w:w="0" w:type="auto"/>
            <w:vAlign w:val="center"/>
          </w:tcPr>
          <w:p w14:paraId="10728EE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河源港能投智慧能源有限公司</w:t>
            </w:r>
          </w:p>
        </w:tc>
        <w:tc>
          <w:tcPr>
            <w:tcW w:w="0" w:type="auto"/>
            <w:vAlign w:val="center"/>
          </w:tcPr>
          <w:p w14:paraId="7ADBEE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5297FA1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29148E7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77BB523B">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CBAB41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1B87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77281A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48</w:t>
            </w:r>
          </w:p>
        </w:tc>
        <w:tc>
          <w:tcPr>
            <w:tcW w:w="0" w:type="auto"/>
            <w:vAlign w:val="center"/>
          </w:tcPr>
          <w:p w14:paraId="27436194">
            <w:pPr>
              <w:keepNext w:val="0"/>
              <w:keepLines w:val="0"/>
              <w:widowControl/>
              <w:suppressLineNumbers w:val="0"/>
              <w:spacing w:line="300" w:lineRule="exact"/>
              <w:ind w:left="-39" w:leftChars="-28" w:right="-113" w:rightChars="-54" w:hanging="20" w:hangingChars="1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汇智（北京）能源有限公司河源源城分公司建设5MW分布式光伏发电站项目</w:t>
            </w:r>
          </w:p>
        </w:tc>
        <w:tc>
          <w:tcPr>
            <w:tcW w:w="0" w:type="auto"/>
            <w:vAlign w:val="center"/>
          </w:tcPr>
          <w:p w14:paraId="1299E39C">
            <w:pPr>
              <w:keepNext w:val="0"/>
              <w:keepLines w:val="0"/>
              <w:widowControl/>
              <w:suppressLineNumbers w:val="0"/>
              <w:spacing w:line="320" w:lineRule="exact"/>
              <w:ind w:left="-41" w:leftChars="-28" w:right="-92" w:rightChars="-44" w:hanging="18" w:hangingChars="10"/>
              <w:jc w:val="both"/>
              <w:textAlignment w:val="center"/>
              <w:rPr>
                <w:rFonts w:hint="eastAsia" w:ascii="宋体" w:hAnsi="宋体" w:eastAsia="宋体" w:cs="宋体"/>
                <w:i w:val="0"/>
                <w:iCs w:val="0"/>
                <w:color w:val="auto"/>
                <w:spacing w:val="-6"/>
                <w:kern w:val="2"/>
                <w:sz w:val="20"/>
                <w:szCs w:val="20"/>
                <w:u w:val="none"/>
                <w:lang w:val="en-US" w:eastAsia="zh-CN" w:bidi="ar-SA"/>
              </w:rPr>
            </w:pPr>
            <w:r>
              <w:rPr>
                <w:rFonts w:hint="eastAsia" w:ascii="宋体" w:hAnsi="宋体" w:eastAsia="宋体" w:cs="宋体"/>
                <w:i w:val="0"/>
                <w:iCs w:val="0"/>
                <w:color w:val="auto"/>
                <w:spacing w:val="-6"/>
                <w:kern w:val="0"/>
                <w:sz w:val="20"/>
                <w:szCs w:val="20"/>
                <w:u w:val="none"/>
                <w:lang w:val="en-US" w:eastAsia="zh-CN" w:bidi="ar"/>
              </w:rPr>
              <w:t>占地面积22</w:t>
            </w:r>
            <w:r>
              <w:rPr>
                <w:rFonts w:hint="eastAsia" w:ascii="宋体" w:hAnsi="宋体" w:cs="宋体"/>
                <w:i w:val="0"/>
                <w:iCs w:val="0"/>
                <w:color w:val="auto"/>
                <w:spacing w:val="-6"/>
                <w:kern w:val="0"/>
                <w:sz w:val="20"/>
                <w:szCs w:val="20"/>
                <w:u w:val="none"/>
                <w:lang w:val="en-US" w:eastAsia="zh-CN" w:bidi="ar"/>
              </w:rPr>
              <w:t>000</w:t>
            </w:r>
            <w:r>
              <w:rPr>
                <w:rFonts w:hint="eastAsia" w:ascii="宋体" w:hAnsi="宋体" w:eastAsia="宋体" w:cs="宋体"/>
                <w:i w:val="0"/>
                <w:iCs w:val="0"/>
                <w:color w:val="auto"/>
                <w:spacing w:val="-6"/>
                <w:kern w:val="0"/>
                <w:sz w:val="20"/>
                <w:szCs w:val="20"/>
                <w:u w:val="none"/>
                <w:lang w:val="en-US" w:eastAsia="zh-CN" w:bidi="ar"/>
              </w:rPr>
              <w:t>平方米，建筑面积22</w:t>
            </w:r>
            <w:r>
              <w:rPr>
                <w:rFonts w:hint="eastAsia" w:ascii="宋体" w:hAnsi="宋体" w:cs="宋体"/>
                <w:i w:val="0"/>
                <w:iCs w:val="0"/>
                <w:color w:val="auto"/>
                <w:spacing w:val="-6"/>
                <w:kern w:val="0"/>
                <w:sz w:val="20"/>
                <w:szCs w:val="20"/>
                <w:u w:val="none"/>
                <w:lang w:val="en-US" w:eastAsia="zh-CN" w:bidi="ar"/>
              </w:rPr>
              <w:t>000</w:t>
            </w:r>
            <w:r>
              <w:rPr>
                <w:rFonts w:hint="eastAsia" w:ascii="宋体" w:hAnsi="宋体" w:eastAsia="宋体" w:cs="宋体"/>
                <w:i w:val="0"/>
                <w:iCs w:val="0"/>
                <w:color w:val="auto"/>
                <w:spacing w:val="-6"/>
                <w:kern w:val="0"/>
                <w:sz w:val="20"/>
                <w:szCs w:val="20"/>
                <w:u w:val="none"/>
                <w:lang w:val="en-US" w:eastAsia="zh-CN" w:bidi="ar"/>
              </w:rPr>
              <w:t>万平方米；采用锌铝镁钢材，安装高效单硅光伏板，安装容量为5MW</w:t>
            </w:r>
            <w:r>
              <w:rPr>
                <w:rFonts w:hint="eastAsia" w:ascii="宋体" w:hAnsi="宋体" w:cs="宋体"/>
                <w:i w:val="0"/>
                <w:iCs w:val="0"/>
                <w:color w:val="auto"/>
                <w:spacing w:val="-6"/>
                <w:kern w:val="0"/>
                <w:sz w:val="20"/>
                <w:szCs w:val="20"/>
                <w:u w:val="none"/>
                <w:lang w:val="en-US" w:eastAsia="zh-CN" w:bidi="ar"/>
              </w:rPr>
              <w:t>，</w:t>
            </w:r>
            <w:r>
              <w:rPr>
                <w:rFonts w:hint="eastAsia" w:ascii="宋体" w:hAnsi="宋体" w:eastAsia="宋体" w:cs="宋体"/>
                <w:i w:val="0"/>
                <w:iCs w:val="0"/>
                <w:color w:val="auto"/>
                <w:spacing w:val="-6"/>
                <w:kern w:val="0"/>
                <w:sz w:val="20"/>
                <w:szCs w:val="20"/>
                <w:u w:val="none"/>
                <w:lang w:val="en-US" w:eastAsia="zh-CN" w:bidi="ar"/>
              </w:rPr>
              <w:t>结合光伏逆变器将直流电能转成交流电，采用全额上网模式将电能并入南方电网。</w:t>
            </w:r>
          </w:p>
        </w:tc>
        <w:tc>
          <w:tcPr>
            <w:tcW w:w="0" w:type="auto"/>
            <w:vAlign w:val="center"/>
          </w:tcPr>
          <w:p w14:paraId="65158C9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3D6D75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A5165C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407AF5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6EEC9D9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vAlign w:val="center"/>
          </w:tcPr>
          <w:p w14:paraId="2C6B747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1230" w:type="dxa"/>
            <w:vAlign w:val="center"/>
          </w:tcPr>
          <w:p w14:paraId="490A26E8">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安装高效单硅光伏板，安装容量为5MW。 </w:t>
            </w:r>
          </w:p>
        </w:tc>
        <w:tc>
          <w:tcPr>
            <w:tcW w:w="810" w:type="dxa"/>
            <w:vAlign w:val="center"/>
          </w:tcPr>
          <w:p w14:paraId="1D0213F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2024.08</w:t>
            </w:r>
          </w:p>
        </w:tc>
        <w:tc>
          <w:tcPr>
            <w:tcW w:w="0" w:type="auto"/>
            <w:vAlign w:val="center"/>
          </w:tcPr>
          <w:p w14:paraId="4FEF5B2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河源港能投智慧能源有限公司</w:t>
            </w:r>
          </w:p>
        </w:tc>
        <w:tc>
          <w:tcPr>
            <w:tcW w:w="0" w:type="auto"/>
            <w:vAlign w:val="center"/>
          </w:tcPr>
          <w:p w14:paraId="1E56103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新江街道办</w:t>
            </w:r>
          </w:p>
        </w:tc>
        <w:tc>
          <w:tcPr>
            <w:tcW w:w="0" w:type="auto"/>
            <w:vAlign w:val="center"/>
          </w:tcPr>
          <w:p w14:paraId="52E6EA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5CF062B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D292F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0A70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051A7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49</w:t>
            </w:r>
          </w:p>
        </w:tc>
        <w:tc>
          <w:tcPr>
            <w:tcW w:w="0" w:type="auto"/>
            <w:vAlign w:val="center"/>
          </w:tcPr>
          <w:p w14:paraId="15053586">
            <w:pPr>
              <w:keepNext w:val="0"/>
              <w:keepLines w:val="0"/>
              <w:widowControl/>
              <w:suppressLineNumbers w:val="0"/>
              <w:spacing w:line="280" w:lineRule="exact"/>
              <w:ind w:right="-80" w:rightChars="-3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河源市泰煜新能源科技有限公司新建河源市源城区风貌提升11MW屋顶分布式光伏发电项目</w:t>
            </w:r>
          </w:p>
        </w:tc>
        <w:tc>
          <w:tcPr>
            <w:tcW w:w="0" w:type="auto"/>
            <w:vAlign w:val="center"/>
          </w:tcPr>
          <w:p w14:paraId="7BE3F5D9">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w:t>
            </w:r>
            <w:r>
              <w:rPr>
                <w:rFonts w:hint="eastAsia" w:ascii="宋体" w:hAnsi="宋体" w:eastAsia="宋体" w:cs="宋体"/>
                <w:i w:val="0"/>
                <w:iCs w:val="0"/>
                <w:color w:val="auto"/>
                <w:kern w:val="0"/>
                <w:sz w:val="20"/>
                <w:szCs w:val="20"/>
                <w:highlight w:val="none"/>
                <w:u w:val="none"/>
                <w:lang w:val="en-US" w:eastAsia="zh-CN" w:bidi="ar"/>
              </w:rPr>
              <w:t>屋</w:t>
            </w:r>
            <w:r>
              <w:rPr>
                <w:rFonts w:hint="eastAsia" w:ascii="宋体" w:hAnsi="宋体" w:cs="宋体"/>
                <w:i w:val="0"/>
                <w:iCs w:val="0"/>
                <w:color w:val="auto"/>
                <w:kern w:val="0"/>
                <w:sz w:val="20"/>
                <w:szCs w:val="20"/>
                <w:highlight w:val="none"/>
                <w:u w:val="none"/>
                <w:lang w:val="en-US" w:eastAsia="zh-CN" w:bidi="ar"/>
              </w:rPr>
              <w:t>顶</w:t>
            </w:r>
            <w:r>
              <w:rPr>
                <w:rFonts w:hint="eastAsia" w:ascii="宋体" w:hAnsi="宋体" w:eastAsia="宋体" w:cs="宋体"/>
                <w:i w:val="0"/>
                <w:iCs w:val="0"/>
                <w:color w:val="auto"/>
                <w:kern w:val="0"/>
                <w:sz w:val="20"/>
                <w:szCs w:val="20"/>
                <w:highlight w:val="none"/>
                <w:u w:val="none"/>
                <w:lang w:val="en-US" w:eastAsia="zh-CN" w:bidi="ar"/>
              </w:rPr>
              <w:t>60000平方米，托屋</w:t>
            </w:r>
            <w:r>
              <w:rPr>
                <w:rFonts w:hint="eastAsia" w:ascii="宋体" w:hAnsi="宋体" w:cs="宋体"/>
                <w:i w:val="0"/>
                <w:iCs w:val="0"/>
                <w:color w:val="auto"/>
                <w:kern w:val="0"/>
                <w:sz w:val="20"/>
                <w:szCs w:val="20"/>
                <w:highlight w:val="none"/>
                <w:u w:val="none"/>
                <w:lang w:val="en-US" w:eastAsia="zh-CN" w:bidi="ar"/>
              </w:rPr>
              <w:t>顶</w:t>
            </w:r>
            <w:r>
              <w:rPr>
                <w:rFonts w:hint="eastAsia" w:ascii="宋体" w:hAnsi="宋体" w:eastAsia="宋体" w:cs="宋体"/>
                <w:i w:val="0"/>
                <w:iCs w:val="0"/>
                <w:color w:val="auto"/>
                <w:kern w:val="0"/>
                <w:sz w:val="20"/>
                <w:szCs w:val="20"/>
                <w:highlight w:val="none"/>
                <w:u w:val="none"/>
                <w:lang w:val="en-US" w:eastAsia="zh-CN" w:bidi="ar"/>
              </w:rPr>
              <w:t>建</w:t>
            </w:r>
            <w:r>
              <w:rPr>
                <w:rFonts w:hint="eastAsia" w:ascii="宋体" w:hAnsi="宋体" w:eastAsia="宋体" w:cs="宋体"/>
                <w:i w:val="0"/>
                <w:iCs w:val="0"/>
                <w:color w:val="auto"/>
                <w:kern w:val="0"/>
                <w:sz w:val="20"/>
                <w:szCs w:val="20"/>
                <w:u w:val="none"/>
                <w:lang w:val="en-US" w:eastAsia="zh-CN" w:bidi="ar"/>
              </w:rPr>
              <w:t>设容量11MW分布式光伏发电项目，拟利用光伏组件、支架、逆变器等产品组成光伏发电系统。</w:t>
            </w:r>
          </w:p>
        </w:tc>
        <w:tc>
          <w:tcPr>
            <w:tcW w:w="0" w:type="auto"/>
            <w:vAlign w:val="center"/>
          </w:tcPr>
          <w:p w14:paraId="43F20A6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4FE7E9B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5BD090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470231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4520 </w:t>
            </w:r>
          </w:p>
        </w:tc>
        <w:tc>
          <w:tcPr>
            <w:tcW w:w="0" w:type="auto"/>
            <w:vAlign w:val="center"/>
          </w:tcPr>
          <w:p w14:paraId="31A0A4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028DDFD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 </w:t>
            </w:r>
          </w:p>
        </w:tc>
        <w:tc>
          <w:tcPr>
            <w:tcW w:w="1230" w:type="dxa"/>
            <w:vAlign w:val="center"/>
          </w:tcPr>
          <w:p w14:paraId="7CD33C31">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拟利用光伏组件、支架、逆变器等产品组成光伏发电系统。</w:t>
            </w:r>
          </w:p>
        </w:tc>
        <w:tc>
          <w:tcPr>
            <w:tcW w:w="810" w:type="dxa"/>
            <w:vAlign w:val="center"/>
          </w:tcPr>
          <w:p w14:paraId="656B109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2024.08</w:t>
            </w:r>
          </w:p>
        </w:tc>
        <w:tc>
          <w:tcPr>
            <w:tcW w:w="0" w:type="auto"/>
            <w:vAlign w:val="center"/>
          </w:tcPr>
          <w:p w14:paraId="7D00240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河源市泰煜新能源科技有限公司</w:t>
            </w:r>
          </w:p>
        </w:tc>
        <w:tc>
          <w:tcPr>
            <w:tcW w:w="0" w:type="auto"/>
            <w:vAlign w:val="center"/>
          </w:tcPr>
          <w:p w14:paraId="54513AC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349F6B8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713A4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1BB760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4DFF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ADBA4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w:t>
            </w:r>
          </w:p>
        </w:tc>
        <w:tc>
          <w:tcPr>
            <w:tcW w:w="0" w:type="auto"/>
            <w:vAlign w:val="center"/>
          </w:tcPr>
          <w:p w14:paraId="23200BE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河源220千伏万绿湖</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白田</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输变电工程项目</w:t>
            </w:r>
          </w:p>
        </w:tc>
        <w:tc>
          <w:tcPr>
            <w:tcW w:w="0" w:type="auto"/>
            <w:vAlign w:val="center"/>
          </w:tcPr>
          <w:p w14:paraId="47B13320">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新建一座220千伏万绿湖站，含新建线路约13.7</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，铁塔14基等。</w:t>
            </w:r>
          </w:p>
        </w:tc>
        <w:tc>
          <w:tcPr>
            <w:tcW w:w="0" w:type="auto"/>
            <w:vAlign w:val="center"/>
          </w:tcPr>
          <w:p w14:paraId="7BD2E5B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w:t>
            </w:r>
          </w:p>
          <w:p w14:paraId="4B20F76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1C33358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583A855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48960 </w:t>
            </w:r>
          </w:p>
        </w:tc>
        <w:tc>
          <w:tcPr>
            <w:tcW w:w="0" w:type="auto"/>
            <w:vAlign w:val="center"/>
          </w:tcPr>
          <w:p w14:paraId="57086F9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46960 </w:t>
            </w:r>
          </w:p>
        </w:tc>
        <w:tc>
          <w:tcPr>
            <w:tcW w:w="0" w:type="auto"/>
            <w:vAlign w:val="center"/>
          </w:tcPr>
          <w:p w14:paraId="265EB53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1230" w:type="dxa"/>
            <w:vAlign w:val="center"/>
          </w:tcPr>
          <w:p w14:paraId="737A80C4">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建设新线路及铁塔等</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3453549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2019.09</w:t>
            </w:r>
          </w:p>
        </w:tc>
        <w:tc>
          <w:tcPr>
            <w:tcW w:w="0" w:type="auto"/>
            <w:vAlign w:val="center"/>
          </w:tcPr>
          <w:p w14:paraId="45406CB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河源供电局</w:t>
            </w:r>
          </w:p>
        </w:tc>
        <w:tc>
          <w:tcPr>
            <w:tcW w:w="0" w:type="auto"/>
            <w:vAlign w:val="center"/>
          </w:tcPr>
          <w:p w14:paraId="43EE9C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045D7B8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政府</w:t>
            </w:r>
          </w:p>
        </w:tc>
        <w:tc>
          <w:tcPr>
            <w:tcW w:w="0" w:type="auto"/>
            <w:vAlign w:val="center"/>
          </w:tcPr>
          <w:p w14:paraId="3519C6A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18DE46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4EF3C7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0A1D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8CB46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51</w:t>
            </w:r>
          </w:p>
        </w:tc>
        <w:tc>
          <w:tcPr>
            <w:tcW w:w="0" w:type="auto"/>
            <w:vAlign w:val="center"/>
          </w:tcPr>
          <w:p w14:paraId="51A3E02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河源绿达综合能源有限公司河源220kV变电站新型储能项目</w:t>
            </w:r>
          </w:p>
        </w:tc>
        <w:tc>
          <w:tcPr>
            <w:tcW w:w="0" w:type="auto"/>
            <w:vAlign w:val="center"/>
          </w:tcPr>
          <w:p w14:paraId="461DCA71">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拟在220千伏河源站南侧用地红线内，占地面积约4000平方米，规划投建40兆瓦/40兆瓦时的独立储能电站，主要建设内容为储能蓄电池组、储能变流器、升压变压器、集电线路、场内道路等。</w:t>
            </w:r>
          </w:p>
        </w:tc>
        <w:tc>
          <w:tcPr>
            <w:tcW w:w="0" w:type="auto"/>
            <w:vAlign w:val="center"/>
          </w:tcPr>
          <w:p w14:paraId="1208C59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24D79D0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878E25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14C3273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9189 </w:t>
            </w:r>
          </w:p>
        </w:tc>
        <w:tc>
          <w:tcPr>
            <w:tcW w:w="0" w:type="auto"/>
            <w:vAlign w:val="center"/>
          </w:tcPr>
          <w:p w14:paraId="50989C3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6000 </w:t>
            </w:r>
          </w:p>
        </w:tc>
        <w:tc>
          <w:tcPr>
            <w:tcW w:w="0" w:type="auto"/>
            <w:vAlign w:val="center"/>
          </w:tcPr>
          <w:p w14:paraId="755DD64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1230" w:type="dxa"/>
            <w:vAlign w:val="center"/>
          </w:tcPr>
          <w:p w14:paraId="7FCCBFCE">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pacing w:val="-11"/>
                <w:kern w:val="0"/>
                <w:sz w:val="20"/>
                <w:szCs w:val="20"/>
                <w:u w:val="none"/>
                <w:lang w:val="en-US" w:eastAsia="zh-CN" w:bidi="ar"/>
              </w:rPr>
              <w:t>在220kV河源变电站厂区内投资建设独立共享储能电站（8兆瓦/8兆瓦时），另在河源站建设单晶硅光伏板194块，建设光伏发电106.7kWp</w:t>
            </w:r>
            <w:r>
              <w:rPr>
                <w:rFonts w:hint="eastAsia" w:ascii="宋体" w:hAnsi="宋体" w:eastAsia="宋体" w:cs="宋体"/>
                <w:i w:val="0"/>
                <w:iCs w:val="0"/>
                <w:color w:val="auto"/>
                <w:kern w:val="0"/>
                <w:sz w:val="20"/>
                <w:szCs w:val="20"/>
                <w:u w:val="none"/>
                <w:lang w:val="en-US" w:eastAsia="zh-CN" w:bidi="ar"/>
              </w:rPr>
              <w:t>。</w:t>
            </w:r>
          </w:p>
        </w:tc>
        <w:tc>
          <w:tcPr>
            <w:tcW w:w="810" w:type="dxa"/>
            <w:vAlign w:val="center"/>
          </w:tcPr>
          <w:p w14:paraId="437BDC2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2024.07</w:t>
            </w:r>
          </w:p>
        </w:tc>
        <w:tc>
          <w:tcPr>
            <w:tcW w:w="0" w:type="auto"/>
            <w:vAlign w:val="center"/>
          </w:tcPr>
          <w:p w14:paraId="7C9647A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河源绿达综合能源有限公司</w:t>
            </w:r>
          </w:p>
        </w:tc>
        <w:tc>
          <w:tcPr>
            <w:tcW w:w="0" w:type="auto"/>
            <w:vAlign w:val="center"/>
          </w:tcPr>
          <w:p w14:paraId="07A6BB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新江街道办</w:t>
            </w:r>
          </w:p>
        </w:tc>
        <w:tc>
          <w:tcPr>
            <w:tcW w:w="0" w:type="auto"/>
            <w:vAlign w:val="center"/>
          </w:tcPr>
          <w:p w14:paraId="42B688F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8F3EEA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A9A33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能源保障工程</w:t>
            </w:r>
          </w:p>
        </w:tc>
      </w:tr>
      <w:tr w14:paraId="0503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0" w:type="auto"/>
            <w:vAlign w:val="center"/>
          </w:tcPr>
          <w:p w14:paraId="5F1A14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52</w:t>
            </w:r>
          </w:p>
        </w:tc>
        <w:tc>
          <w:tcPr>
            <w:tcW w:w="0" w:type="auto"/>
            <w:vAlign w:val="center"/>
          </w:tcPr>
          <w:p w14:paraId="505DC5FA">
            <w:pPr>
              <w:keepNext w:val="0"/>
              <w:keepLines w:val="0"/>
              <w:widowControl/>
              <w:suppressLineNumbers w:val="0"/>
              <w:spacing w:line="240" w:lineRule="auto"/>
              <w:ind w:right="-101" w:rightChars="-48"/>
              <w:jc w:val="left"/>
              <w:textAlignment w:val="auto"/>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源西街道庄田村新村小组农产品综合服务楼工程项目</w:t>
            </w:r>
          </w:p>
        </w:tc>
        <w:tc>
          <w:tcPr>
            <w:tcW w:w="0" w:type="auto"/>
            <w:vAlign w:val="center"/>
          </w:tcPr>
          <w:p w14:paraId="068A2F93">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占地面积10000平方米，建设</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栋农产品综合楼，总建筑面积5789.61平方米，(其中</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农副产品综合服务大厅占地面积1620平方米、建筑面积1671.10平方米，服务配套用房占地面积1050平方米，总建筑面积4118.51平方米)，以及配套基础设施。</w:t>
            </w:r>
          </w:p>
        </w:tc>
        <w:tc>
          <w:tcPr>
            <w:tcW w:w="0" w:type="auto"/>
            <w:vAlign w:val="center"/>
          </w:tcPr>
          <w:p w14:paraId="61AFC0C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5451894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03BC68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0B13FA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 </w:t>
            </w:r>
          </w:p>
        </w:tc>
        <w:tc>
          <w:tcPr>
            <w:tcW w:w="0" w:type="auto"/>
            <w:vAlign w:val="center"/>
          </w:tcPr>
          <w:p w14:paraId="6059DFC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 </w:t>
            </w:r>
          </w:p>
        </w:tc>
        <w:tc>
          <w:tcPr>
            <w:tcW w:w="0" w:type="auto"/>
            <w:vAlign w:val="center"/>
          </w:tcPr>
          <w:p w14:paraId="6A0A08F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 </w:t>
            </w:r>
          </w:p>
        </w:tc>
        <w:tc>
          <w:tcPr>
            <w:tcW w:w="1230" w:type="dxa"/>
            <w:vAlign w:val="center"/>
          </w:tcPr>
          <w:p w14:paraId="29C4A1A6">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完成农产品综合楼及完善配套基础设施。</w:t>
            </w:r>
          </w:p>
        </w:tc>
        <w:tc>
          <w:tcPr>
            <w:tcW w:w="810" w:type="dxa"/>
            <w:vAlign w:val="center"/>
          </w:tcPr>
          <w:p w14:paraId="036B082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2024.03</w:t>
            </w:r>
          </w:p>
        </w:tc>
        <w:tc>
          <w:tcPr>
            <w:tcW w:w="0" w:type="auto"/>
            <w:vAlign w:val="center"/>
          </w:tcPr>
          <w:p w14:paraId="1AD7BAB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源西街道庄田村村</w:t>
            </w:r>
            <w:r>
              <w:rPr>
                <w:rFonts w:hint="eastAsia" w:ascii="宋体" w:hAnsi="宋体" w:cs="宋体"/>
                <w:i w:val="0"/>
                <w:iCs w:val="0"/>
                <w:color w:val="auto"/>
                <w:kern w:val="0"/>
                <w:sz w:val="20"/>
                <w:szCs w:val="20"/>
                <w:u w:val="none"/>
                <w:lang w:val="en-US" w:eastAsia="zh-CN" w:bidi="ar"/>
              </w:rPr>
              <w:t>委</w:t>
            </w:r>
            <w:r>
              <w:rPr>
                <w:rFonts w:hint="eastAsia" w:ascii="宋体" w:hAnsi="宋体" w:eastAsia="宋体" w:cs="宋体"/>
                <w:i w:val="0"/>
                <w:iCs w:val="0"/>
                <w:color w:val="auto"/>
                <w:kern w:val="0"/>
                <w:sz w:val="20"/>
                <w:szCs w:val="20"/>
                <w:u w:val="none"/>
                <w:lang w:val="en-US" w:eastAsia="zh-CN" w:bidi="ar"/>
              </w:rPr>
              <w:t>会</w:t>
            </w:r>
          </w:p>
        </w:tc>
        <w:tc>
          <w:tcPr>
            <w:tcW w:w="0" w:type="auto"/>
            <w:vAlign w:val="center"/>
          </w:tcPr>
          <w:p w14:paraId="4A59EDA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2E2498B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435319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4E840DA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产业发展平台项目</w:t>
            </w:r>
          </w:p>
        </w:tc>
      </w:tr>
      <w:tr w14:paraId="349B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0" w:type="auto"/>
            <w:vAlign w:val="center"/>
          </w:tcPr>
          <w:p w14:paraId="1F11E04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53</w:t>
            </w:r>
          </w:p>
        </w:tc>
        <w:tc>
          <w:tcPr>
            <w:tcW w:w="0" w:type="auto"/>
            <w:vAlign w:val="center"/>
          </w:tcPr>
          <w:p w14:paraId="5CBA365A">
            <w:pPr>
              <w:keepNext w:val="0"/>
              <w:keepLines w:val="0"/>
              <w:widowControl/>
              <w:suppressLineNumbers w:val="0"/>
              <w:spacing w:line="32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埔前镇高埔村产业大楼工程项目</w:t>
            </w:r>
          </w:p>
        </w:tc>
        <w:tc>
          <w:tcPr>
            <w:tcW w:w="0" w:type="auto"/>
            <w:vAlign w:val="center"/>
          </w:tcPr>
          <w:p w14:paraId="1830C2F3">
            <w:pPr>
              <w:keepNext w:val="0"/>
              <w:keepLines w:val="0"/>
              <w:widowControl/>
              <w:suppressLineNumbers w:val="0"/>
              <w:spacing w:line="320" w:lineRule="exact"/>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占地面积2827.66平方米，建设</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栋7层商用大楼，总建筑面积约7060平方米，设地下停车库，车位约34个。</w:t>
            </w:r>
          </w:p>
        </w:tc>
        <w:tc>
          <w:tcPr>
            <w:tcW w:w="0" w:type="auto"/>
            <w:vAlign w:val="center"/>
          </w:tcPr>
          <w:p w14:paraId="434BE96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A0B45C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3CDD1F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12143F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1139 </w:t>
            </w:r>
          </w:p>
        </w:tc>
        <w:tc>
          <w:tcPr>
            <w:tcW w:w="0" w:type="auto"/>
            <w:vAlign w:val="center"/>
          </w:tcPr>
          <w:p w14:paraId="03235C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 </w:t>
            </w:r>
          </w:p>
        </w:tc>
        <w:tc>
          <w:tcPr>
            <w:tcW w:w="0" w:type="auto"/>
            <w:vAlign w:val="center"/>
          </w:tcPr>
          <w:p w14:paraId="4481252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900</w:t>
            </w:r>
          </w:p>
        </w:tc>
        <w:tc>
          <w:tcPr>
            <w:tcW w:w="1230" w:type="dxa"/>
            <w:vAlign w:val="center"/>
          </w:tcPr>
          <w:p w14:paraId="09E6909D">
            <w:pPr>
              <w:keepNext w:val="0"/>
              <w:keepLines w:val="0"/>
              <w:widowControl/>
              <w:suppressLineNumbers w:val="0"/>
              <w:spacing w:line="320" w:lineRule="exact"/>
              <w:ind w:right="-42" w:rightChars="-2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建设一栋7层商用大楼、地下停车库等基础配套设施。</w:t>
            </w:r>
          </w:p>
        </w:tc>
        <w:tc>
          <w:tcPr>
            <w:tcW w:w="810" w:type="dxa"/>
            <w:vAlign w:val="center"/>
          </w:tcPr>
          <w:p w14:paraId="56D2D06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6D6080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埔前镇高埔村</w:t>
            </w:r>
            <w:r>
              <w:rPr>
                <w:rFonts w:hint="eastAsia" w:ascii="宋体" w:hAnsi="宋体" w:cs="宋体"/>
                <w:i w:val="0"/>
                <w:iCs w:val="0"/>
                <w:color w:val="auto"/>
                <w:kern w:val="0"/>
                <w:sz w:val="20"/>
                <w:szCs w:val="20"/>
                <w:u w:val="none"/>
                <w:lang w:val="en-US" w:eastAsia="zh-CN" w:bidi="ar"/>
              </w:rPr>
              <w:t>村</w:t>
            </w:r>
            <w:r>
              <w:rPr>
                <w:rFonts w:hint="eastAsia" w:ascii="宋体" w:hAnsi="宋体" w:eastAsia="宋体" w:cs="宋体"/>
                <w:i w:val="0"/>
                <w:iCs w:val="0"/>
                <w:color w:val="auto"/>
                <w:kern w:val="0"/>
                <w:sz w:val="20"/>
                <w:szCs w:val="20"/>
                <w:u w:val="none"/>
                <w:lang w:val="en-US" w:eastAsia="zh-CN" w:bidi="ar"/>
              </w:rPr>
              <w:t>委会</w:t>
            </w:r>
          </w:p>
        </w:tc>
        <w:tc>
          <w:tcPr>
            <w:tcW w:w="0" w:type="auto"/>
            <w:vAlign w:val="center"/>
          </w:tcPr>
          <w:p w14:paraId="267C129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5EB7A2E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45ADA5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29FFEC5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59827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产业发展平台项目</w:t>
            </w:r>
          </w:p>
        </w:tc>
      </w:tr>
      <w:tr w14:paraId="3FEA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8EE8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54</w:t>
            </w:r>
          </w:p>
        </w:tc>
        <w:tc>
          <w:tcPr>
            <w:tcW w:w="0" w:type="auto"/>
            <w:vAlign w:val="center"/>
          </w:tcPr>
          <w:p w14:paraId="512FA4EC">
            <w:pPr>
              <w:keepNext w:val="0"/>
              <w:keepLines w:val="0"/>
              <w:widowControl/>
              <w:suppressLineNumbers w:val="0"/>
              <w:spacing w:line="320" w:lineRule="exact"/>
              <w:ind w:right="-80" w:rightChars="-3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河源市源城区源南镇金竹沥河水环境保护工程</w:t>
            </w:r>
          </w:p>
        </w:tc>
        <w:tc>
          <w:tcPr>
            <w:tcW w:w="0" w:type="auto"/>
            <w:vAlign w:val="center"/>
          </w:tcPr>
          <w:p w14:paraId="0D48486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建设DN300-DN600重力流主支管道约24.6</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、DN110入户管道约12.3</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、DN300压力流管道约1.2</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、污水提升泵站2座及化粪池一批。</w:t>
            </w:r>
          </w:p>
        </w:tc>
        <w:tc>
          <w:tcPr>
            <w:tcW w:w="0" w:type="auto"/>
            <w:vAlign w:val="center"/>
          </w:tcPr>
          <w:p w14:paraId="3F1D0F1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2F5A8D2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59707AE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09E62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3798 </w:t>
            </w:r>
          </w:p>
        </w:tc>
        <w:tc>
          <w:tcPr>
            <w:tcW w:w="0" w:type="auto"/>
            <w:vAlign w:val="center"/>
          </w:tcPr>
          <w:p w14:paraId="4D1500A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2598 </w:t>
            </w:r>
          </w:p>
        </w:tc>
        <w:tc>
          <w:tcPr>
            <w:tcW w:w="0" w:type="auto"/>
            <w:vAlign w:val="center"/>
          </w:tcPr>
          <w:p w14:paraId="54DFD93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 </w:t>
            </w:r>
          </w:p>
        </w:tc>
        <w:tc>
          <w:tcPr>
            <w:tcW w:w="1230" w:type="dxa"/>
            <w:vAlign w:val="center"/>
          </w:tcPr>
          <w:p w14:paraId="2D9A0949">
            <w:pPr>
              <w:keepNext w:val="0"/>
              <w:keepLines w:val="0"/>
              <w:widowControl/>
              <w:suppressLineNumbers w:val="0"/>
              <w:spacing w:line="320" w:lineRule="exact"/>
              <w:ind w:right="-42" w:rightChars="-2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建设管道和污水提升泵站2座及化粪池一批。</w:t>
            </w:r>
          </w:p>
        </w:tc>
        <w:tc>
          <w:tcPr>
            <w:tcW w:w="810" w:type="dxa"/>
            <w:vAlign w:val="center"/>
          </w:tcPr>
          <w:p w14:paraId="388C6FF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2024.01</w:t>
            </w:r>
          </w:p>
        </w:tc>
        <w:tc>
          <w:tcPr>
            <w:tcW w:w="0" w:type="auto"/>
            <w:vAlign w:val="center"/>
          </w:tcPr>
          <w:p w14:paraId="6D6B7EE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源南镇政府</w:t>
            </w:r>
          </w:p>
        </w:tc>
        <w:tc>
          <w:tcPr>
            <w:tcW w:w="0" w:type="auto"/>
            <w:vAlign w:val="center"/>
          </w:tcPr>
          <w:p w14:paraId="62C427E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6598304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B5E0D7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7F0DE53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E5C3F13">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生态环保工程项目</w:t>
            </w:r>
          </w:p>
        </w:tc>
      </w:tr>
      <w:tr w14:paraId="34A3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D4896E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55</w:t>
            </w:r>
          </w:p>
        </w:tc>
        <w:tc>
          <w:tcPr>
            <w:tcW w:w="0" w:type="auto"/>
            <w:vAlign w:val="center"/>
          </w:tcPr>
          <w:p w14:paraId="00FE36A9">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源城区艾迪克思新材料科技（广东）有限公司</w:t>
            </w:r>
          </w:p>
        </w:tc>
        <w:tc>
          <w:tcPr>
            <w:tcW w:w="0" w:type="auto"/>
            <w:vAlign w:val="center"/>
          </w:tcPr>
          <w:p w14:paraId="514E80E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占地面积9766.82平方米，建筑面积约20000平方米；拟建</w:t>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栋</w:t>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层建筑物，</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栋厂房，</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栋研发楼，</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栋宿舍；计划购置流延膜设备、双螺杆挤出机等。</w:t>
            </w:r>
          </w:p>
        </w:tc>
        <w:tc>
          <w:tcPr>
            <w:tcW w:w="0" w:type="auto"/>
            <w:vAlign w:val="center"/>
          </w:tcPr>
          <w:p w14:paraId="42B8C49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6063CCB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CB2D1A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D71564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0" w:type="auto"/>
            <w:vAlign w:val="center"/>
          </w:tcPr>
          <w:p w14:paraId="0C8D1CA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5846C46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w:t>
            </w:r>
          </w:p>
        </w:tc>
        <w:tc>
          <w:tcPr>
            <w:tcW w:w="1230" w:type="dxa"/>
            <w:vAlign w:val="center"/>
          </w:tcPr>
          <w:p w14:paraId="5275BC6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建设厂房、宿舍、办公室</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2C896D7">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2024.11 </w:t>
            </w:r>
          </w:p>
        </w:tc>
        <w:tc>
          <w:tcPr>
            <w:tcW w:w="0" w:type="auto"/>
            <w:vAlign w:val="center"/>
          </w:tcPr>
          <w:p w14:paraId="2DE0AF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艾迪克思新材料科技（广东）有限公司</w:t>
            </w:r>
          </w:p>
        </w:tc>
        <w:tc>
          <w:tcPr>
            <w:tcW w:w="0" w:type="auto"/>
            <w:vAlign w:val="center"/>
          </w:tcPr>
          <w:p w14:paraId="0E34329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5083E7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19997F5">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5C604C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7D0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2147B1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56</w:t>
            </w:r>
          </w:p>
        </w:tc>
        <w:tc>
          <w:tcPr>
            <w:tcW w:w="0" w:type="auto"/>
            <w:vAlign w:val="center"/>
          </w:tcPr>
          <w:p w14:paraId="776A3ABC">
            <w:pPr>
              <w:keepNext w:val="0"/>
              <w:keepLines w:val="0"/>
              <w:widowControl/>
              <w:suppressLineNumbers w:val="0"/>
              <w:spacing w:line="30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广东一禾再生资源环保科技有限公司废活性炭再生利用新建项目</w:t>
            </w:r>
          </w:p>
        </w:tc>
        <w:tc>
          <w:tcPr>
            <w:tcW w:w="0" w:type="auto"/>
            <w:vAlign w:val="center"/>
          </w:tcPr>
          <w:p w14:paraId="5E74BF42">
            <w:pPr>
              <w:keepNext w:val="0"/>
              <w:keepLines w:val="0"/>
              <w:widowControl/>
              <w:suppressLineNumbers w:val="0"/>
              <w:spacing w:line="30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15354平方米，主要建设办公楼及宿舍、化验室、成品仓库、危废暂存库、预处理车间、废活性炭再生装置、变配电室及中控室、辅助用房、污水处理间、辅料仓库、机修及备品间、消防水池、事故水池、初期雨水池、厂区VOC废气处理设施等。</w:t>
            </w:r>
          </w:p>
        </w:tc>
        <w:tc>
          <w:tcPr>
            <w:tcW w:w="0" w:type="auto"/>
            <w:vAlign w:val="center"/>
          </w:tcPr>
          <w:p w14:paraId="2186C02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53A8AD2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18D392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6194D4D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12850 </w:t>
            </w:r>
          </w:p>
        </w:tc>
        <w:tc>
          <w:tcPr>
            <w:tcW w:w="0" w:type="auto"/>
            <w:vAlign w:val="center"/>
          </w:tcPr>
          <w:p w14:paraId="296F15A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0" w:type="auto"/>
            <w:vAlign w:val="center"/>
          </w:tcPr>
          <w:p w14:paraId="5416B0B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w:t>
            </w:r>
          </w:p>
        </w:tc>
        <w:tc>
          <w:tcPr>
            <w:tcW w:w="1230" w:type="dxa"/>
            <w:vAlign w:val="center"/>
          </w:tcPr>
          <w:p w14:paraId="10607EE9">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建设厂房、宿舍、办公楼</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2A64350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2024.03</w:t>
            </w:r>
          </w:p>
        </w:tc>
        <w:tc>
          <w:tcPr>
            <w:tcW w:w="0" w:type="auto"/>
            <w:vAlign w:val="center"/>
          </w:tcPr>
          <w:p w14:paraId="7D3B830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广东一禾再生资源环保科技有限公司</w:t>
            </w:r>
          </w:p>
        </w:tc>
        <w:tc>
          <w:tcPr>
            <w:tcW w:w="0" w:type="auto"/>
            <w:vAlign w:val="center"/>
          </w:tcPr>
          <w:p w14:paraId="61B1632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区工业园管委会</w:t>
            </w:r>
          </w:p>
        </w:tc>
        <w:tc>
          <w:tcPr>
            <w:tcW w:w="0" w:type="auto"/>
            <w:vAlign w:val="center"/>
          </w:tcPr>
          <w:p w14:paraId="2CD57C4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81C0E85">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4DB159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76D5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38367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57</w:t>
            </w:r>
          </w:p>
        </w:tc>
        <w:tc>
          <w:tcPr>
            <w:tcW w:w="0" w:type="auto"/>
            <w:vAlign w:val="center"/>
          </w:tcPr>
          <w:p w14:paraId="684905D0">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广东粤东钢铁有限公司优特合金钢节能降碳技术改造项目</w:t>
            </w:r>
          </w:p>
        </w:tc>
        <w:tc>
          <w:tcPr>
            <w:tcW w:w="0" w:type="auto"/>
            <w:vAlign w:val="center"/>
          </w:tcPr>
          <w:p w14:paraId="5B6A20AE">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主要建设1条DP50型废预热连续加料设备，2套除尘系统、1台5机5流优特合金钢连铸机以及</w:t>
            </w:r>
            <w:r>
              <w:rPr>
                <w:rFonts w:hint="eastAsia" w:ascii="宋体" w:hAnsi="宋体" w:cs="宋体"/>
                <w:i w:val="0"/>
                <w:iCs w:val="0"/>
                <w:color w:val="auto"/>
                <w:kern w:val="0"/>
                <w:sz w:val="20"/>
                <w:szCs w:val="20"/>
                <w:u w:val="none"/>
                <w:lang w:val="en-US" w:eastAsia="zh-CN" w:bidi="ar"/>
              </w:rPr>
              <w:t>满足</w:t>
            </w:r>
            <w:r>
              <w:rPr>
                <w:rFonts w:hint="eastAsia" w:ascii="宋体" w:hAnsi="宋体" w:eastAsia="宋体" w:cs="宋体"/>
                <w:i w:val="0"/>
                <w:iCs w:val="0"/>
                <w:color w:val="auto"/>
                <w:kern w:val="0"/>
                <w:sz w:val="20"/>
                <w:szCs w:val="20"/>
                <w:u w:val="none"/>
                <w:lang w:val="en-US" w:eastAsia="zh-CN" w:bidi="ar"/>
              </w:rPr>
              <w:t>生产需要的辅助生产设施，实现低碳和智能化生产，项目改建后，可节约能源1075.38吨标准煤，降碳约5581.63吨。</w:t>
            </w:r>
          </w:p>
        </w:tc>
        <w:tc>
          <w:tcPr>
            <w:tcW w:w="0" w:type="auto"/>
            <w:vAlign w:val="center"/>
          </w:tcPr>
          <w:p w14:paraId="757DB07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2023</w:t>
            </w:r>
          </w:p>
          <w:p w14:paraId="15AB5BF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080F0E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BE8EF4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20022 </w:t>
            </w:r>
          </w:p>
        </w:tc>
        <w:tc>
          <w:tcPr>
            <w:tcW w:w="0" w:type="auto"/>
            <w:vAlign w:val="center"/>
          </w:tcPr>
          <w:p w14:paraId="537524C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18522 </w:t>
            </w:r>
          </w:p>
        </w:tc>
        <w:tc>
          <w:tcPr>
            <w:tcW w:w="0" w:type="auto"/>
            <w:vAlign w:val="center"/>
          </w:tcPr>
          <w:p w14:paraId="36AC50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w:t>
            </w:r>
          </w:p>
        </w:tc>
        <w:tc>
          <w:tcPr>
            <w:tcW w:w="1230" w:type="dxa"/>
            <w:vAlign w:val="center"/>
          </w:tcPr>
          <w:p w14:paraId="64A29138">
            <w:pPr>
              <w:keepNext w:val="0"/>
              <w:keepLines w:val="0"/>
              <w:widowControl/>
              <w:suppressLineNumbers w:val="0"/>
              <w:spacing w:line="320" w:lineRule="exact"/>
              <w:ind w:right="-141" w:rightChars="-6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购置生产设备及完善生产需要的辅助生产设施。</w:t>
            </w:r>
          </w:p>
        </w:tc>
        <w:tc>
          <w:tcPr>
            <w:tcW w:w="810" w:type="dxa"/>
            <w:vAlign w:val="center"/>
          </w:tcPr>
          <w:p w14:paraId="45BA23C9">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2024.01 </w:t>
            </w:r>
          </w:p>
        </w:tc>
        <w:tc>
          <w:tcPr>
            <w:tcW w:w="0" w:type="auto"/>
            <w:vAlign w:val="center"/>
          </w:tcPr>
          <w:p w14:paraId="0A67F6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广东粤东钢铁有限公司</w:t>
            </w:r>
          </w:p>
        </w:tc>
        <w:tc>
          <w:tcPr>
            <w:tcW w:w="0" w:type="auto"/>
            <w:vAlign w:val="center"/>
          </w:tcPr>
          <w:p w14:paraId="6F86CF9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597F2A0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68BB77B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DB64711">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282D3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4BB9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7F53A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58</w:t>
            </w:r>
          </w:p>
        </w:tc>
        <w:tc>
          <w:tcPr>
            <w:tcW w:w="0" w:type="auto"/>
            <w:vAlign w:val="center"/>
          </w:tcPr>
          <w:p w14:paraId="576648A2">
            <w:pPr>
              <w:keepNext w:val="0"/>
              <w:keepLines w:val="0"/>
              <w:widowControl/>
              <w:suppressLineNumbers w:val="0"/>
              <w:spacing w:line="32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精电（河源）显示技术有限公司新二厂四楼系统总成装配扩产项目</w:t>
            </w:r>
          </w:p>
        </w:tc>
        <w:tc>
          <w:tcPr>
            <w:tcW w:w="0" w:type="auto"/>
            <w:vAlign w:val="center"/>
          </w:tcPr>
          <w:p w14:paraId="4337A4CE">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利用现有新二厂主体生产大楼第4层作为生产车间，组建TFT显示屏模组，设计年产能120万片；购置并安装显示总成系统自动装配线、双屏半自动整机测试机、在线式自动点胶机、半总成装配线自动产品组装机等。</w:t>
            </w:r>
          </w:p>
        </w:tc>
        <w:tc>
          <w:tcPr>
            <w:tcW w:w="0" w:type="auto"/>
            <w:vAlign w:val="center"/>
          </w:tcPr>
          <w:p w14:paraId="2C0F3CC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w:t>
            </w:r>
          </w:p>
          <w:p w14:paraId="7B89385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98960D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2E21EC9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6612</w:t>
            </w:r>
          </w:p>
        </w:tc>
        <w:tc>
          <w:tcPr>
            <w:tcW w:w="0" w:type="auto"/>
            <w:vAlign w:val="center"/>
          </w:tcPr>
          <w:p w14:paraId="59346A7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3000 </w:t>
            </w:r>
          </w:p>
        </w:tc>
        <w:tc>
          <w:tcPr>
            <w:tcW w:w="0" w:type="auto"/>
            <w:vAlign w:val="center"/>
          </w:tcPr>
          <w:p w14:paraId="01ED820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2500</w:t>
            </w:r>
          </w:p>
        </w:tc>
        <w:tc>
          <w:tcPr>
            <w:tcW w:w="1230" w:type="dxa"/>
            <w:vAlign w:val="center"/>
          </w:tcPr>
          <w:p w14:paraId="4D18A4ED">
            <w:pPr>
              <w:keepNext w:val="0"/>
              <w:keepLines w:val="0"/>
              <w:widowControl/>
              <w:suppressLineNumbers w:val="0"/>
              <w:spacing w:line="320" w:lineRule="exact"/>
              <w:ind w:right="-122" w:rightChars="-5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购置显示总成系统自动装配线设备。</w:t>
            </w:r>
          </w:p>
        </w:tc>
        <w:tc>
          <w:tcPr>
            <w:tcW w:w="810" w:type="dxa"/>
            <w:vAlign w:val="center"/>
          </w:tcPr>
          <w:p w14:paraId="302F84B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2024.09</w:t>
            </w:r>
          </w:p>
        </w:tc>
        <w:tc>
          <w:tcPr>
            <w:tcW w:w="0" w:type="auto"/>
            <w:vAlign w:val="center"/>
          </w:tcPr>
          <w:p w14:paraId="2CE3904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精电（河源）显示技术有限公司</w:t>
            </w:r>
          </w:p>
        </w:tc>
        <w:tc>
          <w:tcPr>
            <w:tcW w:w="0" w:type="auto"/>
            <w:vAlign w:val="center"/>
          </w:tcPr>
          <w:p w14:paraId="2CCA3D2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4890E8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3B031D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991FC75">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E51B9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工业项目</w:t>
            </w:r>
          </w:p>
        </w:tc>
      </w:tr>
      <w:tr w14:paraId="3CCC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B3A2FC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59</w:t>
            </w:r>
          </w:p>
        </w:tc>
        <w:tc>
          <w:tcPr>
            <w:tcW w:w="0" w:type="auto"/>
            <w:vAlign w:val="center"/>
          </w:tcPr>
          <w:p w14:paraId="4FC1FBD0">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源城区崇志茶观园项目</w:t>
            </w:r>
          </w:p>
        </w:tc>
        <w:tc>
          <w:tcPr>
            <w:tcW w:w="0" w:type="auto"/>
            <w:vAlign w:val="center"/>
          </w:tcPr>
          <w:p w14:paraId="67C2B0E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占地面积约53</w:t>
            </w:r>
            <w:r>
              <w:rPr>
                <w:rFonts w:hint="eastAsia" w:ascii="宋体" w:hAnsi="宋体" w:cs="宋体"/>
                <w:i w:val="0"/>
                <w:iCs w:val="0"/>
                <w:color w:val="auto"/>
                <w:kern w:val="0"/>
                <w:sz w:val="20"/>
                <w:szCs w:val="20"/>
                <w:u w:val="none"/>
                <w:lang w:val="en-US" w:eastAsia="zh-CN" w:bidi="ar"/>
              </w:rPr>
              <w:t>000</w:t>
            </w:r>
            <w:r>
              <w:rPr>
                <w:rFonts w:hint="eastAsia" w:ascii="宋体" w:hAnsi="宋体" w:eastAsia="宋体" w:cs="宋体"/>
                <w:i w:val="0"/>
                <w:iCs w:val="0"/>
                <w:color w:val="auto"/>
                <w:kern w:val="0"/>
                <w:sz w:val="20"/>
                <w:szCs w:val="20"/>
                <w:u w:val="none"/>
                <w:lang w:val="en-US" w:eastAsia="zh-CN" w:bidi="ar"/>
              </w:rPr>
              <w:t>平方米，建筑面积约为38</w:t>
            </w:r>
            <w:r>
              <w:rPr>
                <w:rFonts w:hint="eastAsia" w:ascii="宋体" w:hAnsi="宋体" w:cs="宋体"/>
                <w:i w:val="0"/>
                <w:iCs w:val="0"/>
                <w:color w:val="auto"/>
                <w:kern w:val="0"/>
                <w:sz w:val="20"/>
                <w:szCs w:val="20"/>
                <w:u w:val="none"/>
                <w:lang w:val="en-US" w:eastAsia="zh-CN" w:bidi="ar"/>
              </w:rPr>
              <w:t>000</w:t>
            </w:r>
            <w:r>
              <w:rPr>
                <w:rFonts w:hint="eastAsia" w:ascii="宋体" w:hAnsi="宋体" w:eastAsia="宋体" w:cs="宋体"/>
                <w:i w:val="0"/>
                <w:iCs w:val="0"/>
                <w:color w:val="auto"/>
                <w:kern w:val="0"/>
                <w:sz w:val="20"/>
                <w:szCs w:val="20"/>
                <w:u w:val="none"/>
                <w:lang w:val="en-US" w:eastAsia="zh-CN" w:bidi="ar"/>
              </w:rPr>
              <w:t>平方米，其中拟建研学教育使用的</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栋6层宿舍</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栋3层食堂</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栋4层游客接待中心</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栋2层餐饮配套服务中心</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2栋6层教学课室（含有非物质文化遗产体验中心、农副产品科普展览馆、桂山茶非遗车间）</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并</w:t>
            </w:r>
            <w:r>
              <w:rPr>
                <w:rFonts w:hint="eastAsia" w:ascii="宋体" w:hAnsi="宋体" w:cs="宋体"/>
                <w:i w:val="0"/>
                <w:iCs w:val="0"/>
                <w:color w:val="auto"/>
                <w:kern w:val="0"/>
                <w:sz w:val="20"/>
                <w:szCs w:val="20"/>
                <w:u w:val="none"/>
                <w:lang w:val="en-US" w:eastAsia="zh-CN" w:bidi="ar"/>
              </w:rPr>
              <w:t>另外</w:t>
            </w:r>
            <w:r>
              <w:rPr>
                <w:rFonts w:hint="eastAsia" w:ascii="宋体" w:hAnsi="宋体" w:eastAsia="宋体" w:cs="宋体"/>
                <w:i w:val="0"/>
                <w:iCs w:val="0"/>
                <w:color w:val="auto"/>
                <w:kern w:val="0"/>
                <w:sz w:val="20"/>
                <w:szCs w:val="20"/>
                <w:u w:val="none"/>
                <w:lang w:val="en-US" w:eastAsia="zh-CN" w:bidi="ar"/>
              </w:rPr>
              <w:t>拟建多彩百茶园、户外活动操场和停车场。</w:t>
            </w:r>
          </w:p>
        </w:tc>
        <w:tc>
          <w:tcPr>
            <w:tcW w:w="0" w:type="auto"/>
            <w:vAlign w:val="center"/>
          </w:tcPr>
          <w:p w14:paraId="22ADC80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w:t>
            </w:r>
          </w:p>
          <w:p w14:paraId="5B1A092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684919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357BA0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20000 </w:t>
            </w:r>
          </w:p>
        </w:tc>
        <w:tc>
          <w:tcPr>
            <w:tcW w:w="0" w:type="auto"/>
            <w:vAlign w:val="center"/>
          </w:tcPr>
          <w:p w14:paraId="130109D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vAlign w:val="center"/>
          </w:tcPr>
          <w:p w14:paraId="7E34EEA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 </w:t>
            </w:r>
          </w:p>
        </w:tc>
        <w:tc>
          <w:tcPr>
            <w:tcW w:w="1230" w:type="dxa"/>
            <w:vAlign w:val="center"/>
          </w:tcPr>
          <w:p w14:paraId="09FB58B0">
            <w:pPr>
              <w:keepNext w:val="0"/>
              <w:keepLines w:val="0"/>
              <w:widowControl/>
              <w:suppressLineNumbers w:val="0"/>
              <w:spacing w:line="280" w:lineRule="exact"/>
              <w:ind w:right="-122" w:rightChars="-5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建设项目一期“煮茶坑桂山茶非物质文化遗产体验园”，主要建设内容</w:t>
            </w:r>
            <w:r>
              <w:rPr>
                <w:rFonts w:hint="eastAsia" w:ascii="宋体" w:hAnsi="宋体" w:cs="宋体"/>
                <w:i w:val="0"/>
                <w:iCs w:val="0"/>
                <w:color w:val="auto"/>
                <w:kern w:val="0"/>
                <w:sz w:val="20"/>
                <w:szCs w:val="20"/>
                <w:u w:val="none"/>
                <w:lang w:val="en-US" w:eastAsia="zh-CN" w:bidi="ar"/>
              </w:rPr>
              <w:t>为</w:t>
            </w:r>
            <w:r>
              <w:rPr>
                <w:rFonts w:hint="eastAsia" w:ascii="宋体" w:hAnsi="宋体" w:eastAsia="宋体" w:cs="宋体"/>
                <w:i w:val="0"/>
                <w:iCs w:val="0"/>
                <w:color w:val="auto"/>
                <w:kern w:val="0"/>
                <w:sz w:val="20"/>
                <w:szCs w:val="20"/>
                <w:u w:val="none"/>
                <w:lang w:val="en-US" w:eastAsia="zh-CN" w:bidi="ar"/>
              </w:rPr>
              <w:t>餐厅、民宿、轻饮店等设施。</w:t>
            </w:r>
          </w:p>
        </w:tc>
        <w:tc>
          <w:tcPr>
            <w:tcW w:w="810" w:type="dxa"/>
            <w:vAlign w:val="center"/>
          </w:tcPr>
          <w:p w14:paraId="1793DF0C">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2022.05</w:t>
            </w:r>
          </w:p>
        </w:tc>
        <w:tc>
          <w:tcPr>
            <w:tcW w:w="0" w:type="auto"/>
            <w:vAlign w:val="center"/>
          </w:tcPr>
          <w:p w14:paraId="5D09E46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河源市崇志文化传播有限公司</w:t>
            </w:r>
          </w:p>
        </w:tc>
        <w:tc>
          <w:tcPr>
            <w:tcW w:w="0" w:type="auto"/>
            <w:vAlign w:val="center"/>
          </w:tcPr>
          <w:p w14:paraId="566E31F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1B53D1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C5A6FC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2C8424D">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65A1EE8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农林牧渔项目</w:t>
            </w:r>
          </w:p>
        </w:tc>
      </w:tr>
      <w:tr w14:paraId="192E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5" w:hRule="atLeast"/>
        </w:trPr>
        <w:tc>
          <w:tcPr>
            <w:tcW w:w="0" w:type="auto"/>
            <w:vAlign w:val="center"/>
          </w:tcPr>
          <w:p w14:paraId="5705B23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60</w:t>
            </w:r>
          </w:p>
        </w:tc>
        <w:tc>
          <w:tcPr>
            <w:tcW w:w="0" w:type="auto"/>
            <w:vAlign w:val="center"/>
          </w:tcPr>
          <w:p w14:paraId="42C7B29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埔前镇西片区乡村振兴示范带建设项目</w:t>
            </w:r>
          </w:p>
        </w:tc>
        <w:tc>
          <w:tcPr>
            <w:tcW w:w="0" w:type="auto"/>
            <w:vAlign w:val="center"/>
          </w:tcPr>
          <w:p w14:paraId="1AE61780">
            <w:pPr>
              <w:keepNext w:val="0"/>
              <w:keepLines w:val="0"/>
              <w:widowControl/>
              <w:suppressLineNumbers w:val="0"/>
              <w:spacing w:line="320" w:lineRule="exact"/>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对埔陂路、河陂路沿线农房(约64000</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)、排水排污(约 20</w:t>
            </w:r>
            <w:r>
              <w:rPr>
                <w:rFonts w:hint="eastAsia" w:ascii="宋体" w:hAnsi="宋体" w:cs="宋体"/>
                <w:i w:val="0"/>
                <w:iCs w:val="0"/>
                <w:color w:val="auto"/>
                <w:kern w:val="0"/>
                <w:sz w:val="20"/>
                <w:szCs w:val="20"/>
                <w:u w:val="none"/>
                <w:lang w:val="en-US" w:eastAsia="zh-CN" w:bidi="ar"/>
              </w:rPr>
              <w:t>公里</w:t>
            </w:r>
            <w:r>
              <w:rPr>
                <w:rFonts w:hint="eastAsia" w:ascii="宋体" w:hAnsi="宋体" w:eastAsia="宋体" w:cs="宋体"/>
                <w:i w:val="0"/>
                <w:iCs w:val="0"/>
                <w:color w:val="auto"/>
                <w:kern w:val="0"/>
                <w:sz w:val="20"/>
                <w:szCs w:val="20"/>
                <w:u w:val="none"/>
                <w:lang w:val="en-US" w:eastAsia="zh-CN" w:bidi="ar"/>
              </w:rPr>
              <w:t>)、“三线”等进行人居环境整治；利用陂角村埔前河段自然优越的河岸风貌和水文条件，对周边</w:t>
            </w:r>
            <w:r>
              <w:rPr>
                <w:rFonts w:hint="eastAsia" w:ascii="宋体" w:hAnsi="宋体" w:cs="宋体"/>
                <w:i w:val="0"/>
                <w:iCs w:val="0"/>
                <w:color w:val="auto"/>
                <w:kern w:val="0"/>
                <w:sz w:val="20"/>
                <w:szCs w:val="20"/>
                <w:u w:val="none"/>
                <w:lang w:val="en-US" w:eastAsia="zh-CN" w:bidi="ar"/>
              </w:rPr>
              <w:t>133333.33</w:t>
            </w:r>
          </w:p>
          <w:p w14:paraId="4748F410">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土地实施土地综合整治，包括非粮化整治、土地回填及地力提升等，完善道路、排水排污、河岸游憩等相关配套设施，打造陂角村埔前河岸滨水休闲营地(约35000</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)，促进埔前镇西片区农文旅产业融合。</w:t>
            </w:r>
          </w:p>
        </w:tc>
        <w:tc>
          <w:tcPr>
            <w:tcW w:w="0" w:type="auto"/>
            <w:vAlign w:val="center"/>
          </w:tcPr>
          <w:p w14:paraId="1883704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165C16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48C6AB0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775F44C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7630 </w:t>
            </w:r>
          </w:p>
        </w:tc>
        <w:tc>
          <w:tcPr>
            <w:tcW w:w="0" w:type="auto"/>
            <w:vAlign w:val="center"/>
          </w:tcPr>
          <w:p w14:paraId="524EB74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2930 </w:t>
            </w:r>
          </w:p>
        </w:tc>
        <w:tc>
          <w:tcPr>
            <w:tcW w:w="0" w:type="auto"/>
            <w:vAlign w:val="center"/>
          </w:tcPr>
          <w:p w14:paraId="1C6198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w:t>
            </w:r>
          </w:p>
        </w:tc>
        <w:tc>
          <w:tcPr>
            <w:tcW w:w="1230" w:type="dxa"/>
            <w:vAlign w:val="center"/>
          </w:tcPr>
          <w:p w14:paraId="177E72EB">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利用陂角村埔前河段自然优越的河岸风貌和水文条件，对周边约</w:t>
            </w:r>
            <w:r>
              <w:rPr>
                <w:rFonts w:hint="eastAsia" w:ascii="宋体" w:hAnsi="宋体" w:cs="宋体"/>
                <w:i w:val="0"/>
                <w:iCs w:val="0"/>
                <w:color w:val="auto"/>
                <w:kern w:val="0"/>
                <w:sz w:val="20"/>
                <w:szCs w:val="20"/>
                <w:u w:val="none"/>
                <w:lang w:val="en-US" w:eastAsia="zh-CN" w:bidi="ar"/>
              </w:rPr>
              <w:t>133333.33平方米</w:t>
            </w:r>
            <w:r>
              <w:rPr>
                <w:rFonts w:hint="eastAsia" w:ascii="宋体" w:hAnsi="宋体" w:eastAsia="宋体" w:cs="宋体"/>
                <w:i w:val="0"/>
                <w:iCs w:val="0"/>
                <w:color w:val="auto"/>
                <w:kern w:val="0"/>
                <w:sz w:val="20"/>
                <w:szCs w:val="20"/>
                <w:u w:val="none"/>
                <w:lang w:val="en-US" w:eastAsia="zh-CN" w:bidi="ar"/>
              </w:rPr>
              <w:t>土地实施土地综合整治，包括非粮化整治、土地回填及地力提升等，完善道路、排水排污、河岸游憩等相关配套设施。</w:t>
            </w:r>
          </w:p>
        </w:tc>
        <w:tc>
          <w:tcPr>
            <w:tcW w:w="810" w:type="dxa"/>
            <w:vAlign w:val="center"/>
          </w:tcPr>
          <w:p w14:paraId="550B4CA9">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6</w:t>
            </w:r>
          </w:p>
        </w:tc>
        <w:tc>
          <w:tcPr>
            <w:tcW w:w="0" w:type="auto"/>
            <w:vAlign w:val="center"/>
          </w:tcPr>
          <w:p w14:paraId="4433CE8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埔前镇政府</w:t>
            </w:r>
          </w:p>
        </w:tc>
        <w:tc>
          <w:tcPr>
            <w:tcW w:w="0" w:type="auto"/>
            <w:vAlign w:val="center"/>
          </w:tcPr>
          <w:p w14:paraId="3BD451A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埔前镇</w:t>
            </w:r>
          </w:p>
          <w:p w14:paraId="0208AD9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6546AA6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2C3A2F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7F39C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18CE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83E2D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61</w:t>
            </w:r>
          </w:p>
        </w:tc>
        <w:tc>
          <w:tcPr>
            <w:tcW w:w="0" w:type="auto"/>
            <w:vAlign w:val="center"/>
          </w:tcPr>
          <w:p w14:paraId="3410E657">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河源市区城南棚户区改造项目</w:t>
            </w:r>
          </w:p>
        </w:tc>
        <w:tc>
          <w:tcPr>
            <w:tcW w:w="0" w:type="auto"/>
            <w:vAlign w:val="center"/>
          </w:tcPr>
          <w:p w14:paraId="14EA149D">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占地面积283</w:t>
            </w:r>
            <w:r>
              <w:rPr>
                <w:rFonts w:hint="eastAsia" w:ascii="宋体" w:hAnsi="宋体" w:cs="宋体"/>
                <w:i w:val="0"/>
                <w:iCs w:val="0"/>
                <w:color w:val="auto"/>
                <w:kern w:val="0"/>
                <w:sz w:val="20"/>
                <w:szCs w:val="20"/>
                <w:u w:val="none"/>
                <w:lang w:val="en-US" w:eastAsia="zh-CN" w:bidi="ar"/>
              </w:rPr>
              <w:t>0000</w:t>
            </w:r>
            <w:r>
              <w:rPr>
                <w:rFonts w:hint="eastAsia" w:ascii="宋体" w:hAnsi="宋体" w:eastAsia="宋体" w:cs="宋体"/>
                <w:i w:val="0"/>
                <w:iCs w:val="0"/>
                <w:color w:val="auto"/>
                <w:kern w:val="0"/>
                <w:sz w:val="20"/>
                <w:szCs w:val="20"/>
                <w:u w:val="none"/>
                <w:lang w:val="en-US" w:eastAsia="zh-CN" w:bidi="ar"/>
              </w:rPr>
              <w:t>平方米，其中安置区用地面积98186平方米，总拆迁面积308</w:t>
            </w:r>
            <w:r>
              <w:rPr>
                <w:rFonts w:hint="eastAsia" w:ascii="宋体" w:hAnsi="宋体" w:cs="宋体"/>
                <w:i w:val="0"/>
                <w:iCs w:val="0"/>
                <w:color w:val="auto"/>
                <w:kern w:val="0"/>
                <w:sz w:val="20"/>
                <w:szCs w:val="20"/>
                <w:u w:val="none"/>
                <w:lang w:val="en-US" w:eastAsia="zh-CN" w:bidi="ar"/>
              </w:rPr>
              <w:t>000</w:t>
            </w:r>
            <w:r>
              <w:rPr>
                <w:rFonts w:hint="eastAsia" w:ascii="宋体" w:hAnsi="宋体" w:eastAsia="宋体" w:cs="宋体"/>
                <w:i w:val="0"/>
                <w:iCs w:val="0"/>
                <w:color w:val="auto"/>
                <w:kern w:val="0"/>
                <w:sz w:val="20"/>
                <w:szCs w:val="20"/>
                <w:u w:val="none"/>
                <w:lang w:val="en-US" w:eastAsia="zh-CN" w:bidi="ar"/>
              </w:rPr>
              <w:t>平方米，改造棚改户约1300户；包括白田村、揽坝村及风光村安置小区建设及配套商业、其他公建配套、地下车库、道路、供水、供电、绿化等。</w:t>
            </w:r>
          </w:p>
        </w:tc>
        <w:tc>
          <w:tcPr>
            <w:tcW w:w="0" w:type="auto"/>
            <w:vAlign w:val="center"/>
          </w:tcPr>
          <w:p w14:paraId="05717CA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2017</w:t>
            </w:r>
          </w:p>
          <w:p w14:paraId="7E57BFF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8EF96C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6D8632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147551 </w:t>
            </w:r>
          </w:p>
        </w:tc>
        <w:tc>
          <w:tcPr>
            <w:tcW w:w="0" w:type="auto"/>
            <w:vAlign w:val="center"/>
          </w:tcPr>
          <w:p w14:paraId="71EB73C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140551 </w:t>
            </w:r>
          </w:p>
        </w:tc>
        <w:tc>
          <w:tcPr>
            <w:tcW w:w="0" w:type="auto"/>
            <w:vAlign w:val="center"/>
          </w:tcPr>
          <w:p w14:paraId="503D658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1200 </w:t>
            </w:r>
          </w:p>
        </w:tc>
        <w:tc>
          <w:tcPr>
            <w:tcW w:w="1230" w:type="dxa"/>
            <w:vAlign w:val="center"/>
          </w:tcPr>
          <w:p w14:paraId="525E878F">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主要建设白田榄坝安置小区（首期）工程</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7F927AA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2017.05</w:t>
            </w:r>
          </w:p>
        </w:tc>
        <w:tc>
          <w:tcPr>
            <w:tcW w:w="0" w:type="auto"/>
            <w:vAlign w:val="center"/>
          </w:tcPr>
          <w:p w14:paraId="1441A56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河源建鑫城南城市建设有限公司</w:t>
            </w:r>
          </w:p>
        </w:tc>
        <w:tc>
          <w:tcPr>
            <w:tcW w:w="0" w:type="auto"/>
            <w:vAlign w:val="center"/>
          </w:tcPr>
          <w:p w14:paraId="16EC317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3D5D0B3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6F1B8FD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1DB4AD48">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02A9BF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居民保障项目</w:t>
            </w:r>
          </w:p>
        </w:tc>
      </w:tr>
      <w:tr w14:paraId="3579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0325C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62</w:t>
            </w:r>
          </w:p>
        </w:tc>
        <w:tc>
          <w:tcPr>
            <w:tcW w:w="0" w:type="auto"/>
            <w:vAlign w:val="center"/>
          </w:tcPr>
          <w:p w14:paraId="3A42A7CE">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东埔街道丰源社区新村安置点美丽家园项目</w:t>
            </w:r>
          </w:p>
        </w:tc>
        <w:tc>
          <w:tcPr>
            <w:tcW w:w="0" w:type="auto"/>
            <w:vAlign w:val="center"/>
          </w:tcPr>
          <w:p w14:paraId="3D1449C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铺设道路硬底长约2600米，破除及修复道路硬底化长约580米，宽度4.5</w:t>
            </w:r>
            <w:r>
              <w:rPr>
                <w:rFonts w:hint="eastAsia" w:ascii="宋体" w:hAnsi="宋体" w:cs="宋体"/>
                <w:i w:val="0"/>
                <w:iCs w:val="0"/>
                <w:color w:val="auto"/>
                <w:kern w:val="0"/>
                <w:sz w:val="20"/>
                <w:szCs w:val="20"/>
                <w:u w:val="none"/>
                <w:lang w:val="en-US" w:eastAsia="zh-CN" w:bidi="ar"/>
              </w:rPr>
              <w:t>至</w:t>
            </w:r>
            <w:r>
              <w:rPr>
                <w:rFonts w:hint="eastAsia" w:ascii="宋体" w:hAnsi="宋体" w:eastAsia="宋体" w:cs="宋体"/>
                <w:i w:val="0"/>
                <w:iCs w:val="0"/>
                <w:color w:val="auto"/>
                <w:kern w:val="0"/>
                <w:sz w:val="20"/>
                <w:szCs w:val="20"/>
                <w:u w:val="none"/>
                <w:lang w:val="en-US" w:eastAsia="zh-CN" w:bidi="ar"/>
              </w:rPr>
              <w:t>6.0米；新做雨水检查井87座，雨水口141座</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管长约2800米；新建污水检查井117座</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管长约2750米</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新建路灯63盏。</w:t>
            </w:r>
          </w:p>
        </w:tc>
        <w:tc>
          <w:tcPr>
            <w:tcW w:w="0" w:type="auto"/>
            <w:vAlign w:val="center"/>
          </w:tcPr>
          <w:p w14:paraId="2F0B26B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04998C6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2DD7B9C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0C0939B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1225 </w:t>
            </w:r>
          </w:p>
        </w:tc>
        <w:tc>
          <w:tcPr>
            <w:tcW w:w="0" w:type="auto"/>
            <w:vAlign w:val="center"/>
          </w:tcPr>
          <w:p w14:paraId="480D5E3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225 </w:t>
            </w:r>
          </w:p>
        </w:tc>
        <w:tc>
          <w:tcPr>
            <w:tcW w:w="0" w:type="auto"/>
            <w:vAlign w:val="center"/>
          </w:tcPr>
          <w:p w14:paraId="10EB1E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 </w:t>
            </w:r>
          </w:p>
        </w:tc>
        <w:tc>
          <w:tcPr>
            <w:tcW w:w="1230" w:type="dxa"/>
            <w:vAlign w:val="center"/>
          </w:tcPr>
          <w:p w14:paraId="560A1FF7">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修复道路硬底化、新建雨水检查井、污水检查井、路灯。</w:t>
            </w:r>
          </w:p>
        </w:tc>
        <w:tc>
          <w:tcPr>
            <w:tcW w:w="810" w:type="dxa"/>
            <w:vAlign w:val="center"/>
          </w:tcPr>
          <w:p w14:paraId="2F2AD6A3">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2024.07</w:t>
            </w:r>
          </w:p>
        </w:tc>
        <w:tc>
          <w:tcPr>
            <w:tcW w:w="0" w:type="auto"/>
            <w:vAlign w:val="center"/>
          </w:tcPr>
          <w:p w14:paraId="3E4F588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东埔街道丰源社区居委</w:t>
            </w:r>
            <w:r>
              <w:rPr>
                <w:rFonts w:hint="eastAsia" w:ascii="宋体" w:hAnsi="宋体" w:cs="宋体"/>
                <w:i w:val="0"/>
                <w:iCs w:val="0"/>
                <w:color w:val="auto"/>
                <w:kern w:val="0"/>
                <w:sz w:val="20"/>
                <w:szCs w:val="20"/>
                <w:u w:val="none"/>
                <w:lang w:val="en-US" w:eastAsia="zh-CN" w:bidi="ar"/>
              </w:rPr>
              <w:t>会</w:t>
            </w:r>
          </w:p>
        </w:tc>
        <w:tc>
          <w:tcPr>
            <w:tcW w:w="0" w:type="auto"/>
            <w:vAlign w:val="center"/>
          </w:tcPr>
          <w:p w14:paraId="1E72EA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29F4BE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2C50C8C7">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F3BD1E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宜居城乡项目</w:t>
            </w:r>
          </w:p>
        </w:tc>
      </w:tr>
      <w:tr w14:paraId="54C9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695FED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63</w:t>
            </w:r>
          </w:p>
        </w:tc>
        <w:tc>
          <w:tcPr>
            <w:tcW w:w="0" w:type="auto"/>
            <w:vAlign w:val="center"/>
          </w:tcPr>
          <w:p w14:paraId="46647DAF">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源城区东埔街道2022年老旧小区改造工程（长安街社区片区）项目</w:t>
            </w:r>
          </w:p>
        </w:tc>
        <w:tc>
          <w:tcPr>
            <w:tcW w:w="0" w:type="auto"/>
            <w:vAlign w:val="center"/>
          </w:tcPr>
          <w:p w14:paraId="409A92A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对怡乐新村、华越小区和华冠苑等3个老旧小区及周边街巷改造，包括道路及附属设施、供水排水设施、消防设施、建筑立面及楼道、通信电力管线、照明设施、停车区域、绿化景观及其他公共基础设施改造等。</w:t>
            </w:r>
          </w:p>
        </w:tc>
        <w:tc>
          <w:tcPr>
            <w:tcW w:w="0" w:type="auto"/>
            <w:vAlign w:val="center"/>
          </w:tcPr>
          <w:p w14:paraId="6A17B09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2023</w:t>
            </w:r>
          </w:p>
          <w:p w14:paraId="19E04B7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1E323C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4289D68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2680 </w:t>
            </w:r>
          </w:p>
        </w:tc>
        <w:tc>
          <w:tcPr>
            <w:tcW w:w="0" w:type="auto"/>
            <w:vAlign w:val="center"/>
          </w:tcPr>
          <w:p w14:paraId="7AEB8A6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700 </w:t>
            </w:r>
          </w:p>
        </w:tc>
        <w:tc>
          <w:tcPr>
            <w:tcW w:w="0" w:type="auto"/>
            <w:vAlign w:val="center"/>
          </w:tcPr>
          <w:p w14:paraId="163E328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800 </w:t>
            </w:r>
          </w:p>
        </w:tc>
        <w:tc>
          <w:tcPr>
            <w:tcW w:w="1230" w:type="dxa"/>
            <w:vAlign w:val="center"/>
          </w:tcPr>
          <w:p w14:paraId="54249762">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对怡乐新村、华越小区和华冠苑等3个老旧小区及周边街巷改造</w:t>
            </w:r>
            <w:r>
              <w:rPr>
                <w:rFonts w:hint="eastAsia" w:ascii="宋体" w:hAnsi="宋体" w:cs="宋体"/>
                <w:i w:val="0"/>
                <w:iCs w:val="0"/>
                <w:color w:val="auto"/>
                <w:kern w:val="0"/>
                <w:sz w:val="20"/>
                <w:szCs w:val="20"/>
                <w:u w:val="none"/>
                <w:lang w:val="en-US" w:eastAsia="zh-CN" w:bidi="ar"/>
              </w:rPr>
              <w:t>。</w:t>
            </w:r>
          </w:p>
        </w:tc>
        <w:tc>
          <w:tcPr>
            <w:tcW w:w="810" w:type="dxa"/>
            <w:vAlign w:val="center"/>
          </w:tcPr>
          <w:p w14:paraId="59D9482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续建</w:t>
            </w:r>
          </w:p>
        </w:tc>
        <w:tc>
          <w:tcPr>
            <w:tcW w:w="0" w:type="auto"/>
            <w:vAlign w:val="center"/>
          </w:tcPr>
          <w:p w14:paraId="760CA22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26A1029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179E339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政府投资</w:t>
            </w:r>
          </w:p>
        </w:tc>
        <w:tc>
          <w:tcPr>
            <w:tcW w:w="0" w:type="auto"/>
            <w:vAlign w:val="center"/>
          </w:tcPr>
          <w:p w14:paraId="78F216C6">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D746DA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居民保障项目</w:t>
            </w:r>
          </w:p>
        </w:tc>
      </w:tr>
      <w:tr w14:paraId="08A6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0" w:type="auto"/>
            <w:vAlign w:val="center"/>
          </w:tcPr>
          <w:p w14:paraId="0CA0E1A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64</w:t>
            </w:r>
          </w:p>
        </w:tc>
        <w:tc>
          <w:tcPr>
            <w:tcW w:w="0" w:type="auto"/>
            <w:vAlign w:val="center"/>
          </w:tcPr>
          <w:p w14:paraId="145721C3">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河源市源城区新翔丰YEC年轻</w:t>
            </w:r>
            <w:r>
              <w:rPr>
                <w:rFonts w:hint="eastAsia" w:ascii="宋体" w:hAnsi="宋体" w:cs="宋体"/>
                <w:i w:val="0"/>
                <w:iCs w:val="0"/>
                <w:color w:val="auto"/>
                <w:kern w:val="0"/>
                <w:sz w:val="20"/>
                <w:szCs w:val="20"/>
                <w:u w:val="none"/>
                <w:lang w:val="en-US" w:eastAsia="zh-CN" w:bidi="ar"/>
              </w:rPr>
              <w:t>力</w:t>
            </w:r>
            <w:r>
              <w:rPr>
                <w:rFonts w:hint="eastAsia" w:ascii="宋体" w:hAnsi="宋体" w:eastAsia="宋体" w:cs="宋体"/>
                <w:i w:val="0"/>
                <w:iCs w:val="0"/>
                <w:color w:val="auto"/>
                <w:kern w:val="0"/>
                <w:sz w:val="20"/>
                <w:szCs w:val="20"/>
                <w:u w:val="none"/>
                <w:lang w:val="en-US" w:eastAsia="zh-CN" w:bidi="ar"/>
              </w:rPr>
              <w:t>中心项目</w:t>
            </w:r>
          </w:p>
        </w:tc>
        <w:tc>
          <w:tcPr>
            <w:tcW w:w="0" w:type="auto"/>
            <w:vAlign w:val="center"/>
          </w:tcPr>
          <w:p w14:paraId="49069CE1">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0"/>
                <w:szCs w:val="20"/>
                <w:u w:val="none"/>
                <w:lang w:bidi="ar"/>
              </w:rPr>
              <w:t>对原翔丰商业广场、竹园路EAT创意园以及东北直街、竹园路源城夜市街区进行全面装修和升级改造，科学布局划分功能区域的位置和范围、设计成具有特色的通道、新增80个车位。</w:t>
            </w:r>
          </w:p>
        </w:tc>
        <w:tc>
          <w:tcPr>
            <w:tcW w:w="0" w:type="auto"/>
            <w:vAlign w:val="center"/>
          </w:tcPr>
          <w:p w14:paraId="71E07D3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w:t>
            </w:r>
          </w:p>
          <w:p w14:paraId="17D4B53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6E0412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6C5CB48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0" w:type="auto"/>
            <w:vAlign w:val="center"/>
          </w:tcPr>
          <w:p w14:paraId="6CACAD2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vAlign w:val="center"/>
          </w:tcPr>
          <w:p w14:paraId="3100014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2500 </w:t>
            </w:r>
          </w:p>
        </w:tc>
        <w:tc>
          <w:tcPr>
            <w:tcW w:w="1230" w:type="dxa"/>
            <w:vAlign w:val="center"/>
          </w:tcPr>
          <w:p w14:paraId="23972298">
            <w:pPr>
              <w:keepNext w:val="0"/>
              <w:keepLines w:val="0"/>
              <w:widowControl/>
              <w:suppressLineNumbers w:val="0"/>
              <w:spacing w:line="320" w:lineRule="exact"/>
              <w:ind w:right="-84" w:rightChars="-4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对创意园二楼招商业态布局整体打造，广场二、三楼业态调整布局。竹园路、广场</w:t>
            </w:r>
            <w:r>
              <w:rPr>
                <w:rFonts w:hint="eastAsia" w:ascii="宋体" w:hAnsi="宋体" w:cs="宋体"/>
                <w:i w:val="0"/>
                <w:iCs w:val="0"/>
                <w:color w:val="auto"/>
                <w:kern w:val="0"/>
                <w:sz w:val="20"/>
                <w:szCs w:val="20"/>
                <w:u w:val="none"/>
                <w:lang w:val="en-US" w:eastAsia="zh-CN" w:bidi="ar"/>
              </w:rPr>
              <w:t>内</w:t>
            </w:r>
            <w:bookmarkStart w:id="0" w:name="_GoBack"/>
            <w:bookmarkEnd w:id="0"/>
            <w:r>
              <w:rPr>
                <w:rFonts w:hint="eastAsia" w:ascii="宋体" w:hAnsi="宋体" w:eastAsia="宋体" w:cs="宋体"/>
                <w:i w:val="0"/>
                <w:iCs w:val="0"/>
                <w:color w:val="auto"/>
                <w:kern w:val="0"/>
                <w:sz w:val="20"/>
                <w:szCs w:val="20"/>
                <w:u w:val="none"/>
                <w:lang w:val="en-US" w:eastAsia="zh-CN" w:bidi="ar"/>
              </w:rPr>
              <w:t>街打造为客家传统非遗美食街。</w:t>
            </w:r>
          </w:p>
        </w:tc>
        <w:tc>
          <w:tcPr>
            <w:tcW w:w="810" w:type="dxa"/>
            <w:vAlign w:val="center"/>
          </w:tcPr>
          <w:p w14:paraId="4E4B577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2024.11</w:t>
            </w:r>
          </w:p>
        </w:tc>
        <w:tc>
          <w:tcPr>
            <w:tcW w:w="0" w:type="auto"/>
            <w:vAlign w:val="center"/>
          </w:tcPr>
          <w:p w14:paraId="3C9387E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河源市盛汇商业管理有限公司</w:t>
            </w:r>
          </w:p>
        </w:tc>
        <w:tc>
          <w:tcPr>
            <w:tcW w:w="0" w:type="auto"/>
            <w:vAlign w:val="center"/>
          </w:tcPr>
          <w:p w14:paraId="359FD80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上城街道办</w:t>
            </w:r>
          </w:p>
        </w:tc>
        <w:tc>
          <w:tcPr>
            <w:tcW w:w="0" w:type="auto"/>
            <w:vAlign w:val="center"/>
          </w:tcPr>
          <w:p w14:paraId="28061F7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3A84BEA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BEFFB0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服务业项目</w:t>
            </w:r>
          </w:p>
        </w:tc>
      </w:tr>
      <w:tr w14:paraId="32AA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0" w:type="auto"/>
            <w:vAlign w:val="center"/>
          </w:tcPr>
          <w:p w14:paraId="23F491F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65</w:t>
            </w:r>
          </w:p>
        </w:tc>
        <w:tc>
          <w:tcPr>
            <w:tcW w:w="0" w:type="auto"/>
            <w:vAlign w:val="center"/>
          </w:tcPr>
          <w:p w14:paraId="479516D5">
            <w:pPr>
              <w:keepNext w:val="0"/>
              <w:keepLines w:val="0"/>
              <w:widowControl/>
              <w:suppressLineNumbers w:val="0"/>
              <w:spacing w:line="320" w:lineRule="exact"/>
              <w:ind w:right="-80" w:rightChars="-3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宝豪御龙湾三、四、五期</w:t>
            </w:r>
          </w:p>
        </w:tc>
        <w:tc>
          <w:tcPr>
            <w:tcW w:w="0" w:type="auto"/>
            <w:vAlign w:val="center"/>
          </w:tcPr>
          <w:p w14:paraId="7E1BE88B">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占地面积184231</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，总建筑面积506702.14</w:t>
            </w:r>
            <w:r>
              <w:rPr>
                <w:rFonts w:hint="eastAsia" w:ascii="宋体" w:hAnsi="宋体" w:cs="宋体"/>
                <w:i w:val="0"/>
                <w:iCs w:val="0"/>
                <w:color w:val="auto"/>
                <w:kern w:val="0"/>
                <w:sz w:val="20"/>
                <w:szCs w:val="20"/>
                <w:u w:val="none"/>
                <w:lang w:val="en-US" w:eastAsia="zh-CN" w:bidi="ar"/>
              </w:rPr>
              <w:t>平方米</w:t>
            </w:r>
            <w:r>
              <w:rPr>
                <w:rFonts w:hint="eastAsia" w:ascii="宋体" w:hAnsi="宋体" w:eastAsia="宋体" w:cs="宋体"/>
                <w:i w:val="0"/>
                <w:iCs w:val="0"/>
                <w:color w:val="auto"/>
                <w:kern w:val="0"/>
                <w:sz w:val="20"/>
                <w:szCs w:val="20"/>
                <w:u w:val="none"/>
                <w:lang w:val="en-US" w:eastAsia="zh-CN" w:bidi="ar"/>
              </w:rPr>
              <w:t>。其中三期建设33层商业中心，四期建设5层教学楼，五期分3期组团开发，A组团6栋、B组团3栋、C组团6栋，共15栋33层商住楼。</w:t>
            </w:r>
          </w:p>
        </w:tc>
        <w:tc>
          <w:tcPr>
            <w:tcW w:w="0" w:type="auto"/>
            <w:vAlign w:val="center"/>
          </w:tcPr>
          <w:p w14:paraId="0F1C021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w:t>
            </w:r>
          </w:p>
          <w:p w14:paraId="3DCF6035">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8D7082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w:t>
            </w:r>
          </w:p>
        </w:tc>
        <w:tc>
          <w:tcPr>
            <w:tcW w:w="0" w:type="auto"/>
            <w:vAlign w:val="center"/>
          </w:tcPr>
          <w:p w14:paraId="00D41996">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291886 </w:t>
            </w:r>
          </w:p>
        </w:tc>
        <w:tc>
          <w:tcPr>
            <w:tcW w:w="0" w:type="auto"/>
            <w:vAlign w:val="center"/>
          </w:tcPr>
          <w:p w14:paraId="5105BF1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123178 </w:t>
            </w:r>
          </w:p>
        </w:tc>
        <w:tc>
          <w:tcPr>
            <w:tcW w:w="0" w:type="auto"/>
            <w:vAlign w:val="center"/>
          </w:tcPr>
          <w:p w14:paraId="649447A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15000 </w:t>
            </w:r>
          </w:p>
        </w:tc>
        <w:tc>
          <w:tcPr>
            <w:tcW w:w="1230" w:type="dxa"/>
            <w:vAlign w:val="center"/>
          </w:tcPr>
          <w:p w14:paraId="017E5C5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建设8、9、12栋部分工程。</w:t>
            </w:r>
          </w:p>
        </w:tc>
        <w:tc>
          <w:tcPr>
            <w:tcW w:w="810" w:type="dxa"/>
            <w:vAlign w:val="center"/>
          </w:tcPr>
          <w:p w14:paraId="019D26A4">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2019.01</w:t>
            </w:r>
          </w:p>
        </w:tc>
        <w:tc>
          <w:tcPr>
            <w:tcW w:w="0" w:type="auto"/>
            <w:vAlign w:val="center"/>
          </w:tcPr>
          <w:p w14:paraId="39B5422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河源市宝豪房地产开发有限公司</w:t>
            </w:r>
          </w:p>
        </w:tc>
        <w:tc>
          <w:tcPr>
            <w:tcW w:w="0" w:type="auto"/>
            <w:vAlign w:val="center"/>
          </w:tcPr>
          <w:p w14:paraId="7A5DC6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上城街道办</w:t>
            </w:r>
          </w:p>
        </w:tc>
        <w:tc>
          <w:tcPr>
            <w:tcW w:w="0" w:type="auto"/>
            <w:vAlign w:val="center"/>
          </w:tcPr>
          <w:p w14:paraId="59660E4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53FB28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10C72F3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29BD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0" w:type="auto"/>
            <w:vAlign w:val="center"/>
          </w:tcPr>
          <w:p w14:paraId="2AC4C96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66</w:t>
            </w:r>
          </w:p>
        </w:tc>
        <w:tc>
          <w:tcPr>
            <w:tcW w:w="0" w:type="auto"/>
            <w:vAlign w:val="center"/>
          </w:tcPr>
          <w:p w14:paraId="618B1415">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芸景花园项目</w:t>
            </w:r>
          </w:p>
        </w:tc>
        <w:tc>
          <w:tcPr>
            <w:tcW w:w="0" w:type="auto"/>
            <w:vAlign w:val="center"/>
          </w:tcPr>
          <w:p w14:paraId="4289C8D9">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占地面积60628.82平方米，总建筑面积230482.18平方米；拟建造5栋27层、7栋26层洋房住宅，公共建筑包括1栋3层幼儿园、社区公共服务用房、垃圾收集用房等。</w:t>
            </w:r>
          </w:p>
        </w:tc>
        <w:tc>
          <w:tcPr>
            <w:tcW w:w="0" w:type="auto"/>
            <w:vAlign w:val="center"/>
          </w:tcPr>
          <w:p w14:paraId="5A2ED63C">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717FEA7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0D78F9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7067836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95000 </w:t>
            </w:r>
          </w:p>
        </w:tc>
        <w:tc>
          <w:tcPr>
            <w:tcW w:w="0" w:type="auto"/>
            <w:vAlign w:val="center"/>
          </w:tcPr>
          <w:p w14:paraId="206203B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18000 </w:t>
            </w:r>
          </w:p>
        </w:tc>
        <w:tc>
          <w:tcPr>
            <w:tcW w:w="0" w:type="auto"/>
            <w:vAlign w:val="center"/>
          </w:tcPr>
          <w:p w14:paraId="3E0DB75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5000</w:t>
            </w:r>
          </w:p>
        </w:tc>
        <w:tc>
          <w:tcPr>
            <w:tcW w:w="1230" w:type="dxa"/>
            <w:vAlign w:val="center"/>
          </w:tcPr>
          <w:p w14:paraId="3B67A8B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主要完成住宅小区强、弱电安装，园林绿化工程、燃气管道和消防设施安装工程以及完善地下室各项设施。</w:t>
            </w:r>
          </w:p>
        </w:tc>
        <w:tc>
          <w:tcPr>
            <w:tcW w:w="810" w:type="dxa"/>
            <w:vAlign w:val="center"/>
          </w:tcPr>
          <w:p w14:paraId="2CE66D9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2020.10</w:t>
            </w:r>
          </w:p>
        </w:tc>
        <w:tc>
          <w:tcPr>
            <w:tcW w:w="0" w:type="auto"/>
            <w:vAlign w:val="center"/>
          </w:tcPr>
          <w:p w14:paraId="26DA979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河源市和顺兴商贸有限公司</w:t>
            </w:r>
          </w:p>
        </w:tc>
        <w:tc>
          <w:tcPr>
            <w:tcW w:w="0" w:type="auto"/>
            <w:vAlign w:val="center"/>
          </w:tcPr>
          <w:p w14:paraId="676BE08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高埔岗街道办</w:t>
            </w:r>
          </w:p>
        </w:tc>
        <w:tc>
          <w:tcPr>
            <w:tcW w:w="0" w:type="auto"/>
            <w:vAlign w:val="center"/>
          </w:tcPr>
          <w:p w14:paraId="0AF174B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95CC28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1B8207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7619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0" w:type="auto"/>
            <w:vAlign w:val="center"/>
          </w:tcPr>
          <w:p w14:paraId="0A50893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67</w:t>
            </w:r>
          </w:p>
        </w:tc>
        <w:tc>
          <w:tcPr>
            <w:tcW w:w="0" w:type="auto"/>
            <w:vAlign w:val="center"/>
          </w:tcPr>
          <w:p w14:paraId="57D40944">
            <w:pPr>
              <w:keepNext w:val="0"/>
              <w:keepLines w:val="0"/>
              <w:widowControl/>
              <w:suppressLineNumbers w:val="0"/>
              <w:spacing w:line="320" w:lineRule="exact"/>
              <w:ind w:right="-80" w:rightChars="-3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河源恒大雅苑项目</w:t>
            </w:r>
          </w:p>
        </w:tc>
        <w:tc>
          <w:tcPr>
            <w:tcW w:w="0" w:type="auto"/>
            <w:vAlign w:val="center"/>
          </w:tcPr>
          <w:p w14:paraId="5BE6D63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占地面积为96250.98平方米，建筑面积为735610.38平方米，新建47栋高层住宅楼</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1栋独立小商业及一排住宅裙楼商业</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栋</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层综合楼</w:t>
            </w:r>
            <w:r>
              <w:rPr>
                <w:rFonts w:hint="eastAsia" w:ascii="宋体" w:hAnsi="宋体" w:cs="宋体"/>
                <w:i w:val="0"/>
                <w:iCs w:val="0"/>
                <w:color w:val="auto"/>
                <w:kern w:val="0"/>
                <w:sz w:val="20"/>
                <w:szCs w:val="20"/>
                <w:u w:val="none"/>
                <w:lang w:val="en-US" w:eastAsia="zh-CN" w:bidi="ar"/>
              </w:rPr>
              <w:t>、1座</w:t>
            </w:r>
            <w:r>
              <w:rPr>
                <w:rFonts w:hint="eastAsia" w:ascii="宋体" w:hAnsi="宋体" w:eastAsia="宋体" w:cs="宋体"/>
                <w:i w:val="0"/>
                <w:iCs w:val="0"/>
                <w:color w:val="auto"/>
                <w:kern w:val="0"/>
                <w:sz w:val="20"/>
                <w:szCs w:val="20"/>
                <w:u w:val="none"/>
                <w:lang w:val="en-US" w:eastAsia="zh-CN" w:bidi="ar"/>
              </w:rPr>
              <w:t>垃圾站</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所9班幼儿园</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所36班小学。</w:t>
            </w:r>
          </w:p>
        </w:tc>
        <w:tc>
          <w:tcPr>
            <w:tcW w:w="0" w:type="auto"/>
            <w:vAlign w:val="center"/>
          </w:tcPr>
          <w:p w14:paraId="25124FC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2018</w:t>
            </w:r>
          </w:p>
          <w:p w14:paraId="70A2F2F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F30CFC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761652A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200000 </w:t>
            </w:r>
          </w:p>
        </w:tc>
        <w:tc>
          <w:tcPr>
            <w:tcW w:w="0" w:type="auto"/>
            <w:vAlign w:val="center"/>
          </w:tcPr>
          <w:p w14:paraId="4B0B4F97">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180000 </w:t>
            </w:r>
          </w:p>
        </w:tc>
        <w:tc>
          <w:tcPr>
            <w:tcW w:w="0" w:type="auto"/>
            <w:vAlign w:val="center"/>
          </w:tcPr>
          <w:p w14:paraId="513329A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4B9D2D6F">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三期、四期高层住宅楼内外装修。</w:t>
            </w:r>
          </w:p>
        </w:tc>
        <w:tc>
          <w:tcPr>
            <w:tcW w:w="810" w:type="dxa"/>
            <w:vAlign w:val="center"/>
          </w:tcPr>
          <w:p w14:paraId="7B9E3C00">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2018.05</w:t>
            </w:r>
          </w:p>
        </w:tc>
        <w:tc>
          <w:tcPr>
            <w:tcW w:w="0" w:type="auto"/>
            <w:vAlign w:val="center"/>
          </w:tcPr>
          <w:p w14:paraId="0971F03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河源市远翔投资发展有限公司</w:t>
            </w:r>
          </w:p>
        </w:tc>
        <w:tc>
          <w:tcPr>
            <w:tcW w:w="0" w:type="auto"/>
            <w:vAlign w:val="center"/>
          </w:tcPr>
          <w:p w14:paraId="0DF7F67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0FED3E6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38B2EFC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7FBDB4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B9A487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462D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9A0A8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68</w:t>
            </w:r>
          </w:p>
        </w:tc>
        <w:tc>
          <w:tcPr>
            <w:tcW w:w="0" w:type="auto"/>
            <w:vAlign w:val="center"/>
          </w:tcPr>
          <w:p w14:paraId="2618CE6B">
            <w:pPr>
              <w:keepNext w:val="0"/>
              <w:keepLines w:val="0"/>
              <w:widowControl/>
              <w:suppressLineNumbers w:val="0"/>
              <w:spacing w:line="320" w:lineRule="exact"/>
              <w:ind w:right="-61" w:rightChars="-2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河源龙光城（含四期、五期、六期、七期）项目</w:t>
            </w:r>
          </w:p>
        </w:tc>
        <w:tc>
          <w:tcPr>
            <w:tcW w:w="0" w:type="auto"/>
            <w:vAlign w:val="center"/>
          </w:tcPr>
          <w:p w14:paraId="37E9E59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项目四至七期用地面积约32万平方米，总建筑面积约104.8万平方米，拟建设45栋高层建筑</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51栋多层楼房和</w:t>
            </w:r>
            <w:r>
              <w:rPr>
                <w:rFonts w:hint="eastAsia" w:ascii="宋体" w:hAnsi="宋体" w:cs="宋体"/>
                <w:i w:val="0"/>
                <w:iCs w:val="0"/>
                <w:color w:val="auto"/>
                <w:kern w:val="0"/>
                <w:sz w:val="20"/>
                <w:szCs w:val="20"/>
                <w:u w:val="none"/>
                <w:lang w:val="en-US" w:eastAsia="zh-CN" w:bidi="ar"/>
              </w:rPr>
              <w:t>低</w:t>
            </w:r>
            <w:r>
              <w:rPr>
                <w:rFonts w:hint="eastAsia" w:ascii="宋体" w:hAnsi="宋体" w:eastAsia="宋体" w:cs="宋体"/>
                <w:i w:val="0"/>
                <w:iCs w:val="0"/>
                <w:color w:val="auto"/>
                <w:kern w:val="0"/>
                <w:sz w:val="20"/>
                <w:szCs w:val="20"/>
                <w:u w:val="none"/>
                <w:lang w:val="en-US" w:eastAsia="zh-CN" w:bidi="ar"/>
              </w:rPr>
              <w:t>层住宅</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地下车库，幼儿园1所及其他公共生活配套建筑等。</w:t>
            </w:r>
          </w:p>
        </w:tc>
        <w:tc>
          <w:tcPr>
            <w:tcW w:w="0" w:type="auto"/>
            <w:vAlign w:val="center"/>
          </w:tcPr>
          <w:p w14:paraId="632EAD2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0C42122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BE937F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30DD4CB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390000 </w:t>
            </w:r>
          </w:p>
        </w:tc>
        <w:tc>
          <w:tcPr>
            <w:tcW w:w="0" w:type="auto"/>
            <w:vAlign w:val="center"/>
          </w:tcPr>
          <w:p w14:paraId="1B62C6E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200000 </w:t>
            </w:r>
          </w:p>
        </w:tc>
        <w:tc>
          <w:tcPr>
            <w:tcW w:w="0" w:type="auto"/>
            <w:vAlign w:val="center"/>
          </w:tcPr>
          <w:p w14:paraId="79D8B18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15000</w:t>
            </w:r>
          </w:p>
        </w:tc>
        <w:tc>
          <w:tcPr>
            <w:tcW w:w="1230" w:type="dxa"/>
            <w:vAlign w:val="center"/>
          </w:tcPr>
          <w:p w14:paraId="1920807B">
            <w:pPr>
              <w:keepNext w:val="0"/>
              <w:keepLines w:val="0"/>
              <w:widowControl/>
              <w:suppressLineNumbers w:val="0"/>
              <w:spacing w:line="300" w:lineRule="exact"/>
              <w:ind w:left="-59" w:leftChars="-28" w:right="-84" w:rightChars="-40" w:firstLine="0" w:firstLineChars="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四期</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五期配套设施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六期别墅住宅</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七期高层及幼儿园，基础施工、地下室施工等。</w:t>
            </w:r>
          </w:p>
        </w:tc>
        <w:tc>
          <w:tcPr>
            <w:tcW w:w="810" w:type="dxa"/>
            <w:vAlign w:val="center"/>
          </w:tcPr>
          <w:p w14:paraId="4715DFD6">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2019.04</w:t>
            </w:r>
          </w:p>
        </w:tc>
        <w:tc>
          <w:tcPr>
            <w:tcW w:w="0" w:type="auto"/>
            <w:vAlign w:val="center"/>
          </w:tcPr>
          <w:p w14:paraId="1B70030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河源美平房地产发展有限公司</w:t>
            </w:r>
          </w:p>
        </w:tc>
        <w:tc>
          <w:tcPr>
            <w:tcW w:w="0" w:type="auto"/>
            <w:vAlign w:val="center"/>
          </w:tcPr>
          <w:p w14:paraId="00F5DD2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源南镇</w:t>
            </w:r>
          </w:p>
          <w:p w14:paraId="2BCA2AE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政府</w:t>
            </w:r>
          </w:p>
        </w:tc>
        <w:tc>
          <w:tcPr>
            <w:tcW w:w="0" w:type="auto"/>
            <w:vAlign w:val="center"/>
          </w:tcPr>
          <w:p w14:paraId="43F4B32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F50E8B1">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54E7B9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62A7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D1F1B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69</w:t>
            </w:r>
          </w:p>
        </w:tc>
        <w:tc>
          <w:tcPr>
            <w:tcW w:w="0" w:type="auto"/>
            <w:vAlign w:val="center"/>
          </w:tcPr>
          <w:p w14:paraId="7249504F">
            <w:pPr>
              <w:keepNext w:val="0"/>
              <w:keepLines w:val="0"/>
              <w:widowControl/>
              <w:suppressLineNumbers w:val="0"/>
              <w:spacing w:line="32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万达东江城项目</w:t>
            </w:r>
          </w:p>
        </w:tc>
        <w:tc>
          <w:tcPr>
            <w:tcW w:w="0" w:type="auto"/>
            <w:vAlign w:val="center"/>
          </w:tcPr>
          <w:p w14:paraId="3BC15E80">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建筑面积约1650000平方米，其中高层住宅41栋，低层住宅49栋，4层9年制学校1所，3层幼儿园2所，独立商铺6栋。</w:t>
            </w:r>
          </w:p>
        </w:tc>
        <w:tc>
          <w:tcPr>
            <w:tcW w:w="0" w:type="auto"/>
            <w:vAlign w:val="center"/>
          </w:tcPr>
          <w:p w14:paraId="218530A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5ED1EE0F">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284487A">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03F2CA4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1350000 </w:t>
            </w:r>
          </w:p>
        </w:tc>
        <w:tc>
          <w:tcPr>
            <w:tcW w:w="0" w:type="auto"/>
            <w:vAlign w:val="center"/>
          </w:tcPr>
          <w:p w14:paraId="6EE95CB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305000 </w:t>
            </w:r>
          </w:p>
        </w:tc>
        <w:tc>
          <w:tcPr>
            <w:tcW w:w="0" w:type="auto"/>
            <w:vAlign w:val="center"/>
          </w:tcPr>
          <w:p w14:paraId="2FDD58A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25000</w:t>
            </w:r>
          </w:p>
        </w:tc>
        <w:tc>
          <w:tcPr>
            <w:tcW w:w="1230" w:type="dxa"/>
            <w:vAlign w:val="center"/>
          </w:tcPr>
          <w:p w14:paraId="07697974">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建设一期四组团楼盘。</w:t>
            </w:r>
          </w:p>
        </w:tc>
        <w:tc>
          <w:tcPr>
            <w:tcW w:w="810" w:type="dxa"/>
            <w:vAlign w:val="center"/>
          </w:tcPr>
          <w:p w14:paraId="188FFD5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续建</w:t>
            </w:r>
          </w:p>
        </w:tc>
        <w:tc>
          <w:tcPr>
            <w:tcW w:w="0" w:type="auto"/>
            <w:vAlign w:val="center"/>
          </w:tcPr>
          <w:p w14:paraId="6D7BB66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河源市福新创建有限公司</w:t>
            </w:r>
          </w:p>
        </w:tc>
        <w:tc>
          <w:tcPr>
            <w:tcW w:w="0" w:type="auto"/>
            <w:vAlign w:val="center"/>
          </w:tcPr>
          <w:p w14:paraId="1F964E2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1891831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630CA7A2">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6ED718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2625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5C33C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70</w:t>
            </w:r>
          </w:p>
        </w:tc>
        <w:tc>
          <w:tcPr>
            <w:tcW w:w="0" w:type="auto"/>
            <w:vAlign w:val="center"/>
          </w:tcPr>
          <w:p w14:paraId="6D9DE5A8">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雅居乐千叶明珠花园（一期）项目</w:t>
            </w:r>
          </w:p>
        </w:tc>
        <w:tc>
          <w:tcPr>
            <w:tcW w:w="0" w:type="auto"/>
            <w:vAlign w:val="center"/>
          </w:tcPr>
          <w:p w14:paraId="498B4AF6">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建筑面积169272.99平方米，建设11栋高层住宅及地下室，幼儿园</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所、3栋独立商业楼。</w:t>
            </w:r>
          </w:p>
        </w:tc>
        <w:tc>
          <w:tcPr>
            <w:tcW w:w="0" w:type="auto"/>
            <w:vAlign w:val="center"/>
          </w:tcPr>
          <w:p w14:paraId="360AE16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2021</w:t>
            </w:r>
          </w:p>
          <w:p w14:paraId="029B250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FCABF4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48AF56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108533 </w:t>
            </w:r>
          </w:p>
        </w:tc>
        <w:tc>
          <w:tcPr>
            <w:tcW w:w="0" w:type="auto"/>
            <w:vAlign w:val="center"/>
          </w:tcPr>
          <w:p w14:paraId="5F8A180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92981 </w:t>
            </w:r>
          </w:p>
        </w:tc>
        <w:tc>
          <w:tcPr>
            <w:tcW w:w="0" w:type="auto"/>
            <w:vAlign w:val="center"/>
          </w:tcPr>
          <w:p w14:paraId="250A273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10000</w:t>
            </w:r>
          </w:p>
        </w:tc>
        <w:tc>
          <w:tcPr>
            <w:tcW w:w="1230" w:type="dxa"/>
            <w:vAlign w:val="center"/>
          </w:tcPr>
          <w:p w14:paraId="325FA9A0">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二组团园林建设及各项安装工程施工等。</w:t>
            </w:r>
          </w:p>
        </w:tc>
        <w:tc>
          <w:tcPr>
            <w:tcW w:w="810" w:type="dxa"/>
            <w:vAlign w:val="center"/>
          </w:tcPr>
          <w:p w14:paraId="19EEA58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续建</w:t>
            </w:r>
          </w:p>
        </w:tc>
        <w:tc>
          <w:tcPr>
            <w:tcW w:w="0" w:type="auto"/>
            <w:vAlign w:val="center"/>
          </w:tcPr>
          <w:p w14:paraId="3663A9D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广东明晋房地产开发有限公司</w:t>
            </w:r>
          </w:p>
        </w:tc>
        <w:tc>
          <w:tcPr>
            <w:tcW w:w="0" w:type="auto"/>
            <w:vAlign w:val="center"/>
          </w:tcPr>
          <w:p w14:paraId="7AFB7760">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w:t>
            </w:r>
            <w:r>
              <w:rPr>
                <w:rFonts w:hint="eastAsia" w:ascii="宋体" w:hAnsi="宋体" w:cs="宋体"/>
                <w:i w:val="0"/>
                <w:iCs w:val="0"/>
                <w:color w:val="auto"/>
                <w:kern w:val="0"/>
                <w:sz w:val="20"/>
                <w:szCs w:val="20"/>
                <w:u w:val="none"/>
                <w:lang w:val="en-US" w:eastAsia="zh-CN" w:bidi="ar"/>
              </w:rPr>
              <w:t>办</w:t>
            </w:r>
          </w:p>
        </w:tc>
        <w:tc>
          <w:tcPr>
            <w:tcW w:w="0" w:type="auto"/>
            <w:vAlign w:val="center"/>
          </w:tcPr>
          <w:p w14:paraId="73E927DA">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0961B03F">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3DD3CA2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69C5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0" w:type="auto"/>
            <w:vAlign w:val="center"/>
          </w:tcPr>
          <w:p w14:paraId="47E1F2E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71</w:t>
            </w:r>
          </w:p>
        </w:tc>
        <w:tc>
          <w:tcPr>
            <w:tcW w:w="0" w:type="auto"/>
            <w:vAlign w:val="center"/>
          </w:tcPr>
          <w:p w14:paraId="295C95AE">
            <w:pPr>
              <w:keepNext w:val="0"/>
              <w:keepLines w:val="0"/>
              <w:widowControl/>
              <w:suppressLineNumbers w:val="0"/>
              <w:spacing w:line="320" w:lineRule="exact"/>
              <w:ind w:right="-120" w:rightChars="-57"/>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碧桂园未来城项目</w:t>
            </w:r>
          </w:p>
        </w:tc>
        <w:tc>
          <w:tcPr>
            <w:tcW w:w="0" w:type="auto"/>
            <w:vAlign w:val="center"/>
          </w:tcPr>
          <w:p w14:paraId="3CCA7CEA">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占地面积320100平方米，建筑面积约941500平方米。其中：一期拟建12栋多层住宅和11栋洋房，二期拟建11栋洋房及</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所中学，三期拟建12栋多层住宅和12栋洋房、1所幼儿园、1处公共交通场所，四期拟建14栋洋房。</w:t>
            </w:r>
          </w:p>
        </w:tc>
        <w:tc>
          <w:tcPr>
            <w:tcW w:w="0" w:type="auto"/>
            <w:vAlign w:val="center"/>
          </w:tcPr>
          <w:p w14:paraId="4928AF9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086D1B2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36C8EA5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6B117BA9">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600000 </w:t>
            </w:r>
          </w:p>
        </w:tc>
        <w:tc>
          <w:tcPr>
            <w:tcW w:w="0" w:type="auto"/>
            <w:vAlign w:val="center"/>
          </w:tcPr>
          <w:p w14:paraId="7748E85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185000 </w:t>
            </w:r>
          </w:p>
        </w:tc>
        <w:tc>
          <w:tcPr>
            <w:tcW w:w="0" w:type="auto"/>
            <w:vAlign w:val="center"/>
          </w:tcPr>
          <w:p w14:paraId="144A8EB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5000 </w:t>
            </w:r>
          </w:p>
        </w:tc>
        <w:tc>
          <w:tcPr>
            <w:tcW w:w="1230" w:type="dxa"/>
            <w:vAlign w:val="center"/>
          </w:tcPr>
          <w:p w14:paraId="1B7EEDA8">
            <w:pPr>
              <w:keepNext w:val="0"/>
              <w:keepLines w:val="0"/>
              <w:widowControl/>
              <w:suppressLineNumbers w:val="0"/>
              <w:spacing w:line="320" w:lineRule="exact"/>
              <w:ind w:right="-84" w:rightChars="-4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建设B区30、31、50号楼。</w:t>
            </w:r>
          </w:p>
        </w:tc>
        <w:tc>
          <w:tcPr>
            <w:tcW w:w="810" w:type="dxa"/>
            <w:vAlign w:val="center"/>
          </w:tcPr>
          <w:p w14:paraId="0A0D9B4A">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2020.10</w:t>
            </w:r>
          </w:p>
        </w:tc>
        <w:tc>
          <w:tcPr>
            <w:tcW w:w="0" w:type="auto"/>
            <w:vAlign w:val="center"/>
          </w:tcPr>
          <w:p w14:paraId="2A460AD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河源市顺隆房地产开发有限公司</w:t>
            </w:r>
          </w:p>
        </w:tc>
        <w:tc>
          <w:tcPr>
            <w:tcW w:w="0" w:type="auto"/>
            <w:vAlign w:val="center"/>
          </w:tcPr>
          <w:p w14:paraId="5A120E9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50D0550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2E65EAA8">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643DF3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1FA5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0" w:type="auto"/>
            <w:vAlign w:val="center"/>
          </w:tcPr>
          <w:p w14:paraId="0F585E4E">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72</w:t>
            </w:r>
          </w:p>
        </w:tc>
        <w:tc>
          <w:tcPr>
            <w:tcW w:w="0" w:type="auto"/>
            <w:vAlign w:val="center"/>
          </w:tcPr>
          <w:p w14:paraId="04B97ECD">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江城华府项目</w:t>
            </w:r>
          </w:p>
        </w:tc>
        <w:tc>
          <w:tcPr>
            <w:tcW w:w="0" w:type="auto"/>
            <w:vAlign w:val="center"/>
          </w:tcPr>
          <w:p w14:paraId="3BA2ED3E">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新建37栋住宅，其中高层住宅10栋、多层住宅27栋、商业配套37卡商铺、停车位986个，绿化面积20162.37平方米。</w:t>
            </w:r>
          </w:p>
        </w:tc>
        <w:tc>
          <w:tcPr>
            <w:tcW w:w="0" w:type="auto"/>
            <w:vAlign w:val="center"/>
          </w:tcPr>
          <w:p w14:paraId="4B5C672E">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2021</w:t>
            </w:r>
          </w:p>
          <w:p w14:paraId="27557B08">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791EEDED">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77A7F3D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70000 </w:t>
            </w:r>
          </w:p>
        </w:tc>
        <w:tc>
          <w:tcPr>
            <w:tcW w:w="0" w:type="auto"/>
            <w:vAlign w:val="center"/>
          </w:tcPr>
          <w:p w14:paraId="23C3625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42535</w:t>
            </w:r>
          </w:p>
        </w:tc>
        <w:tc>
          <w:tcPr>
            <w:tcW w:w="0" w:type="auto"/>
            <w:vAlign w:val="center"/>
          </w:tcPr>
          <w:p w14:paraId="4D75F1C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10000 </w:t>
            </w:r>
          </w:p>
        </w:tc>
        <w:tc>
          <w:tcPr>
            <w:tcW w:w="1230" w:type="dxa"/>
            <w:vAlign w:val="center"/>
          </w:tcPr>
          <w:p w14:paraId="4C01AE02">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项目主体工程装修。</w:t>
            </w:r>
          </w:p>
        </w:tc>
        <w:tc>
          <w:tcPr>
            <w:tcW w:w="810" w:type="dxa"/>
            <w:vAlign w:val="center"/>
          </w:tcPr>
          <w:p w14:paraId="23C689A2">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2021.10</w:t>
            </w:r>
          </w:p>
        </w:tc>
        <w:tc>
          <w:tcPr>
            <w:tcW w:w="0" w:type="auto"/>
            <w:vAlign w:val="center"/>
          </w:tcPr>
          <w:p w14:paraId="5E0F4E97">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河源市丰源房地产投资有限公司</w:t>
            </w:r>
          </w:p>
        </w:tc>
        <w:tc>
          <w:tcPr>
            <w:tcW w:w="0" w:type="auto"/>
            <w:vAlign w:val="center"/>
          </w:tcPr>
          <w:p w14:paraId="5BD10293">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东埔街道办</w:t>
            </w:r>
          </w:p>
        </w:tc>
        <w:tc>
          <w:tcPr>
            <w:tcW w:w="0" w:type="auto"/>
            <w:vAlign w:val="center"/>
          </w:tcPr>
          <w:p w14:paraId="580BF10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49A914BE">
            <w:pPr>
              <w:keepNext w:val="0"/>
              <w:keepLines w:val="0"/>
              <w:widowControl/>
              <w:suppressLineNumbers w:val="0"/>
              <w:spacing w:line="30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20372FD1">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78A1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0" w:type="auto"/>
            <w:vAlign w:val="center"/>
          </w:tcPr>
          <w:p w14:paraId="3790B95D">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73</w:t>
            </w:r>
          </w:p>
        </w:tc>
        <w:tc>
          <w:tcPr>
            <w:tcW w:w="0" w:type="auto"/>
            <w:vAlign w:val="center"/>
          </w:tcPr>
          <w:p w14:paraId="177C559A">
            <w:pPr>
              <w:keepNext w:val="0"/>
              <w:keepLines w:val="0"/>
              <w:widowControl/>
              <w:suppressLineNumbers w:val="0"/>
              <w:spacing w:line="320" w:lineRule="exact"/>
              <w:ind w:right="-101" w:rightChars="-48"/>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一通国际汽车城项目</w:t>
            </w:r>
          </w:p>
        </w:tc>
        <w:tc>
          <w:tcPr>
            <w:tcW w:w="0" w:type="auto"/>
            <w:vAlign w:val="center"/>
          </w:tcPr>
          <w:p w14:paraId="7A917968">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Style w:val="24"/>
                <w:rFonts w:ascii="宋体" w:hAnsi="宋体"/>
                <w:color w:val="auto"/>
                <w:lang w:val="en-US" w:eastAsia="zh-CN" w:bidi="ar"/>
              </w:rPr>
              <w:t>总建筑面积约</w:t>
            </w:r>
            <w:r>
              <w:rPr>
                <w:rStyle w:val="26"/>
                <w:rFonts w:ascii="宋体" w:hAnsi="宋体"/>
                <w:color w:val="auto"/>
                <w:lang w:val="en-US" w:eastAsia="zh-CN" w:bidi="ar"/>
              </w:rPr>
              <w:t>366</w:t>
            </w:r>
            <w:r>
              <w:rPr>
                <w:rStyle w:val="26"/>
                <w:rFonts w:hint="eastAsia" w:ascii="宋体" w:hAnsi="宋体"/>
                <w:color w:val="auto"/>
                <w:lang w:val="en-US" w:eastAsia="zh-CN" w:bidi="ar"/>
              </w:rPr>
              <w:t>000</w:t>
            </w:r>
            <w:r>
              <w:rPr>
                <w:rStyle w:val="24"/>
                <w:rFonts w:ascii="宋体" w:hAnsi="宋体"/>
                <w:color w:val="auto"/>
                <w:lang w:val="en-US" w:eastAsia="zh-CN" w:bidi="ar"/>
              </w:rPr>
              <w:t>平方米，其中包括汽车城、配套商业、住宅、公寓、酒店等。</w:t>
            </w:r>
          </w:p>
        </w:tc>
        <w:tc>
          <w:tcPr>
            <w:tcW w:w="0" w:type="auto"/>
            <w:vAlign w:val="center"/>
          </w:tcPr>
          <w:p w14:paraId="797640C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2013</w:t>
            </w:r>
          </w:p>
          <w:p w14:paraId="5A69BDD4">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6622FA10">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2025</w:t>
            </w:r>
          </w:p>
        </w:tc>
        <w:tc>
          <w:tcPr>
            <w:tcW w:w="0" w:type="auto"/>
            <w:vAlign w:val="center"/>
          </w:tcPr>
          <w:p w14:paraId="4087F83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108000</w:t>
            </w:r>
          </w:p>
        </w:tc>
        <w:tc>
          <w:tcPr>
            <w:tcW w:w="0" w:type="auto"/>
            <w:vAlign w:val="center"/>
          </w:tcPr>
          <w:p w14:paraId="15C81B3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73310</w:t>
            </w:r>
          </w:p>
        </w:tc>
        <w:tc>
          <w:tcPr>
            <w:tcW w:w="0" w:type="auto"/>
            <w:vAlign w:val="center"/>
          </w:tcPr>
          <w:p w14:paraId="14249855">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3000</w:t>
            </w:r>
          </w:p>
        </w:tc>
        <w:tc>
          <w:tcPr>
            <w:tcW w:w="1230" w:type="dxa"/>
            <w:vAlign w:val="center"/>
          </w:tcPr>
          <w:p w14:paraId="5168C027">
            <w:pPr>
              <w:keepNext w:val="0"/>
              <w:keepLines w:val="0"/>
              <w:widowControl/>
              <w:suppressLineNumbers w:val="0"/>
              <w:spacing w:line="260" w:lineRule="exact"/>
              <w:jc w:val="left"/>
              <w:textAlignment w:val="center"/>
              <w:rPr>
                <w:rFonts w:hint="eastAsia" w:ascii="宋体" w:hAnsi="宋体" w:eastAsia="宋体" w:cs="宋体"/>
                <w:i w:val="0"/>
                <w:iCs w:val="0"/>
                <w:color w:val="auto"/>
                <w:spacing w:val="-17"/>
                <w:kern w:val="2"/>
                <w:sz w:val="20"/>
                <w:szCs w:val="20"/>
                <w:u w:val="none"/>
                <w:lang w:val="en-US" w:eastAsia="zh-CN" w:bidi="ar-SA"/>
              </w:rPr>
            </w:pPr>
            <w:r>
              <w:rPr>
                <w:rFonts w:hint="eastAsia" w:ascii="宋体" w:hAnsi="宋体" w:eastAsia="宋体" w:cs="宋体"/>
                <w:i w:val="0"/>
                <w:iCs w:val="0"/>
                <w:color w:val="auto"/>
                <w:spacing w:val="-17"/>
                <w:kern w:val="0"/>
                <w:sz w:val="20"/>
                <w:szCs w:val="20"/>
                <w:u w:val="none"/>
                <w:lang w:val="en-US" w:eastAsia="zh-CN" w:bidi="ar"/>
              </w:rPr>
              <w:t>1、2、3、5、6、7号楼住宅工程整体建设完成并装修交楼小区绿化等工程。</w:t>
            </w:r>
          </w:p>
        </w:tc>
        <w:tc>
          <w:tcPr>
            <w:tcW w:w="810" w:type="dxa"/>
            <w:vAlign w:val="center"/>
          </w:tcPr>
          <w:p w14:paraId="0E7F9CA1">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2022.11</w:t>
            </w:r>
          </w:p>
        </w:tc>
        <w:tc>
          <w:tcPr>
            <w:tcW w:w="0" w:type="auto"/>
            <w:vAlign w:val="center"/>
          </w:tcPr>
          <w:p w14:paraId="68B1BC8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河源市一通实业发展有限公司</w:t>
            </w:r>
          </w:p>
        </w:tc>
        <w:tc>
          <w:tcPr>
            <w:tcW w:w="0" w:type="auto"/>
            <w:vAlign w:val="center"/>
          </w:tcPr>
          <w:p w14:paraId="3A3C87E2">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655ED5F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3A25F404">
            <w:pPr>
              <w:keepNext w:val="0"/>
              <w:keepLines w:val="0"/>
              <w:widowControl/>
              <w:suppressLineNumbers w:val="0"/>
              <w:spacing w:line="28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73C59A3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r w14:paraId="431F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4EF5B8">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74</w:t>
            </w:r>
          </w:p>
        </w:tc>
        <w:tc>
          <w:tcPr>
            <w:tcW w:w="0" w:type="auto"/>
            <w:vAlign w:val="center"/>
          </w:tcPr>
          <w:p w14:paraId="39A3CEEC">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林语花园三、四、五、六期项目</w:t>
            </w:r>
          </w:p>
        </w:tc>
        <w:tc>
          <w:tcPr>
            <w:tcW w:w="0" w:type="auto"/>
            <w:vAlign w:val="center"/>
          </w:tcPr>
          <w:p w14:paraId="0D451525">
            <w:pPr>
              <w:keepNext w:val="0"/>
              <w:keepLines w:val="0"/>
              <w:widowControl/>
              <w:suppressLineNumbers w:val="0"/>
              <w:spacing w:line="320" w:lineRule="exact"/>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占地面积250947.95平方米，总建筑面积约466733.08平方米，拟建19栋25层高层住宅、77栋低层住宅，车位约3900个。</w:t>
            </w:r>
          </w:p>
        </w:tc>
        <w:tc>
          <w:tcPr>
            <w:tcW w:w="0" w:type="auto"/>
            <w:vAlign w:val="center"/>
          </w:tcPr>
          <w:p w14:paraId="24E26C3B">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w:t>
            </w:r>
          </w:p>
          <w:p w14:paraId="498BCA32">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p w14:paraId="0EEA4AE3">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2027</w:t>
            </w:r>
          </w:p>
        </w:tc>
        <w:tc>
          <w:tcPr>
            <w:tcW w:w="0" w:type="auto"/>
            <w:vAlign w:val="center"/>
          </w:tcPr>
          <w:p w14:paraId="50B6F3E1">
            <w:pPr>
              <w:keepNext w:val="0"/>
              <w:keepLines w:val="0"/>
              <w:widowControl/>
              <w:suppressLineNumbers w:val="0"/>
              <w:spacing w:line="320" w:lineRule="exact"/>
              <w:ind w:left="-100" w:leftChars="-57" w:right="-124" w:rightChars="-59" w:hanging="20" w:hangingChars="1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256234 </w:t>
            </w:r>
          </w:p>
        </w:tc>
        <w:tc>
          <w:tcPr>
            <w:tcW w:w="0" w:type="auto"/>
            <w:vAlign w:val="center"/>
          </w:tcPr>
          <w:p w14:paraId="4DF69AFF">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6550 </w:t>
            </w:r>
          </w:p>
        </w:tc>
        <w:tc>
          <w:tcPr>
            <w:tcW w:w="0" w:type="auto"/>
            <w:vAlign w:val="center"/>
          </w:tcPr>
          <w:p w14:paraId="764DC579">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20000</w:t>
            </w:r>
          </w:p>
        </w:tc>
        <w:tc>
          <w:tcPr>
            <w:tcW w:w="1230" w:type="dxa"/>
            <w:vAlign w:val="center"/>
          </w:tcPr>
          <w:p w14:paraId="4333F6CD">
            <w:pPr>
              <w:keepNext w:val="0"/>
              <w:keepLines w:val="0"/>
              <w:widowControl/>
              <w:suppressLineNumbers w:val="0"/>
              <w:spacing w:line="320" w:lineRule="exact"/>
              <w:ind w:right="-82" w:rightChars="-39"/>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主体建设和装修。</w:t>
            </w:r>
          </w:p>
        </w:tc>
        <w:tc>
          <w:tcPr>
            <w:tcW w:w="810" w:type="dxa"/>
            <w:vAlign w:val="center"/>
          </w:tcPr>
          <w:p w14:paraId="68DF9188">
            <w:pPr>
              <w:keepNext w:val="0"/>
              <w:keepLines w:val="0"/>
              <w:widowControl/>
              <w:suppressLineNumbers w:val="0"/>
              <w:spacing w:line="320" w:lineRule="exact"/>
              <w:ind w:left="-59" w:leftChars="-28" w:right="-80" w:rightChars="-38"/>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2020.11</w:t>
            </w:r>
          </w:p>
        </w:tc>
        <w:tc>
          <w:tcPr>
            <w:tcW w:w="0" w:type="auto"/>
            <w:vAlign w:val="center"/>
          </w:tcPr>
          <w:p w14:paraId="01D65824">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河源市保腾实业投资有限公司</w:t>
            </w:r>
          </w:p>
        </w:tc>
        <w:tc>
          <w:tcPr>
            <w:tcW w:w="0" w:type="auto"/>
            <w:vAlign w:val="center"/>
          </w:tcPr>
          <w:p w14:paraId="06B642AC">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源西街道办</w:t>
            </w:r>
          </w:p>
        </w:tc>
        <w:tc>
          <w:tcPr>
            <w:tcW w:w="0" w:type="auto"/>
            <w:vAlign w:val="center"/>
          </w:tcPr>
          <w:p w14:paraId="52764F9B">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民间投资</w:t>
            </w:r>
          </w:p>
        </w:tc>
        <w:tc>
          <w:tcPr>
            <w:tcW w:w="0" w:type="auto"/>
            <w:vAlign w:val="center"/>
          </w:tcPr>
          <w:p w14:paraId="576ABE1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区本级重点项目</w:t>
            </w:r>
          </w:p>
        </w:tc>
        <w:tc>
          <w:tcPr>
            <w:tcW w:w="0" w:type="auto"/>
            <w:vAlign w:val="center"/>
          </w:tcPr>
          <w:p w14:paraId="57228C66">
            <w:pPr>
              <w:keepNext w:val="0"/>
              <w:keepLines w:val="0"/>
              <w:widowControl/>
              <w:suppressLineNumbers w:val="0"/>
              <w:spacing w:line="320" w:lineRule="exact"/>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房地产项目</w:t>
            </w:r>
          </w:p>
        </w:tc>
      </w:tr>
    </w:tbl>
    <w:p w14:paraId="22BB8F99">
      <w:pPr>
        <w:spacing w:line="600" w:lineRule="exact"/>
        <w:jc w:val="center"/>
        <w:rPr>
          <w:rFonts w:hint="eastAsia" w:ascii="宋体" w:hAnsi="宋体" w:eastAsia="方正小标宋_GBK" w:cs="方正小标宋_GBK"/>
          <w:color w:val="auto"/>
          <w:sz w:val="44"/>
          <w:szCs w:val="44"/>
          <w:lang w:val="en-US" w:eastAsia="zh-CN"/>
        </w:rPr>
      </w:pPr>
    </w:p>
    <w:p w14:paraId="48B046A5">
      <w:pPr>
        <w:spacing w:line="600" w:lineRule="exact"/>
        <w:jc w:val="center"/>
        <w:rPr>
          <w:rFonts w:hint="eastAsia" w:ascii="宋体" w:hAnsi="宋体" w:eastAsia="方正小标宋_GBK" w:cs="方正小标宋_GBK"/>
          <w:color w:val="auto"/>
          <w:sz w:val="44"/>
          <w:szCs w:val="44"/>
          <w:lang w:val="en-US" w:eastAsia="zh-CN"/>
        </w:rPr>
      </w:pPr>
    </w:p>
    <w:p w14:paraId="627EBA54">
      <w:pPr>
        <w:spacing w:line="600" w:lineRule="exact"/>
        <w:jc w:val="center"/>
        <w:rPr>
          <w:rFonts w:hint="eastAsia" w:ascii="宋体" w:hAnsi="宋体" w:eastAsia="方正小标宋_GBK" w:cs="方正小标宋_GBK"/>
          <w:color w:val="auto"/>
          <w:sz w:val="44"/>
          <w:szCs w:val="44"/>
          <w:lang w:val="en-US" w:eastAsia="zh-CN"/>
        </w:rPr>
      </w:pPr>
    </w:p>
    <w:p w14:paraId="27C6F93C">
      <w:pPr>
        <w:spacing w:line="600" w:lineRule="exact"/>
        <w:jc w:val="center"/>
        <w:rPr>
          <w:rFonts w:hint="eastAsia" w:ascii="宋体" w:hAnsi="宋体" w:eastAsia="方正小标宋_GBK" w:cs="方正小标宋_GBK"/>
          <w:color w:val="auto"/>
          <w:sz w:val="44"/>
          <w:szCs w:val="44"/>
          <w:lang w:val="en-US" w:eastAsia="zh-CN"/>
        </w:rPr>
      </w:pPr>
    </w:p>
    <w:p w14:paraId="41CB6356">
      <w:pPr>
        <w:spacing w:line="600" w:lineRule="exact"/>
        <w:jc w:val="center"/>
        <w:rPr>
          <w:rFonts w:hint="eastAsia" w:ascii="宋体" w:hAnsi="宋体" w:eastAsia="方正小标宋_GBK" w:cs="方正小标宋_GBK"/>
          <w:color w:val="auto"/>
          <w:sz w:val="44"/>
          <w:szCs w:val="44"/>
          <w:lang w:val="en-US" w:eastAsia="zh-CN"/>
        </w:rPr>
      </w:pPr>
    </w:p>
    <w:p w14:paraId="75CF7335">
      <w:pPr>
        <w:spacing w:line="600" w:lineRule="exact"/>
        <w:jc w:val="center"/>
        <w:rPr>
          <w:rFonts w:hint="eastAsia" w:ascii="宋体" w:hAnsi="宋体" w:eastAsia="方正小标宋_GBK" w:cs="方正小标宋_GBK"/>
          <w:color w:val="auto"/>
          <w:sz w:val="44"/>
          <w:szCs w:val="44"/>
          <w:lang w:val="en-US" w:eastAsia="zh-CN"/>
        </w:rPr>
      </w:pPr>
    </w:p>
    <w:p w14:paraId="55707C10">
      <w:pPr>
        <w:spacing w:line="600" w:lineRule="exact"/>
        <w:rPr>
          <w:rFonts w:hint="eastAsia" w:ascii="宋体" w:hAnsi="宋体" w:eastAsia="方正小标宋_GBK" w:cs="方正小标宋_GBK"/>
          <w:color w:val="auto"/>
          <w:sz w:val="44"/>
          <w:szCs w:val="44"/>
          <w:lang w:val="en-US" w:eastAsia="zh-CN"/>
        </w:rPr>
      </w:pPr>
    </w:p>
    <w:p w14:paraId="6910A7B8">
      <w:pPr>
        <w:spacing w:line="600" w:lineRule="exact"/>
        <w:jc w:val="both"/>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 xml:space="preserve">附件3   </w:t>
      </w:r>
    </w:p>
    <w:p w14:paraId="7376849D">
      <w:pPr>
        <w:spacing w:line="600" w:lineRule="exact"/>
        <w:jc w:val="center"/>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val="en-US" w:eastAsia="zh-CN"/>
        </w:rPr>
        <w:t>2025年省、市、区本级重点前期预备项目计划申报表</w:t>
      </w:r>
    </w:p>
    <w:tbl>
      <w:tblPr>
        <w:tblStyle w:val="14"/>
        <w:tblW w:w="135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1453"/>
        <w:gridCol w:w="4277"/>
        <w:gridCol w:w="1095"/>
        <w:gridCol w:w="1597"/>
        <w:gridCol w:w="1894"/>
        <w:gridCol w:w="1924"/>
        <w:gridCol w:w="795"/>
      </w:tblGrid>
      <w:tr w14:paraId="6439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08FA4">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DEA8C">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项目名称</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1B0A">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建设内容及规模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5A7F">
            <w:pPr>
              <w:keepNext w:val="0"/>
              <w:keepLines w:val="0"/>
              <w:widowControl/>
              <w:suppressLineNumbers w:val="0"/>
              <w:jc w:val="center"/>
              <w:textAlignment w:val="center"/>
              <w:rPr>
                <w:rFonts w:hint="eastAsia" w:ascii="宋体" w:hAnsi="宋体" w:eastAsia="黑体" w:cs="黑体"/>
                <w:b w:val="0"/>
                <w:bCs w:val="0"/>
                <w:i w:val="0"/>
                <w:iCs w:val="0"/>
                <w:color w:val="auto"/>
                <w:kern w:val="0"/>
                <w:sz w:val="24"/>
                <w:szCs w:val="24"/>
                <w:u w:val="none"/>
                <w:lang w:val="en-US" w:eastAsia="zh-CN" w:bidi="ar"/>
              </w:rPr>
            </w:pPr>
            <w:r>
              <w:rPr>
                <w:rFonts w:hint="eastAsia" w:ascii="宋体" w:hAnsi="宋体" w:eastAsia="黑体" w:cs="黑体"/>
                <w:b w:val="0"/>
                <w:bCs w:val="0"/>
                <w:i w:val="0"/>
                <w:iCs w:val="0"/>
                <w:color w:val="auto"/>
                <w:kern w:val="0"/>
                <w:sz w:val="24"/>
                <w:szCs w:val="24"/>
                <w:u w:val="none"/>
                <w:lang w:val="en-US" w:eastAsia="zh-CN" w:bidi="ar"/>
              </w:rPr>
              <w:t>估算总投资</w:t>
            </w:r>
          </w:p>
          <w:p w14:paraId="05740FC3">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（万元）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FD4C">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2025年主要前期工作内容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329E">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业主单位</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1400">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申报单位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90FE">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行业类型</w:t>
            </w:r>
          </w:p>
        </w:tc>
      </w:tr>
      <w:tr w14:paraId="6D72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6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D7624">
            <w:pPr>
              <w:jc w:val="both"/>
              <w:rPr>
                <w:rFonts w:hint="eastAsia" w:ascii="宋体" w:hAnsi="宋体" w:eastAsia="黑体" w:cs="宋体"/>
                <w:b/>
                <w:bCs/>
                <w:color w:val="auto"/>
                <w:kern w:val="0"/>
                <w:sz w:val="24"/>
                <w:u w:val="none"/>
                <w:lang w:eastAsia="zh-CN" w:bidi="ar"/>
              </w:rPr>
            </w:pPr>
            <w:r>
              <w:rPr>
                <w:rFonts w:hint="eastAsia" w:ascii="宋体" w:hAnsi="宋体" w:eastAsia="黑体" w:cs="黑体"/>
                <w:b w:val="0"/>
                <w:bCs w:val="0"/>
                <w:i w:val="0"/>
                <w:iCs w:val="0"/>
                <w:color w:val="auto"/>
                <w:sz w:val="24"/>
                <w:szCs w:val="24"/>
                <w:u w:val="none"/>
                <w:lang w:val="en-US" w:eastAsia="zh-CN"/>
              </w:rPr>
              <w:t>一、</w:t>
            </w:r>
            <w:r>
              <w:rPr>
                <w:rFonts w:hint="eastAsia" w:ascii="宋体" w:hAnsi="宋体" w:eastAsia="黑体" w:cs="黑体"/>
                <w:b w:val="0"/>
                <w:bCs w:val="0"/>
                <w:color w:val="auto"/>
                <w:kern w:val="0"/>
                <w:sz w:val="24"/>
                <w:u w:val="none"/>
                <w:lang w:bidi="ar"/>
              </w:rPr>
              <w:t>涉及源城区辖区内项目</w:t>
            </w:r>
            <w:r>
              <w:rPr>
                <w:rFonts w:hint="eastAsia" w:ascii="宋体" w:hAnsi="宋体" w:eastAsia="黑体" w:cs="黑体"/>
                <w:b w:val="0"/>
                <w:bCs w:val="0"/>
                <w:color w:val="auto"/>
                <w:kern w:val="0"/>
                <w:sz w:val="24"/>
                <w:u w:val="none"/>
                <w:lang w:eastAsia="zh-CN" w:bidi="ar"/>
              </w:rPr>
              <w:t>（</w:t>
            </w:r>
            <w:r>
              <w:rPr>
                <w:rFonts w:hint="eastAsia" w:ascii="宋体" w:hAnsi="宋体" w:eastAsia="黑体" w:cs="黑体"/>
                <w:b w:val="0"/>
                <w:bCs w:val="0"/>
                <w:color w:val="auto"/>
                <w:kern w:val="0"/>
                <w:sz w:val="24"/>
                <w:u w:val="none"/>
                <w:lang w:val="en-US" w:eastAsia="zh-CN" w:bidi="ar"/>
              </w:rPr>
              <w:t>省重点前期预备项目</w:t>
            </w:r>
            <w:r>
              <w:rPr>
                <w:rFonts w:hint="eastAsia" w:ascii="宋体" w:hAnsi="宋体" w:eastAsia="黑体" w:cs="黑体"/>
                <w:b w:val="0"/>
                <w:bCs w:val="0"/>
                <w:color w:val="auto"/>
                <w:kern w:val="0"/>
                <w:sz w:val="24"/>
                <w:u w:val="none"/>
                <w:lang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8EF4">
            <w:pPr>
              <w:widowControl/>
              <w:jc w:val="center"/>
              <w:textAlignment w:val="center"/>
              <w:rPr>
                <w:rFonts w:hint="eastAsia" w:ascii="宋体" w:hAnsi="宋体" w:eastAsia="宋体" w:cs="宋体"/>
                <w:b/>
                <w:bCs/>
                <w:color w:val="auto"/>
                <w:kern w:val="0"/>
                <w:sz w:val="24"/>
                <w:u w:val="none"/>
                <w:lang w:val="en-US" w:eastAsia="zh-CN" w:bidi="ar"/>
              </w:rPr>
            </w:pPr>
          </w:p>
        </w:tc>
        <w:tc>
          <w:tcPr>
            <w:tcW w:w="5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05EDC">
            <w:pPr>
              <w:jc w:val="both"/>
              <w:rPr>
                <w:rFonts w:hint="eastAsia" w:ascii="宋体" w:hAnsi="宋体" w:cs="宋体"/>
                <w:b/>
                <w:bCs/>
                <w:color w:val="auto"/>
                <w:kern w:val="0"/>
                <w:sz w:val="24"/>
                <w:u w:val="none"/>
                <w:lang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AF5D">
            <w:pPr>
              <w:jc w:val="both"/>
              <w:rPr>
                <w:rFonts w:hint="eastAsia" w:ascii="宋体" w:hAnsi="宋体" w:cs="宋体"/>
                <w:b/>
                <w:bCs/>
                <w:color w:val="auto"/>
                <w:kern w:val="0"/>
                <w:sz w:val="24"/>
                <w:u w:val="none"/>
                <w:lang w:bidi="ar"/>
              </w:rPr>
            </w:pPr>
          </w:p>
        </w:tc>
      </w:tr>
      <w:tr w14:paraId="0C89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841B0">
            <w:pPr>
              <w:jc w:val="center"/>
              <w:rPr>
                <w:rFonts w:hint="eastAsia" w:ascii="宋体" w:hAnsi="宋体" w:eastAsia="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F2A6F">
            <w:pPr>
              <w:keepNext w:val="0"/>
              <w:keepLines w:val="0"/>
              <w:widowControl/>
              <w:suppressLineNumbers w:val="0"/>
              <w:spacing w:line="3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河源市食品产业园基础设施建设项目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5A6F">
            <w:pPr>
              <w:spacing w:line="320" w:lineRule="exact"/>
              <w:jc w:val="left"/>
              <w:rPr>
                <w:rFonts w:hint="eastAsia" w:ascii="宋体" w:hAnsi="宋体" w:eastAsia="宋体" w:cs="宋体"/>
                <w:b/>
                <w:bCs/>
                <w:i w:val="0"/>
                <w:iCs w:val="0"/>
                <w:color w:val="auto"/>
                <w:sz w:val="21"/>
                <w:szCs w:val="21"/>
                <w:u w:val="none"/>
              </w:rPr>
            </w:pPr>
            <w:r>
              <w:rPr>
                <w:rFonts w:hint="eastAsia" w:ascii="宋体" w:hAnsi="宋体" w:cs="宋体"/>
                <w:b w:val="0"/>
                <w:bCs w:val="0"/>
                <w:color w:val="auto"/>
                <w:kern w:val="0"/>
                <w:szCs w:val="21"/>
                <w:u w:val="none"/>
                <w:lang w:bidi="ar"/>
              </w:rPr>
              <w:t>规划建设面积</w:t>
            </w:r>
            <w:r>
              <w:rPr>
                <w:rFonts w:hint="eastAsia" w:ascii="宋体" w:hAnsi="宋体" w:eastAsia="宋体" w:cs="宋体"/>
                <w:i w:val="0"/>
                <w:caps w:val="0"/>
                <w:color w:val="auto"/>
                <w:spacing w:val="0"/>
                <w:kern w:val="0"/>
                <w:sz w:val="21"/>
                <w:szCs w:val="21"/>
                <w:u w:val="none"/>
                <w:shd w:val="clear" w:fill="auto"/>
                <w:lang w:bidi="ar"/>
              </w:rPr>
              <w:t>5096666.6</w:t>
            </w:r>
            <w:r>
              <w:rPr>
                <w:rFonts w:hint="eastAsia" w:ascii="宋体" w:hAnsi="宋体" w:eastAsia="宋体" w:cs="宋体"/>
                <w:i w:val="0"/>
                <w:caps w:val="0"/>
                <w:color w:val="auto"/>
                <w:spacing w:val="0"/>
                <w:kern w:val="0"/>
                <w:sz w:val="21"/>
                <w:szCs w:val="21"/>
                <w:u w:val="none"/>
                <w:shd w:val="clear" w:fill="auto"/>
                <w:lang w:val="en-US" w:eastAsia="zh-CN" w:bidi="ar"/>
              </w:rPr>
              <w:t>7平方米</w:t>
            </w:r>
            <w:r>
              <w:rPr>
                <w:rFonts w:hint="eastAsia" w:ascii="宋体" w:hAnsi="宋体" w:cs="宋体"/>
                <w:b w:val="0"/>
                <w:bCs w:val="0"/>
                <w:color w:val="auto"/>
                <w:kern w:val="0"/>
                <w:szCs w:val="21"/>
                <w:u w:val="none"/>
                <w:lang w:bidi="ar"/>
              </w:rPr>
              <w:t>，分为南部组团、北部组团。南部组团包括源城区、江东新区、市高新区三个食品产业园，北部组团包括东源县、灯塔盆地两个食品产业园。主要建设内容包括土地平整、市政道路、排水排污管网等基础设施建设。</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A84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4CD5">
            <w:pPr>
              <w:spacing w:line="320" w:lineRule="exact"/>
              <w:jc w:val="left"/>
              <w:rPr>
                <w:rFonts w:hint="eastAsia" w:ascii="宋体" w:hAnsi="宋体" w:eastAsia="宋体" w:cs="宋体"/>
                <w:b/>
                <w:bCs/>
                <w:i w:val="0"/>
                <w:iCs w:val="0"/>
                <w:color w:val="auto"/>
                <w:sz w:val="21"/>
                <w:szCs w:val="21"/>
                <w:u w:val="none"/>
              </w:rPr>
            </w:pPr>
            <w:r>
              <w:rPr>
                <w:rFonts w:hint="eastAsia" w:ascii="宋体" w:hAnsi="宋体" w:cs="宋体"/>
                <w:b w:val="0"/>
                <w:bCs w:val="0"/>
                <w:color w:val="auto"/>
                <w:kern w:val="0"/>
                <w:szCs w:val="21"/>
                <w:u w:val="none"/>
                <w:lang w:bidi="ar"/>
              </w:rPr>
              <w:t>推进产业园规划，开展用地预审、立项、用地用林报批、征地拆迁等前期工作。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8E29">
            <w:pPr>
              <w:spacing w:line="320" w:lineRule="exact"/>
              <w:ind w:left="-40" w:leftChars="-19" w:right="-80" w:rightChars="-38" w:firstLine="33" w:firstLineChars="16"/>
              <w:jc w:val="center"/>
              <w:rPr>
                <w:rFonts w:hint="eastAsia" w:ascii="宋体" w:hAnsi="宋体" w:eastAsia="宋体" w:cs="宋体"/>
                <w:b/>
                <w:bCs/>
                <w:i w:val="0"/>
                <w:iCs w:val="0"/>
                <w:color w:val="auto"/>
                <w:sz w:val="21"/>
                <w:szCs w:val="21"/>
                <w:u w:val="none"/>
              </w:rPr>
            </w:pPr>
            <w:r>
              <w:rPr>
                <w:rFonts w:hint="eastAsia" w:ascii="宋体" w:hAnsi="宋体" w:cs="宋体"/>
                <w:b w:val="0"/>
                <w:bCs w:val="0"/>
                <w:color w:val="auto"/>
                <w:kern w:val="0"/>
                <w:szCs w:val="21"/>
                <w:u w:val="none"/>
                <w:lang w:bidi="ar"/>
              </w:rPr>
              <w:t>源城区政府（区工业园管委会）</w:t>
            </w:r>
            <w:r>
              <w:rPr>
                <w:rFonts w:hint="eastAsia" w:ascii="宋体" w:hAnsi="宋体" w:eastAsia="宋体" w:cs="宋体"/>
                <w:b w:val="0"/>
                <w:bCs w:val="0"/>
                <w:color w:val="auto"/>
                <w:kern w:val="0"/>
                <w:sz w:val="21"/>
                <w:szCs w:val="21"/>
                <w:u w:val="none"/>
                <w:lang w:bidi="ar"/>
              </w:rPr>
              <w:t>、</w:t>
            </w:r>
            <w:r>
              <w:rPr>
                <w:rFonts w:hint="eastAsia" w:ascii="宋体" w:hAnsi="宋体" w:cs="宋体"/>
                <w:b w:val="0"/>
                <w:bCs w:val="0"/>
                <w:color w:val="auto"/>
                <w:kern w:val="0"/>
                <w:szCs w:val="21"/>
                <w:u w:val="none"/>
                <w:lang w:bidi="ar"/>
              </w:rPr>
              <w:t>东源县政府</w:t>
            </w:r>
            <w:r>
              <w:rPr>
                <w:rFonts w:hint="eastAsia" w:ascii="宋体" w:hAnsi="宋体" w:eastAsia="宋体" w:cs="宋体"/>
                <w:b w:val="0"/>
                <w:bCs w:val="0"/>
                <w:color w:val="auto"/>
                <w:kern w:val="0"/>
                <w:sz w:val="21"/>
                <w:szCs w:val="21"/>
                <w:u w:val="none"/>
                <w:lang w:eastAsia="zh-CN" w:bidi="ar"/>
              </w:rPr>
              <w:t>、</w:t>
            </w:r>
            <w:r>
              <w:rPr>
                <w:rFonts w:hint="eastAsia" w:ascii="宋体" w:hAnsi="宋体" w:cs="宋体"/>
                <w:b w:val="0"/>
                <w:bCs w:val="0"/>
                <w:color w:val="auto"/>
                <w:kern w:val="0"/>
                <w:szCs w:val="21"/>
                <w:u w:val="none"/>
                <w:lang w:bidi="ar"/>
              </w:rPr>
              <w:t>江东新区管委会、市高新区管委会、灯塔盆地农高区管委会</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93AF">
            <w:pPr>
              <w:spacing w:line="320" w:lineRule="exact"/>
              <w:jc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color w:val="auto"/>
                <w:kern w:val="0"/>
                <w:sz w:val="21"/>
                <w:szCs w:val="21"/>
                <w:u w:val="none"/>
                <w:lang w:bidi="ar"/>
              </w:rPr>
              <w:t>源城区政府（区工业园管委会）、东源县政府</w:t>
            </w:r>
            <w:r>
              <w:rPr>
                <w:rFonts w:hint="eastAsia" w:ascii="宋体" w:hAnsi="宋体" w:eastAsia="宋体" w:cs="宋体"/>
                <w:b w:val="0"/>
                <w:bCs w:val="0"/>
                <w:color w:val="auto"/>
                <w:kern w:val="0"/>
                <w:sz w:val="21"/>
                <w:szCs w:val="21"/>
                <w:u w:val="none"/>
                <w:lang w:eastAsia="zh-CN" w:bidi="ar"/>
              </w:rPr>
              <w:t>、</w:t>
            </w:r>
            <w:r>
              <w:rPr>
                <w:rFonts w:hint="eastAsia" w:ascii="宋体" w:hAnsi="宋体" w:eastAsia="宋体" w:cs="宋体"/>
                <w:b w:val="0"/>
                <w:bCs w:val="0"/>
                <w:color w:val="auto"/>
                <w:kern w:val="0"/>
                <w:sz w:val="21"/>
                <w:szCs w:val="21"/>
                <w:u w:val="none"/>
                <w:lang w:bidi="ar"/>
              </w:rPr>
              <w:t>江东新区管委会、市高新区管委会、灯塔盆地农高区管委会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F273">
            <w:pPr>
              <w:jc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i w:val="0"/>
                <w:iCs w:val="0"/>
                <w:color w:val="auto"/>
                <w:kern w:val="0"/>
                <w:sz w:val="21"/>
                <w:szCs w:val="21"/>
                <w:u w:val="none"/>
                <w:lang w:bidi="ar"/>
              </w:rPr>
              <w:t>产业工程</w:t>
            </w:r>
          </w:p>
        </w:tc>
      </w:tr>
      <w:tr w14:paraId="49A7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79AA6">
            <w:pPr>
              <w:widowControl/>
              <w:jc w:val="left"/>
              <w:textAlignment w:val="center"/>
              <w:rPr>
                <w:rFonts w:hint="eastAsia" w:ascii="宋体" w:hAnsi="宋体" w:eastAsia="宋体" w:cs="宋体"/>
                <w:b/>
                <w:bCs/>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二、源城区项目（7项）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36B3">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cs="宋体"/>
                <w:b/>
                <w:bCs/>
                <w:i w:val="0"/>
                <w:iCs w:val="0"/>
                <w:color w:val="auto"/>
                <w:kern w:val="0"/>
                <w:sz w:val="24"/>
                <w:szCs w:val="24"/>
                <w:u w:val="none"/>
                <w:lang w:val="en-US" w:eastAsia="zh-CN" w:bidi="ar"/>
              </w:rPr>
              <w:t>437415</w:t>
            </w:r>
          </w:p>
        </w:tc>
        <w:tc>
          <w:tcPr>
            <w:tcW w:w="6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075BC1">
            <w:pPr>
              <w:jc w:val="center"/>
              <w:rPr>
                <w:rFonts w:hint="eastAsia" w:ascii="宋体" w:hAnsi="宋体" w:eastAsia="宋体" w:cs="宋体"/>
                <w:b/>
                <w:bCs/>
                <w:i w:val="0"/>
                <w:iCs w:val="0"/>
                <w:color w:val="auto"/>
                <w:sz w:val="24"/>
                <w:szCs w:val="24"/>
                <w:u w:val="none"/>
              </w:rPr>
            </w:pPr>
          </w:p>
        </w:tc>
      </w:tr>
      <w:tr w14:paraId="1C5A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9B8FA">
            <w:pPr>
              <w:widowControl/>
              <w:spacing w:line="32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黑体" w:cs="黑体"/>
                <w:i w:val="0"/>
                <w:iCs w:val="0"/>
                <w:color w:val="auto"/>
                <w:kern w:val="0"/>
                <w:sz w:val="21"/>
                <w:szCs w:val="21"/>
                <w:u w:val="none"/>
                <w:lang w:val="en-US" w:eastAsia="zh-CN" w:bidi="ar"/>
              </w:rPr>
              <w:t>（一）</w:t>
            </w:r>
            <w:r>
              <w:rPr>
                <w:rFonts w:hint="eastAsia" w:ascii="宋体" w:hAnsi="宋体" w:eastAsia="黑体" w:cs="黑体"/>
                <w:b w:val="0"/>
                <w:bCs w:val="0"/>
                <w:i w:val="0"/>
                <w:iCs w:val="0"/>
                <w:color w:val="auto"/>
                <w:sz w:val="24"/>
                <w:szCs w:val="24"/>
                <w:u w:val="none"/>
              </w:rPr>
              <w:t>市重点前期预备项目（4项）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8421">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b/>
                <w:bCs/>
                <w:i w:val="0"/>
                <w:iCs w:val="0"/>
                <w:color w:val="auto"/>
                <w:kern w:val="0"/>
                <w:sz w:val="24"/>
                <w:szCs w:val="24"/>
                <w:u w:val="none"/>
                <w:lang w:val="en-US" w:eastAsia="zh-CN" w:bidi="ar"/>
              </w:rPr>
              <w:t>373000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06F9">
            <w:pPr>
              <w:spacing w:line="320" w:lineRule="exact"/>
              <w:jc w:val="left"/>
              <w:rPr>
                <w:rFonts w:hint="eastAsia" w:ascii="宋体" w:hAnsi="宋体" w:eastAsia="宋体" w:cs="宋体"/>
                <w:i w:val="0"/>
                <w:iCs w:val="0"/>
                <w:color w:val="auto"/>
                <w:kern w:val="0"/>
                <w:sz w:val="21"/>
                <w:szCs w:val="21"/>
                <w:u w:val="none"/>
                <w:lang w:val="en-US" w:eastAsia="zh-CN" w:bidi="ar"/>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5526">
            <w:pPr>
              <w:spacing w:line="320" w:lineRule="exact"/>
              <w:jc w:val="center"/>
              <w:rPr>
                <w:rFonts w:hint="eastAsia" w:ascii="宋体" w:hAnsi="宋体" w:eastAsia="宋体" w:cs="宋体"/>
                <w:i w:val="0"/>
                <w:iCs w:val="0"/>
                <w:color w:val="auto"/>
                <w:kern w:val="0"/>
                <w:sz w:val="21"/>
                <w:szCs w:val="21"/>
                <w:u w:val="none"/>
                <w:lang w:val="en-US" w:eastAsia="zh-CN" w:bidi="ar"/>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747C">
            <w:pPr>
              <w:spacing w:line="320" w:lineRule="exact"/>
              <w:ind w:left="-59" w:leftChars="-28" w:right="-109" w:rightChars="-52" w:firstLine="0" w:firstLineChars="0"/>
              <w:jc w:val="center"/>
              <w:rPr>
                <w:rFonts w:hint="eastAsia" w:ascii="宋体" w:hAnsi="宋体" w:cs="宋体"/>
                <w:b w:val="0"/>
                <w:bCs w:val="0"/>
                <w:i w:val="0"/>
                <w:iCs w:val="0"/>
                <w:color w:val="auto"/>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2AB7">
            <w:pPr>
              <w:spacing w:line="320" w:lineRule="exact"/>
              <w:jc w:val="center"/>
              <w:rPr>
                <w:rFonts w:hint="eastAsia" w:ascii="宋体" w:hAnsi="宋体" w:cs="宋体"/>
                <w:b w:val="0"/>
                <w:bCs w:val="0"/>
                <w:i w:val="0"/>
                <w:iCs w:val="0"/>
                <w:color w:val="auto"/>
                <w:kern w:val="0"/>
                <w:sz w:val="21"/>
                <w:szCs w:val="21"/>
                <w:u w:val="none"/>
                <w:lang w:val="en-US" w:eastAsia="zh-CN" w:bidi="ar"/>
              </w:rPr>
            </w:pPr>
          </w:p>
        </w:tc>
      </w:tr>
      <w:tr w14:paraId="199D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A7E1">
            <w:pPr>
              <w:widowControl/>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424A">
            <w:pPr>
              <w:widowControl/>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源城区低空经济产业园</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4E9C">
            <w:pPr>
              <w:widowControl/>
              <w:spacing w:line="320" w:lineRule="exact"/>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总用地面积约69956平方米，总建筑面积约200000平方米，主要建设厂房、市政道路和排水排污管线及配套设施等，厂房建筑面积约140000平方米，市政道路约21924平方米（其中高埔八路长281米，宽30米；规划路长356米，宽24米；规划A路长275米，宽18米）、土石方工程559648立方米，排水排污管道长约912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DFB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F6CD">
            <w:pPr>
              <w:spacing w:line="320" w:lineRule="exact"/>
              <w:jc w:val="left"/>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开展项目初步设计、用地报批等前期工作。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4712">
            <w:pPr>
              <w:spacing w:line="320" w:lineRule="exact"/>
              <w:jc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河源市源城区共享投资有限公司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1C90">
            <w:pPr>
              <w:spacing w:line="320" w:lineRule="exact"/>
              <w:ind w:left="-59" w:leftChars="-28" w:right="-109" w:rightChars="-52" w:firstLine="0" w:firstLine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区工业园管委会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9A01">
            <w:pPr>
              <w:spacing w:line="320" w:lineRule="exact"/>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产业工程</w:t>
            </w:r>
          </w:p>
        </w:tc>
      </w:tr>
      <w:tr w14:paraId="0D6E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3B9E">
            <w:pPr>
              <w:widowControl/>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140F">
            <w:pPr>
              <w:widowControl/>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源城区工业园第六期（大健康科技产业园）项目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5A6A">
            <w:pPr>
              <w:widowControl/>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目总规划面积约782954平方米，主要建设内容包括土石方平整，新建市政道路、标准厂房和其他配套设施等。其中，新建市政道路约6公里，铺设给排水管网约12公里，新建厂房总建筑面积约500003.15平方米、停车场和其他配套设施约20000平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C8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5FBD">
            <w:pPr>
              <w:widowControl/>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开展用地报批、初步设计、环评等前期工作。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F24C">
            <w:pPr>
              <w:widowControl/>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河源市源城区共享投资有限公司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4910">
            <w:pPr>
              <w:spacing w:line="320" w:lineRule="exact"/>
              <w:ind w:left="-59" w:leftChars="-28" w:right="-109" w:rightChars="-52" w:firstLine="0" w:firstLine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区工业园管委会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DDAA">
            <w:pPr>
              <w:widowControl/>
              <w:spacing w:line="24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产业工程</w:t>
            </w:r>
          </w:p>
        </w:tc>
      </w:tr>
      <w:tr w14:paraId="6B1F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1"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2F51">
            <w:pPr>
              <w:widowControl/>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20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源城区低碳产业园二期项目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064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项目总规划面积约1448666.67平方米，总建筑面积510733.73 平方米。拟新建14栋5层标准生产厂房、建筑面积21415.16平方米，10栋单层仓储区、建筑面积19619.57平方米，及配套用房</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规设550个灯旗广告牌、3750个停车位，以及项目前期的场地平整、土石方工程</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新建市政道路约7.5公里、排水排污管线约7公里，及其他基础配套设施。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46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210000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379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开展环评、施工许可等前期工作。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FD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河源市源城区共享投资有限公司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AADD">
            <w:pPr>
              <w:keepNext w:val="0"/>
              <w:keepLines w:val="0"/>
              <w:widowControl/>
              <w:suppressLineNumbers w:val="0"/>
              <w:spacing w:line="320" w:lineRule="exact"/>
              <w:ind w:left="-59" w:leftChars="-28" w:right="-109" w:rightChars="-52"/>
              <w:jc w:val="center"/>
              <w:textAlignment w:val="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区工业园管委会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8B3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产业工程</w:t>
            </w:r>
          </w:p>
        </w:tc>
      </w:tr>
      <w:tr w14:paraId="61F4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706E">
            <w:pPr>
              <w:widowControl/>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AAC">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埔前镇中建旭展(河源)智能化仓储物流园建设项目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77DF">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本项目拟通过盘活废弃砖厂，规划用地面积 63914平方米，建筑面积78000平方米。项目将高起点规划建设仓储物流库区（仓储区、冷库区、恒温仓储区）、物流配送区、物流产业服务区、物流供应链金融区、电商服务区（含跨境电商交易）、产业孵化区、汽车服务区、宿舍及配套设施区等相关设施，建设集节能、高效、便捷、优美、安全的现代物流服务和创新物流模式示范基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690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13000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51EE">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开展项目初步设计、用地报批等前期工作。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33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河源市旭展科技有限公司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564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埔前镇政府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6A3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产业工程</w:t>
            </w:r>
          </w:p>
        </w:tc>
      </w:tr>
      <w:tr w14:paraId="3673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A1948">
            <w:pPr>
              <w:keepNext w:val="0"/>
              <w:keepLines w:val="0"/>
              <w:widowControl/>
              <w:suppressLineNumbers w:val="0"/>
              <w:tabs>
                <w:tab w:val="left" w:pos="2004"/>
              </w:tabs>
              <w:jc w:val="both"/>
              <w:textAlignment w:val="center"/>
              <w:rPr>
                <w:rFonts w:hint="eastAsia" w:ascii="宋体" w:hAnsi="宋体" w:eastAsia="黑体" w:cs="黑体"/>
                <w:i w:val="0"/>
                <w:color w:val="auto"/>
                <w:kern w:val="0"/>
                <w:sz w:val="21"/>
                <w:szCs w:val="21"/>
                <w:u w:val="none"/>
                <w:lang w:val="en-US" w:eastAsia="zh-CN" w:bidi="ar"/>
              </w:rPr>
            </w:pPr>
            <w:r>
              <w:rPr>
                <w:rFonts w:hint="eastAsia" w:ascii="宋体" w:hAnsi="宋体" w:eastAsia="黑体" w:cs="黑体"/>
                <w:i w:val="0"/>
                <w:color w:val="auto"/>
                <w:kern w:val="0"/>
                <w:sz w:val="24"/>
                <w:szCs w:val="24"/>
                <w:u w:val="none"/>
                <w:lang w:val="en-US" w:eastAsia="zh-CN" w:bidi="ar"/>
              </w:rPr>
              <w:t>（二）</w:t>
            </w:r>
            <w:r>
              <w:rPr>
                <w:rFonts w:hint="eastAsia" w:ascii="宋体" w:hAnsi="宋体" w:eastAsia="黑体" w:cs="黑体"/>
                <w:color w:val="auto"/>
                <w:kern w:val="0"/>
                <w:sz w:val="24"/>
                <w:u w:val="none"/>
                <w:lang w:bidi="ar"/>
              </w:rPr>
              <w:t>区本级重点前期预备项目（3项）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17A">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b/>
                <w:bCs/>
                <w:i w:val="0"/>
                <w:color w:val="auto"/>
                <w:kern w:val="0"/>
                <w:sz w:val="21"/>
                <w:szCs w:val="21"/>
                <w:u w:val="none"/>
                <w:lang w:val="en-US" w:eastAsia="zh-CN" w:bidi="ar"/>
              </w:rPr>
              <w:t>64415</w:t>
            </w:r>
          </w:p>
        </w:tc>
        <w:tc>
          <w:tcPr>
            <w:tcW w:w="6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C85843">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p>
        </w:tc>
      </w:tr>
      <w:tr w14:paraId="215C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55B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i w:val="0"/>
                <w:color w:val="auto"/>
                <w:kern w:val="0"/>
                <w:sz w:val="21"/>
                <w:szCs w:val="21"/>
                <w:u w:val="none"/>
                <w:lang w:val="en-US" w:eastAsia="zh-CN" w:bidi="ar"/>
              </w:rPr>
              <w:t>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1623">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源城区跨境电商产业园建设项目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F145">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总用地面积约89339平方米，总建筑面积约143300.63平方米，主要建设内容包括标准厂房、研发楼、配套用房和给水排污工程等。其中：新建厂房29000平方米、配套用房17000平方米，改造厂房25667.42平方米、研发楼9489.28平方米，同时完成室外给水排污配套工程约26800平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2DA1">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28415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A5FA">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开展项目初步设计、用地报批等前期工作。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E000">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河源市源城区共创投资有限公司</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95FF">
            <w:pPr>
              <w:keepNext w:val="0"/>
              <w:keepLines w:val="0"/>
              <w:widowControl/>
              <w:suppressLineNumbers w:val="0"/>
              <w:ind w:right="-105" w:rightChars="-5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区工业园管委会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408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产业工程</w:t>
            </w:r>
          </w:p>
        </w:tc>
      </w:tr>
      <w:tr w14:paraId="4F0C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6C6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i w:val="0"/>
                <w:color w:val="auto"/>
                <w:kern w:val="0"/>
                <w:sz w:val="21"/>
                <w:szCs w:val="21"/>
                <w:u w:val="none"/>
                <w:lang w:val="en-US" w:eastAsia="zh-CN" w:bidi="ar"/>
              </w:rPr>
              <w:t>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FEB9">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电力建设项目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1329">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项目总规划面积2万平方米，总建筑面积约3万平方米，总投资约3亿元，是集应急指挥、生产调度、电力运维、客户服务为一体的调度控制中心技术业务用房。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453">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96D2">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开展项目立项审批等前期工作。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44E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河源供电局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2655">
            <w:pPr>
              <w:keepNext w:val="0"/>
              <w:keepLines w:val="0"/>
              <w:widowControl/>
              <w:suppressLineNumbers w:val="0"/>
              <w:ind w:left="-59" w:leftChars="-28" w:right="-90" w:rightChars="-43" w:firstLine="0" w:firstLineChars="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东埔街道办</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DD95">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基础设施工程</w:t>
            </w:r>
          </w:p>
        </w:tc>
      </w:tr>
      <w:tr w14:paraId="0E52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A7A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i w:val="0"/>
                <w:color w:val="auto"/>
                <w:kern w:val="0"/>
                <w:sz w:val="21"/>
                <w:szCs w:val="21"/>
                <w:u w:val="none"/>
                <w:lang w:val="en-US" w:eastAsia="zh-CN" w:bidi="ar"/>
              </w:rPr>
              <w:t>8</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601">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上城街道李焘故居升级改造及周边配套设施建设项目</w:t>
            </w:r>
          </w:p>
        </w:tc>
        <w:tc>
          <w:tcPr>
            <w:tcW w:w="4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7585">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项目主要对李焘故居进行升级改造，对李焘故居后院土地约1700平方米建设“廉政教育”基地“文化连廊”等主题景观区及</w:t>
            </w:r>
            <w:r>
              <w:rPr>
                <w:rFonts w:hint="eastAsia" w:ascii="宋体" w:hAnsi="宋体" w:cs="宋体"/>
                <w:i w:val="0"/>
                <w:color w:val="auto"/>
                <w:kern w:val="0"/>
                <w:sz w:val="21"/>
                <w:szCs w:val="21"/>
                <w:u w:val="none"/>
                <w:lang w:val="en-US" w:eastAsia="zh-CN" w:bidi="ar"/>
              </w:rPr>
              <w:t>对</w:t>
            </w:r>
            <w:r>
              <w:rPr>
                <w:rFonts w:hint="eastAsia" w:ascii="宋体" w:hAnsi="宋体" w:eastAsia="宋体" w:cs="宋体"/>
                <w:i w:val="0"/>
                <w:color w:val="auto"/>
                <w:kern w:val="0"/>
                <w:sz w:val="21"/>
                <w:szCs w:val="21"/>
                <w:u w:val="none"/>
                <w:lang w:val="en-US" w:eastAsia="zh-CN" w:bidi="ar"/>
              </w:rPr>
              <w:t>李焘故居红线范围内排水排污、道路进行升级改造。同时对李焘故居</w:t>
            </w:r>
            <w:r>
              <w:rPr>
                <w:rFonts w:hint="eastAsia" w:ascii="宋体" w:hAnsi="宋体" w:cs="宋体"/>
                <w:i w:val="0"/>
                <w:color w:val="auto"/>
                <w:kern w:val="0"/>
                <w:sz w:val="21"/>
                <w:szCs w:val="21"/>
                <w:u w:val="none"/>
                <w:lang w:val="en-US" w:eastAsia="zh-CN" w:bidi="ar"/>
              </w:rPr>
              <w:t>周边</w:t>
            </w:r>
            <w:r>
              <w:rPr>
                <w:rFonts w:hint="eastAsia" w:ascii="宋体" w:hAnsi="宋体" w:eastAsia="宋体" w:cs="宋体"/>
                <w:i w:val="0"/>
                <w:color w:val="auto"/>
                <w:kern w:val="0"/>
                <w:sz w:val="21"/>
                <w:szCs w:val="21"/>
                <w:u w:val="none"/>
                <w:lang w:val="en-US" w:eastAsia="zh-CN" w:bidi="ar"/>
              </w:rPr>
              <w:t>的北直街0.8公里、县前街0.4公里、东直街0.4公里等主要道路进行道路提升和周边建筑进行风貌提升。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3D15">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DD95">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开展项目立项审批、初步设计等前期工作。</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EB8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上城街道办</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8B5B">
            <w:pPr>
              <w:keepNext w:val="0"/>
              <w:keepLines w:val="0"/>
              <w:widowControl/>
              <w:suppressLineNumbers w:val="0"/>
              <w:ind w:left="-59" w:leftChars="-28" w:right="-90" w:rightChars="-43" w:firstLine="18" w:firstLineChars="9"/>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上城街道办</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7EB4">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民生保障工程</w:t>
            </w:r>
          </w:p>
        </w:tc>
      </w:tr>
    </w:tbl>
    <w:p w14:paraId="2A386D9B">
      <w:pPr>
        <w:widowControl/>
        <w:spacing w:line="240" w:lineRule="auto"/>
        <w:jc w:val="left"/>
        <w:textAlignment w:val="center"/>
        <w:rPr>
          <w:rFonts w:hint="eastAsia" w:ascii="宋体" w:hAnsi="宋体" w:eastAsia="宋体" w:cs="宋体"/>
          <w:color w:val="auto"/>
          <w:kern w:val="0"/>
          <w:sz w:val="21"/>
          <w:szCs w:val="21"/>
          <w:u w:val="none"/>
          <w:lang w:val="en-US" w:eastAsia="zh-CN" w:bidi="ar"/>
        </w:rPr>
        <w:sectPr>
          <w:footerReference r:id="rId4" w:type="default"/>
          <w:pgSz w:w="16840" w:h="11907" w:orient="landscape"/>
          <w:pgMar w:top="1984" w:right="1474" w:bottom="1474" w:left="1474" w:header="851" w:footer="992" w:gutter="0"/>
          <w:pgNumType w:fmt="decimal"/>
          <w:cols w:space="720" w:num="1"/>
          <w:docGrid w:type="lines" w:linePitch="312" w:charSpace="0"/>
        </w:sectPr>
      </w:pPr>
    </w:p>
    <w:p w14:paraId="1A18433A">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73CCA32A">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4BF1BDE2">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65DE9C7A">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4F034FC8">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189308B2">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7B67F977">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338421E2">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2471DCED">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71070610">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770FA82E">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6BA4A0D4">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61528E28">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64DFB080">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2AF81652">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5D78C304">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2D5C7CEE">
      <w:pPr>
        <w:keepNext w:val="0"/>
        <w:keepLines w:val="0"/>
        <w:pageBreakBefore w:val="0"/>
        <w:kinsoku/>
        <w:wordWrap/>
        <w:overflowPunct/>
        <w:topLinePunct w:val="0"/>
        <w:autoSpaceDE/>
        <w:autoSpaceDN/>
        <w:bidi w:val="0"/>
        <w:adjustRightInd/>
        <w:snapToGrid/>
        <w:spacing w:line="580" w:lineRule="exact"/>
        <w:textAlignment w:val="auto"/>
        <w:rPr>
          <w:rFonts w:ascii="宋体" w:hAnsi="宋体"/>
          <w:color w:val="auto"/>
        </w:rPr>
      </w:pPr>
    </w:p>
    <w:p w14:paraId="24626CDC">
      <w:pPr>
        <w:widowControl w:val="0"/>
        <w:wordWrap/>
        <w:adjustRightInd/>
        <w:snapToGrid/>
        <w:spacing w:line="600" w:lineRule="exact"/>
        <w:ind w:left="0" w:leftChars="0"/>
        <w:jc w:val="left"/>
        <w:textAlignment w:val="auto"/>
        <w:rPr>
          <w:rFonts w:hint="eastAsia" w:ascii="宋体" w:hAnsi="宋体" w:eastAsia="方正仿宋_GBK" w:cs="方正仿宋_GBK"/>
          <w:color w:val="auto"/>
          <w:sz w:val="32"/>
          <w:szCs w:val="32"/>
        </w:rPr>
      </w:pPr>
      <w:r>
        <w:rPr>
          <w:rFonts w:hint="eastAsia" w:ascii="宋体" w:hAnsi="宋体" w:eastAsia="黑体"/>
          <w:color w:val="auto"/>
          <w:sz w:val="32"/>
          <w:szCs w:val="32"/>
        </w:rPr>
        <w:t>公开方式：</w:t>
      </w:r>
      <w:r>
        <w:rPr>
          <w:rFonts w:hint="eastAsia" w:ascii="宋体" w:hAnsi="宋体" w:eastAsia="方正仿宋_GBK" w:cs="方正仿宋_GBK"/>
          <w:color w:val="auto"/>
          <w:sz w:val="32"/>
          <w:szCs w:val="32"/>
          <w:highlight w:val="none"/>
          <w:lang w:val="en-US" w:eastAsia="zh-CN"/>
        </w:rPr>
        <w:t>主动公开</w:t>
      </w:r>
    </w:p>
    <w:tbl>
      <w:tblPr>
        <w:tblStyle w:val="14"/>
        <w:tblW w:w="8823"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14:paraId="6FD93F3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23" w:type="dxa"/>
            <w:noWrap w:val="0"/>
            <w:vAlign w:val="center"/>
          </w:tcPr>
          <w:p w14:paraId="34264378">
            <w:pPr>
              <w:widowControl w:val="0"/>
              <w:numPr>
                <w:ilvl w:val="0"/>
                <w:numId w:val="0"/>
              </w:numPr>
              <w:wordWrap/>
              <w:adjustRightInd/>
              <w:snapToGrid/>
              <w:spacing w:line="600" w:lineRule="exact"/>
              <w:ind w:left="960" w:leftChars="0" w:hanging="960" w:hangingChars="300"/>
              <w:textAlignment w:val="auto"/>
              <w:rPr>
                <w:rFonts w:ascii="宋体" w:hAnsi="宋体"/>
                <w:color w:val="auto"/>
                <w:sz w:val="32"/>
                <w:szCs w:val="32"/>
              </w:rPr>
            </w:pPr>
            <w:r>
              <w:rPr>
                <w:rFonts w:hint="eastAsia" w:ascii="宋体" w:hAnsi="宋体" w:eastAsia="方正仿宋_GBK" w:cs="宋体"/>
                <w:color w:val="auto"/>
                <w:sz w:val="32"/>
              </w:rPr>
              <w:t>抄送：</w:t>
            </w:r>
            <w:r>
              <w:rPr>
                <w:rFonts w:hint="eastAsia" w:ascii="宋体" w:hAnsi="宋体" w:eastAsia="方正仿宋_GBK" w:cs="方正仿宋_GBK"/>
                <w:i w:val="0"/>
                <w:caps w:val="0"/>
                <w:color w:val="auto"/>
                <w:spacing w:val="0"/>
                <w:sz w:val="32"/>
                <w:szCs w:val="32"/>
                <w:u w:val="none"/>
                <w:shd w:val="clear" w:color="auto" w:fill="FFFFFF"/>
                <w:lang w:val="en-US" w:eastAsia="zh-CN"/>
              </w:rPr>
              <w:t>区纪委监委，区委办公室，区人大常委会办公室，区政协办公室，区委工作部门，区人武部，区法院，区检察院，群团组织，中央、省、市驻源城单位。</w:t>
            </w:r>
          </w:p>
        </w:tc>
      </w:tr>
      <w:tr w14:paraId="6F0CB21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23" w:type="dxa"/>
            <w:noWrap w:val="0"/>
            <w:vAlign w:val="center"/>
          </w:tcPr>
          <w:p w14:paraId="7D402C5A">
            <w:pPr>
              <w:widowControl w:val="0"/>
              <w:wordWrap/>
              <w:adjustRightInd/>
              <w:snapToGrid/>
              <w:spacing w:line="440" w:lineRule="exact"/>
              <w:ind w:left="0" w:leftChars="0"/>
              <w:textAlignment w:val="auto"/>
              <w:rPr>
                <w:rFonts w:ascii="宋体" w:hAnsi="宋体"/>
                <w:color w:val="auto"/>
                <w:sz w:val="32"/>
                <w:szCs w:val="32"/>
              </w:rPr>
            </w:pPr>
            <w:r>
              <w:rPr>
                <w:rFonts w:hint="eastAsia" w:ascii="宋体" w:hAnsi="宋体" w:eastAsia="方正仿宋_GBK" w:cs="方正仿宋_GBK"/>
                <w:color w:val="auto"/>
                <w:sz w:val="32"/>
                <w:szCs w:val="32"/>
                <w:lang w:val="en-US" w:eastAsia="zh-CN"/>
              </w:rPr>
              <w:t>源城区人民政府办公室               2025年5月17日印发</w:t>
            </w:r>
          </w:p>
        </w:tc>
      </w:tr>
    </w:tbl>
    <w:p w14:paraId="1A69F85E">
      <w:pPr>
        <w:spacing w:line="20" w:lineRule="exact"/>
        <w:rPr>
          <w:rFonts w:ascii="宋体" w:hAnsi="宋体"/>
          <w:color w:val="auto"/>
        </w:rPr>
      </w:pPr>
    </w:p>
    <w:p w14:paraId="099767BA">
      <w:pPr>
        <w:widowControl/>
        <w:spacing w:line="240" w:lineRule="auto"/>
        <w:jc w:val="left"/>
        <w:textAlignment w:val="center"/>
        <w:rPr>
          <w:rFonts w:hint="eastAsia" w:ascii="宋体" w:hAnsi="宋体" w:eastAsia="宋体" w:cs="宋体"/>
          <w:color w:val="auto"/>
          <w:kern w:val="0"/>
          <w:sz w:val="21"/>
          <w:szCs w:val="21"/>
          <w:u w:val="none"/>
          <w:lang w:val="en-US" w:eastAsia="zh-CN" w:bidi="ar"/>
        </w:rPr>
      </w:pPr>
    </w:p>
    <w:sectPr>
      <w:footerReference r:id="rId5" w:type="default"/>
      <w:pgSz w:w="11906" w:h="16838"/>
      <w:pgMar w:top="1984" w:right="1474" w:bottom="147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1D28BBB-3832-4B42-8C34-BCD216EF9F42}"/>
  </w:font>
  <w:font w:name="黑体">
    <w:panose1 w:val="02010609060101010101"/>
    <w:charset w:val="86"/>
    <w:family w:val="auto"/>
    <w:pitch w:val="default"/>
    <w:sig w:usb0="800002BF" w:usb1="38CF7CFA" w:usb2="00000016" w:usb3="00000000" w:csb0="00040001" w:csb1="00000000"/>
    <w:embedRegular r:id="rId2" w:fontKey="{B8C6D4F6-7491-45D5-B3F4-8CA336E5D2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ngsuh">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仿宋_GBK">
    <w:panose1 w:val="03000509000000000000"/>
    <w:charset w:val="86"/>
    <w:family w:val="auto"/>
    <w:pitch w:val="default"/>
    <w:sig w:usb0="00000001" w:usb1="080E0000" w:usb2="00000000" w:usb3="00000000" w:csb0="00040000" w:csb1="00000000"/>
    <w:embedRegular r:id="rId3" w:fontKey="{46B82578-9700-428A-9155-1D552635FC0F}"/>
  </w:font>
  <w:font w:name="方正小标宋_GBK">
    <w:panose1 w:val="03000509000000000000"/>
    <w:charset w:val="86"/>
    <w:family w:val="auto"/>
    <w:pitch w:val="default"/>
    <w:sig w:usb0="00000001" w:usb1="080E0000" w:usb2="00000000" w:usb3="00000000" w:csb0="00040000" w:csb1="00000000"/>
    <w:embedRegular r:id="rId4" w:fontKey="{2C887C9A-1516-4A76-83F1-D05D5BF6042A}"/>
  </w:font>
  <w:font w:name="方正楷体_GBK">
    <w:panose1 w:val="03000509000000000000"/>
    <w:charset w:val="86"/>
    <w:family w:val="auto"/>
    <w:pitch w:val="default"/>
    <w:sig w:usb0="00000001" w:usb1="080E0000" w:usb2="00000000" w:usb3="00000000" w:csb0="00040000" w:csb1="00000000"/>
    <w:embedRegular r:id="rId5" w:fontKey="{EF39105E-A314-4CE1-8DF0-A9767C43484C}"/>
  </w:font>
  <w:font w:name="仿宋_GB2312">
    <w:panose1 w:val="02010609030101010101"/>
    <w:charset w:val="86"/>
    <w:family w:val="auto"/>
    <w:pitch w:val="default"/>
    <w:sig w:usb0="00000001" w:usb1="080E0000" w:usb2="00000000" w:usb3="00000000" w:csb0="00040000" w:csb1="00000000"/>
    <w:embedRegular r:id="rId6" w:fontKey="{486D8A09-517D-401E-BD07-A230BDA2F2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06480">
    <w:pPr>
      <w:pStyle w:val="11"/>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11200" cy="264795"/>
              <wp:effectExtent l="0" t="0" r="0" b="0"/>
              <wp:wrapNone/>
              <wp:docPr id="1" name="文本框 2"/>
              <wp:cNvGraphicFramePr/>
              <a:graphic xmlns:a="http://schemas.openxmlformats.org/drawingml/2006/main">
                <a:graphicData uri="http://schemas.microsoft.com/office/word/2010/wordprocessingShape">
                  <wps:wsp>
                    <wps:cNvSpPr/>
                    <wps:spPr>
                      <a:xfrm>
                        <a:off x="0" y="0"/>
                        <a:ext cx="711199" cy="264764"/>
                      </a:xfrm>
                      <a:prstGeom prst="rect">
                        <a:avLst/>
                      </a:prstGeom>
                      <a:noFill/>
                      <a:ln w="6350" cap="flat" cmpd="sng">
                        <a:noFill/>
                        <a:prstDash val="solid"/>
                        <a:round/>
                      </a:ln>
                    </wps:spPr>
                    <wps:txbx>
                      <w:txbxContent>
                        <w:p w14:paraId="629A8A83">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0.85pt;width:56pt;mso-position-horizontal:outside;mso-position-horizontal-relative:margin;mso-wrap-style:none;z-index:251659264;mso-width-relative:page;mso-height-relative:page;" filled="f" stroked="f" coordsize="21600,21600" o:gfxdata="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RbUNcAAAAEAQAADwAAAAAAAAABACAAAAAiAAAAZHJz&#10;L2Rvd25yZXYueG1sUEsBAhQAFAAAAAgAh07iQO9U2bMFAgAA9AMAAA4AAAAAAAAAAQAgAAAAJgEA&#10;AGRycy9lMm9Eb2MueG1sUEsFBgAAAAAGAAYAWQEAAJ0FAAAAAA==&#10;">
              <v:fill on="f" focussize="0,0"/>
              <v:stroke on="f" weight="0.5pt" joinstyle="round"/>
              <v:imagedata o:title=""/>
              <o:lock v:ext="edit" aspectratio="f"/>
              <v:textbox inset="0mm,0mm,0mm,0mm" style="mso-fit-shape-to-text:t;">
                <w:txbxContent>
                  <w:p w14:paraId="629A8A83">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A3C76">
    <w:pPr>
      <w:pStyle w:val="11"/>
    </w:pPr>
    <w:r>
      <w:rPr>
        <w:sz w:val="18"/>
      </w:rP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711200" cy="264795"/>
              <wp:effectExtent l="0" t="0" r="0" b="0"/>
              <wp:wrapNone/>
              <wp:docPr id="3" name="文本框 2"/>
              <wp:cNvGraphicFramePr/>
              <a:graphic xmlns:a="http://schemas.openxmlformats.org/drawingml/2006/main">
                <a:graphicData uri="http://schemas.microsoft.com/office/word/2010/wordprocessingShape">
                  <wps:wsp>
                    <wps:cNvSpPr/>
                    <wps:spPr>
                      <a:xfrm>
                        <a:off x="0" y="0"/>
                        <a:ext cx="711199" cy="264764"/>
                      </a:xfrm>
                      <a:prstGeom prst="rect">
                        <a:avLst/>
                      </a:prstGeom>
                      <a:noFill/>
                      <a:ln w="6350" cap="flat" cmpd="sng">
                        <a:noFill/>
                        <a:prstDash val="solid"/>
                        <a:round/>
                      </a:ln>
                    </wps:spPr>
                    <wps:txbx>
                      <w:txbxContent>
                        <w:p w14:paraId="759F4363">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0.85pt;width:56pt;mso-position-horizontal:center;mso-position-horizontal-relative:margin;mso-wrap-style:none;z-index:251660288;mso-width-relative:page;mso-height-relative:page;" filled="f" stroked="f" coordsize="21600,21600" o:gfxdata="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RbUNcAAAAEAQAADwAAAAAAAAABACAAAAAiAAAAZHJz&#10;L2Rvd25yZXYueG1sUEsBAhQAFAAAAAgAh07iQAGIEVcFAgAA9AMAAA4AAAAAAAAAAQAgAAAAJgEA&#10;AGRycy9lMm9Eb2MueG1sUEsFBgAAAAAGAAYAWQEAAJ0FAAAAAA==&#10;">
              <v:fill on="f" focussize="0,0"/>
              <v:stroke on="f" weight="0.5pt" joinstyle="round"/>
              <v:imagedata o:title=""/>
              <o:lock v:ext="edit" aspectratio="f"/>
              <v:textbox inset="0mm,0mm,0mm,0mm" style="mso-fit-shape-to-text:t;">
                <w:txbxContent>
                  <w:p w14:paraId="759F4363">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D195A">
    <w:pPr>
      <w:pStyle w:val="11"/>
    </w:pPr>
    <w:r>
      <w:rPr>
        <w:sz w:val="18"/>
      </w:rPr>
      <mc:AlternateContent>
        <mc:Choice Requires="wps">
          <w:drawing>
            <wp:anchor distT="0" distB="0" distL="113665" distR="113665" simplePos="0" relativeHeight="251661312" behindDoc="0" locked="0" layoutInCell="1" allowOverlap="1">
              <wp:simplePos x="0" y="0"/>
              <wp:positionH relativeFrom="margin">
                <wp:align>outside</wp:align>
              </wp:positionH>
              <wp:positionV relativeFrom="paragraph">
                <wp:posOffset>0</wp:posOffset>
              </wp:positionV>
              <wp:extent cx="711200" cy="264795"/>
              <wp:effectExtent l="0" t="0" r="0" b="0"/>
              <wp:wrapNone/>
              <wp:docPr id="4" name="文本框 2"/>
              <wp:cNvGraphicFramePr/>
              <a:graphic xmlns:a="http://schemas.openxmlformats.org/drawingml/2006/main">
                <a:graphicData uri="http://schemas.microsoft.com/office/word/2010/wordprocessingShape">
                  <wps:wsp>
                    <wps:cNvSpPr/>
                    <wps:spPr>
                      <a:xfrm>
                        <a:off x="0" y="0"/>
                        <a:ext cx="711199" cy="264764"/>
                      </a:xfrm>
                      <a:prstGeom prst="rect">
                        <a:avLst/>
                      </a:prstGeom>
                      <a:noFill/>
                      <a:ln w="6350" cap="flat" cmpd="sng">
                        <a:noFill/>
                        <a:prstDash val="solid"/>
                        <a:round/>
                      </a:ln>
                    </wps:spPr>
                    <wps:txbx>
                      <w:txbxContent>
                        <w:p w14:paraId="51DAC4E9">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0.85pt;width:56pt;mso-position-horizontal:outside;mso-position-horizontal-relative:margin;mso-wrap-style:none;z-index:251661312;mso-width-relative:page;mso-height-relative:page;" filled="f" stroked="f" coordsize="21600,21600" o:gfxdata="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VFtQ1wAAAAQBAAAPAAAAAAAAAAEAIAAAACIAAABkcnMv&#10;ZG93bnJldi54bWxQSwECFAAUAAAACACHTuJABYVd0wQCAAD0AwAADgAAAAAAAAABACAAAAAmAQAA&#10;ZHJzL2Uyb0RvYy54bWxQSwUGAAAAAAYABgBZAQAAnAUAAAAA&#10;">
              <v:fill on="f" focussize="0,0"/>
              <v:stroke on="f" weight="0.5pt" joinstyle="round"/>
              <v:imagedata o:title=""/>
              <o:lock v:ext="edit" aspectratio="f"/>
              <v:textbox inset="0mm,0mm,0mm,0mm" style="mso-fit-shape-to-text:t;">
                <w:txbxContent>
                  <w:p w14:paraId="51DAC4E9">
                    <w:pPr>
                      <w:pStyle w:val="11"/>
                      <w:rPr>
                        <w:rFonts w:hint="eastAsia" w:ascii="宋体" w:eastAsia="宋体" w:cs="宋体"/>
                        <w:sz w:val="28"/>
                        <w:szCs w:val="28"/>
                        <w:lang w:eastAsia="zh-CN"/>
                      </w:rPr>
                    </w:pPr>
                    <w:r>
                      <w:rPr>
                        <w:rFonts w:hint="eastAsia" w:ascii="宋体" w:cs="宋体"/>
                        <w:sz w:val="28"/>
                        <w:szCs w:val="28"/>
                        <w:lang w:eastAsia="zh-CN"/>
                      </w:rPr>
                      <w:t xml:space="preserve">— </w:t>
                    </w:r>
                    <w:r>
                      <w:rPr>
                        <w:rFonts w:hint="eastAsia" w:ascii="宋体" w:cs="宋体"/>
                        <w:sz w:val="28"/>
                        <w:szCs w:val="28"/>
                        <w:lang w:eastAsia="zh-CN"/>
                      </w:rPr>
                      <w:fldChar w:fldCharType="begin"/>
                    </w:r>
                    <w:r>
                      <w:rPr>
                        <w:rFonts w:hint="eastAsia" w:ascii="宋体" w:cs="宋体"/>
                        <w:sz w:val="28"/>
                        <w:szCs w:val="28"/>
                        <w:lang w:eastAsia="zh-CN"/>
                      </w:rPr>
                      <w:instrText xml:space="preserve"> PAGE  \* MERGEFORMAT </w:instrText>
                    </w:r>
                    <w:r>
                      <w:rPr>
                        <w:rFonts w:hint="eastAsia" w:ascii="宋体" w:cs="宋体"/>
                        <w:sz w:val="28"/>
                        <w:szCs w:val="28"/>
                        <w:lang w:eastAsia="zh-CN"/>
                      </w:rPr>
                      <w:fldChar w:fldCharType="separate"/>
                    </w:r>
                    <w:r>
                      <w:rPr>
                        <w:rFonts w:hint="eastAsia" w:ascii="宋体" w:cs="宋体"/>
                        <w:sz w:val="28"/>
                        <w:szCs w:val="28"/>
                        <w:lang w:eastAsia="zh-CN"/>
                      </w:rPr>
                      <w:t>- 1 -</w:t>
                    </w:r>
                    <w:r>
                      <w:rPr>
                        <w:rFonts w:hint="eastAsia" w:ascii="宋体" w:cs="宋体"/>
                        <w:sz w:val="28"/>
                        <w:szCs w:val="28"/>
                        <w:lang w:eastAsia="zh-CN"/>
                      </w:rPr>
                      <w:fldChar w:fldCharType="end"/>
                    </w:r>
                    <w:r>
                      <w:rPr>
                        <w:rFonts w:hint="eastAsia" w:ascii="宋体" w:cs="宋体"/>
                        <w:sz w:val="28"/>
                        <w:szCs w:val="28"/>
                        <w:lang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49A70"/>
    <w:multiLevelType w:val="multilevel"/>
    <w:tmpl w:val="ACE49A70"/>
    <w:lvl w:ilvl="0" w:tentative="0">
      <w:start w:val="1"/>
      <w:numFmt w:val="ideographDigital"/>
      <w:pStyle w:val="1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2JmZmFmNmUwMzhiNWRjMTI1ZWMyYzAyZTc5ZDk3ODAifQ=="/>
    <w:docVar w:name="KSO_WPS_MARK_KEY" w:val="d047b463-7c12-43e5-9b14-a0faf7e508a5"/>
  </w:docVars>
  <w:rsids>
    <w:rsidRoot w:val="00000000"/>
    <w:rsid w:val="00236086"/>
    <w:rsid w:val="018B3301"/>
    <w:rsid w:val="0233665A"/>
    <w:rsid w:val="057D48A6"/>
    <w:rsid w:val="06C906C4"/>
    <w:rsid w:val="093C3158"/>
    <w:rsid w:val="0BF13870"/>
    <w:rsid w:val="0CCD6351"/>
    <w:rsid w:val="0E7F7551"/>
    <w:rsid w:val="0E8B6194"/>
    <w:rsid w:val="0F0B5E20"/>
    <w:rsid w:val="0F300A90"/>
    <w:rsid w:val="0FCB2857"/>
    <w:rsid w:val="13F70AF1"/>
    <w:rsid w:val="153731DC"/>
    <w:rsid w:val="16F57539"/>
    <w:rsid w:val="1C0B7AC0"/>
    <w:rsid w:val="1D6D539C"/>
    <w:rsid w:val="1E423150"/>
    <w:rsid w:val="1EC65F9B"/>
    <w:rsid w:val="1FAE5AB2"/>
    <w:rsid w:val="214C413F"/>
    <w:rsid w:val="23535E7A"/>
    <w:rsid w:val="275E568B"/>
    <w:rsid w:val="27843892"/>
    <w:rsid w:val="2892303F"/>
    <w:rsid w:val="29312050"/>
    <w:rsid w:val="29D27B0B"/>
    <w:rsid w:val="2B5C4254"/>
    <w:rsid w:val="2BDE3FB1"/>
    <w:rsid w:val="2CA500C0"/>
    <w:rsid w:val="2D3B4D0C"/>
    <w:rsid w:val="2F5D58DD"/>
    <w:rsid w:val="30245AD9"/>
    <w:rsid w:val="315334A8"/>
    <w:rsid w:val="32C044F7"/>
    <w:rsid w:val="362F0C63"/>
    <w:rsid w:val="36364704"/>
    <w:rsid w:val="36C0059E"/>
    <w:rsid w:val="3B7F6E24"/>
    <w:rsid w:val="3C110310"/>
    <w:rsid w:val="3D026478"/>
    <w:rsid w:val="3D0869DD"/>
    <w:rsid w:val="404846C1"/>
    <w:rsid w:val="42BE5D40"/>
    <w:rsid w:val="435F3D91"/>
    <w:rsid w:val="47775FCA"/>
    <w:rsid w:val="47F5469D"/>
    <w:rsid w:val="4A193FFE"/>
    <w:rsid w:val="4CF45069"/>
    <w:rsid w:val="500958C0"/>
    <w:rsid w:val="549357EE"/>
    <w:rsid w:val="571A57A6"/>
    <w:rsid w:val="583D7570"/>
    <w:rsid w:val="58A17BE3"/>
    <w:rsid w:val="59095423"/>
    <w:rsid w:val="5E4C5D2D"/>
    <w:rsid w:val="5E6302DF"/>
    <w:rsid w:val="602E04B5"/>
    <w:rsid w:val="60BB43B2"/>
    <w:rsid w:val="619A54D8"/>
    <w:rsid w:val="62901A90"/>
    <w:rsid w:val="64B83DE8"/>
    <w:rsid w:val="65003A9F"/>
    <w:rsid w:val="652E7F95"/>
    <w:rsid w:val="657E587A"/>
    <w:rsid w:val="67B270A6"/>
    <w:rsid w:val="698C18C6"/>
    <w:rsid w:val="6AC4366D"/>
    <w:rsid w:val="6BB604F9"/>
    <w:rsid w:val="6C86253B"/>
    <w:rsid w:val="6DFD42F9"/>
    <w:rsid w:val="6E564285"/>
    <w:rsid w:val="6E6C3F36"/>
    <w:rsid w:val="711C1026"/>
    <w:rsid w:val="7321253B"/>
    <w:rsid w:val="75005B67"/>
    <w:rsid w:val="759222C5"/>
    <w:rsid w:val="75CB1DF3"/>
    <w:rsid w:val="79B20A92"/>
    <w:rsid w:val="79F51BE0"/>
    <w:rsid w:val="7CD30E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7">
    <w:name w:val="heading 3"/>
    <w:basedOn w:val="1"/>
    <w:next w:val="1"/>
    <w:qFormat/>
    <w:uiPriority w:val="0"/>
    <w:pPr>
      <w:spacing w:line="360" w:lineRule="auto"/>
      <w:outlineLvl w:val="2"/>
    </w:pPr>
    <w:rPr>
      <w:rFonts w:ascii="楷体_GB2312" w:eastAsia="楷体_GB2312"/>
      <w:b/>
      <w:kern w:val="2"/>
      <w:sz w:val="30"/>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200" w:leftChars="200"/>
    </w:p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Normal Indent"/>
    <w:basedOn w:val="1"/>
    <w:qFormat/>
    <w:uiPriority w:val="0"/>
    <w:pPr>
      <w:ind w:firstLine="200" w:firstLineChars="200"/>
    </w:pPr>
  </w:style>
  <w:style w:type="paragraph" w:styleId="9">
    <w:name w:val="Body Text"/>
    <w:basedOn w:val="1"/>
    <w:next w:val="1"/>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styleId="10">
    <w:name w:val="Plain Text"/>
    <w:basedOn w:val="1"/>
    <w:qFormat/>
    <w:uiPriority w:val="0"/>
    <w:rPr>
      <w:rFonts w:ascii="宋体"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2"/>
    <w:basedOn w:val="1"/>
    <w:next w:val="1"/>
    <w:qFormat/>
    <w:uiPriority w:val="0"/>
    <w:pPr>
      <w:widowControl w:val="0"/>
      <w:ind w:left="200" w:leftChars="200"/>
      <w:jc w:val="both"/>
    </w:pPr>
    <w:rPr>
      <w:rFonts w:ascii="Calibri" w:hAnsi="Calibri" w:eastAsia="宋体" w:cs="Arial"/>
      <w:kern w:val="2"/>
      <w:sz w:val="21"/>
      <w:szCs w:val="24"/>
      <w:lang w:val="en-US" w:eastAsia="zh-CN" w:bidi="ar-SA"/>
    </w:rPr>
  </w:style>
  <w:style w:type="paragraph" w:styleId="13">
    <w:name w:val="Normal (Web)"/>
    <w:basedOn w:val="1"/>
    <w:qFormat/>
    <w:uiPriority w:val="0"/>
    <w:pPr>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w:basedOn w:val="1"/>
    <w:qFormat/>
    <w:uiPriority w:val="0"/>
    <w:pPr>
      <w:jc w:val="both"/>
    </w:pPr>
    <w:rPr>
      <w:rFonts w:ascii="Times New Roman" w:hAnsi="Times New Roman" w:cs="Times New Roman"/>
      <w:color w:val="auto"/>
      <w:kern w:val="2"/>
      <w:sz w:val="21"/>
      <w:lang w:val="en-US" w:eastAsia="zh-CN"/>
    </w:rPr>
  </w:style>
  <w:style w:type="paragraph" w:customStyle="1" w:styleId="18">
    <w:name w:val="Heading3"/>
    <w:basedOn w:val="1"/>
    <w:next w:val="1"/>
    <w:qFormat/>
    <w:uiPriority w:val="0"/>
    <w:pPr>
      <w:keepNext/>
      <w:keepLines/>
      <w:widowControl w:val="0"/>
      <w:spacing w:before="120" w:after="120" w:line="360" w:lineRule="auto"/>
      <w:jc w:val="left"/>
      <w:textAlignment w:val="baseline"/>
    </w:pPr>
    <w:rPr>
      <w:rFonts w:cs="Times New Roman"/>
      <w:b/>
      <w:bCs/>
      <w:kern w:val="2"/>
      <w:sz w:val="30"/>
      <w:szCs w:val="32"/>
      <w:lang w:val="en-US" w:eastAsia="zh-CN" w:bidi="ar-SA"/>
    </w:rPr>
  </w:style>
  <w:style w:type="paragraph" w:customStyle="1" w:styleId="19">
    <w:name w:val="Heading1"/>
    <w:basedOn w:val="1"/>
    <w:next w:val="1"/>
    <w:qFormat/>
    <w:uiPriority w:val="0"/>
    <w:pPr>
      <w:keepNext/>
      <w:keepLines/>
      <w:widowControl w:val="0"/>
      <w:numPr>
        <w:ilvl w:val="0"/>
        <w:numId w:val="1"/>
      </w:numPr>
      <w:jc w:val="both"/>
      <w:textAlignment w:val="baseline"/>
    </w:pPr>
    <w:rPr>
      <w:rFonts w:ascii="Times New Roman" w:hAnsi="Times New Roman" w:eastAsia="黑体" w:cs="Times New Roman"/>
      <w:bCs/>
      <w:kern w:val="44"/>
      <w:sz w:val="30"/>
      <w:szCs w:val="44"/>
      <w:lang w:val="en-US" w:eastAsia="zh-CN" w:bidi="ar-SA"/>
    </w:rPr>
  </w:style>
  <w:style w:type="paragraph" w:customStyle="1" w:styleId="20">
    <w:name w:val="Body text"/>
    <w:basedOn w:val="1"/>
    <w:qFormat/>
    <w:uiPriority w:val="0"/>
    <w:pPr>
      <w:shd w:val="clear" w:color="auto" w:fill="FFFFFF"/>
      <w:spacing w:line="601" w:lineRule="exact"/>
      <w:jc w:val="distribute"/>
    </w:pPr>
    <w:rPr>
      <w:rFonts w:ascii="MingLiU" w:hAnsi="MingLiU" w:eastAsia="MingLiU" w:cs="MingLiU"/>
      <w:color w:val="auto"/>
      <w:spacing w:val="10"/>
      <w:sz w:val="31"/>
      <w:szCs w:val="31"/>
      <w:lang w:val="en-US" w:eastAsia="zh-CN"/>
    </w:rPr>
  </w:style>
  <w:style w:type="character" w:customStyle="1" w:styleId="21">
    <w:name w:val="Body text + Gungsuh"/>
    <w:qFormat/>
    <w:uiPriority w:val="0"/>
    <w:rPr>
      <w:rFonts w:ascii="Gungsuh" w:hAnsi="Gungsuh" w:eastAsia="Gungsuh" w:cs="Gungsuh"/>
      <w:b/>
      <w:bCs/>
      <w:spacing w:val="0"/>
      <w:sz w:val="30"/>
      <w:szCs w:val="30"/>
    </w:rPr>
  </w:style>
  <w:style w:type="paragraph" w:customStyle="1" w:styleId="22">
    <w:name w:val="Body Text First Indent 21"/>
    <w:basedOn w:val="1"/>
    <w:qFormat/>
    <w:uiPriority w:val="0"/>
    <w:pPr>
      <w:widowControl w:val="0"/>
      <w:ind w:firstLine="200" w:firstLineChars="200"/>
      <w:jc w:val="both"/>
    </w:pPr>
    <w:rPr>
      <w:rFonts w:ascii="Calibri" w:hAnsi="Calibri" w:eastAsia="宋体" w:cs="Times New Roman"/>
      <w:kern w:val="2"/>
      <w:sz w:val="28"/>
      <w:szCs w:val="20"/>
      <w:lang w:val="en-US" w:eastAsia="zh-CN" w:bidi="ar-SA"/>
    </w:rPr>
  </w:style>
  <w:style w:type="paragraph" w:customStyle="1" w:styleId="23">
    <w:name w:val="BodyText1I2"/>
    <w:basedOn w:val="1"/>
    <w:qFormat/>
    <w:uiPriority w:val="0"/>
    <w:pPr>
      <w:widowControl w:val="0"/>
      <w:spacing w:line="620" w:lineRule="exact"/>
      <w:ind w:firstLine="200" w:firstLineChars="200"/>
      <w:jc w:val="both"/>
      <w:textAlignment w:val="baseline"/>
    </w:pPr>
    <w:rPr>
      <w:rFonts w:ascii="Times New Roman" w:hAnsi="Times New Roman" w:eastAsia="宋体" w:cs="Arial"/>
      <w:kern w:val="2"/>
      <w:sz w:val="32"/>
      <w:szCs w:val="24"/>
      <w:lang w:val="en-US" w:eastAsia="zh-CN" w:bidi="ar-SA"/>
    </w:rPr>
  </w:style>
  <w:style w:type="character" w:customStyle="1" w:styleId="24">
    <w:name w:val="font51"/>
    <w:basedOn w:val="16"/>
    <w:qFormat/>
    <w:uiPriority w:val="0"/>
    <w:rPr>
      <w:rFonts w:hint="eastAsia" w:ascii="宋体" w:hAnsi="宋体" w:eastAsia="宋体" w:cs="宋体"/>
      <w:color w:val="000000"/>
      <w:sz w:val="20"/>
      <w:szCs w:val="20"/>
      <w:u w:val="none"/>
    </w:rPr>
  </w:style>
  <w:style w:type="character" w:customStyle="1" w:styleId="25">
    <w:name w:val="font161"/>
    <w:basedOn w:val="16"/>
    <w:qFormat/>
    <w:uiPriority w:val="0"/>
    <w:rPr>
      <w:rFonts w:ascii="方正仿宋_GBK" w:hAnsi="方正仿宋_GBK" w:eastAsia="方正仿宋_GBK" w:cs="方正仿宋_GBK"/>
      <w:color w:val="000000"/>
      <w:sz w:val="20"/>
      <w:szCs w:val="20"/>
      <w:u w:val="none"/>
    </w:rPr>
  </w:style>
  <w:style w:type="character" w:customStyle="1" w:styleId="26">
    <w:name w:val="font91"/>
    <w:basedOn w:val="16"/>
    <w:qFormat/>
    <w:uiPriority w:val="0"/>
    <w:rPr>
      <w:rFonts w:hint="eastAsia" w:ascii="宋体" w:hAnsi="宋体" w:eastAsia="宋体" w:cs="宋体"/>
      <w:color w:val="000000"/>
      <w:sz w:val="20"/>
      <w:szCs w:val="20"/>
      <w:u w:val="none"/>
    </w:rPr>
  </w:style>
  <w:style w:type="character" w:customStyle="1" w:styleId="27">
    <w:name w:val="font171"/>
    <w:basedOn w:val="16"/>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河源市发展改革局</Company>
  <Pages>55</Pages>
  <Words>11679</Words>
  <Characters>12786</Characters>
  <Lines>291</Lines>
  <Paragraphs>43</Paragraphs>
  <TotalTime>4</TotalTime>
  <ScaleCrop>false</ScaleCrop>
  <LinksUpToDate>false</LinksUpToDate>
  <CharactersWithSpaces>12830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2021-12-23T07:22:00Z</dcterms:created>
  <dc:creator>hp</dc:creator>
  <cp:lastModifiedBy>Jilly</cp:lastModifiedBy>
  <cp:lastPrinted>2025-05-19T07:53:00Z</cp:lastPrinted>
  <dcterms:modified xsi:type="dcterms:W3CDTF">2025-07-29T02:21:48Z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C54A805B9E1F43DD8896EAD3A7FE1AC1_13</vt:lpwstr>
  </property>
  <property fmtid="{D5CDD505-2E9C-101B-9397-08002B2CF9AE}" pid="4" name="commondata">
    <vt:lpwstr>eyJoZGlkIjoiNWJkMjI5NTdiMTZlOWE2OGM5ZTExOWY2NjZkNTBkMmEifQ==</vt:lpwstr>
  </property>
  <property fmtid="{D5CDD505-2E9C-101B-9397-08002B2CF9AE}" pid="5" name="ribbonExt">
    <vt:lpwstr>{"WPSExtOfficeTab":{"OnGetEnabled":false,"OnGetVisible":false}}</vt:lpwstr>
  </property>
  <property fmtid="{D5CDD505-2E9C-101B-9397-08002B2CF9AE}" pid="6" name="KSOTemplateDocerSaveRecord">
    <vt:lpwstr>eyJoZGlkIjoiZDY2ZTViMDI3MTIyOGJhZTUyM2MwY2MzZTQwOTk1ZGQiLCJ1c2VySWQiOiI4MDg1NjQ2NDMifQ==</vt:lpwstr>
  </property>
</Properties>
</file>