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方正小标宋简体" w:cs="Times New Roman"/>
          <w:sz w:val="44"/>
          <w:szCs w:val="44"/>
        </w:rPr>
      </w:pPr>
      <w:bookmarkStart w:id="0" w:name="_Toc17293"/>
    </w:p>
    <w:p>
      <w:pPr>
        <w:ind w:firstLine="0" w:firstLineChars="0"/>
        <w:jc w:val="center"/>
        <w:rPr>
          <w:rFonts w:eastAsia="方正小标宋简体" w:cs="Times New Roman"/>
          <w:sz w:val="44"/>
          <w:szCs w:val="44"/>
        </w:rPr>
      </w:pPr>
      <w:r>
        <w:rPr>
          <w:rFonts w:eastAsia="方正小标宋简体" w:cs="Times New Roman"/>
          <w:sz w:val="44"/>
          <w:szCs w:val="44"/>
        </w:rPr>
        <w:t>河源市源城区202</w:t>
      </w:r>
      <w:r>
        <w:rPr>
          <w:rFonts w:hint="eastAsia" w:eastAsia="方正小标宋简体" w:cs="Times New Roman"/>
          <w:sz w:val="44"/>
          <w:szCs w:val="44"/>
          <w:lang w:val="en-US" w:eastAsia="zh-CN"/>
        </w:rPr>
        <w:t>5</w:t>
      </w:r>
      <w:r>
        <w:rPr>
          <w:rFonts w:eastAsia="方正小标宋简体" w:cs="Times New Roman"/>
          <w:sz w:val="44"/>
          <w:szCs w:val="44"/>
        </w:rPr>
        <w:t>年度土地征收成片</w:t>
      </w:r>
    </w:p>
    <w:p>
      <w:pPr>
        <w:ind w:firstLine="0" w:firstLineChars="0"/>
        <w:jc w:val="center"/>
        <w:rPr>
          <w:rFonts w:ascii="Times New Roman" w:hAnsi="Times New Roman" w:eastAsia="仿宋_GB2312" w:cs="Times New Roman"/>
          <w:sz w:val="32"/>
          <w:szCs w:val="28"/>
        </w:rPr>
      </w:pPr>
      <w:r>
        <w:rPr>
          <w:rFonts w:eastAsia="方正小标宋简体" w:cs="Times New Roman"/>
          <w:sz w:val="44"/>
          <w:szCs w:val="44"/>
        </w:rPr>
        <w:t>开发方案</w:t>
      </w:r>
      <w:r>
        <w:rPr>
          <w:rFonts w:hint="eastAsia" w:eastAsia="方正小标宋简体" w:cs="Times New Roman"/>
          <w:sz w:val="44"/>
          <w:szCs w:val="44"/>
        </w:rPr>
        <w:t>（第一批）</w:t>
      </w:r>
      <w:r>
        <w:rPr>
          <w:rFonts w:hint="eastAsia" w:eastAsia="方正小标宋简体" w:cs="Times New Roman"/>
          <w:sz w:val="44"/>
          <w:szCs w:val="44"/>
          <w:lang w:eastAsia="zh-CN"/>
        </w:rPr>
        <w:t>（</w:t>
      </w:r>
      <w:r>
        <w:rPr>
          <w:rFonts w:hint="eastAsia" w:eastAsia="方正小标宋简体" w:cs="Times New Roman"/>
          <w:sz w:val="44"/>
          <w:szCs w:val="44"/>
          <w:lang w:val="en-US" w:eastAsia="zh-CN"/>
        </w:rPr>
        <w:t>征求意见稿</w:t>
      </w:r>
      <w:r>
        <w:rPr>
          <w:rFonts w:hint="eastAsia" w:eastAsia="方正小标宋简体" w:cs="Times New Roman"/>
          <w:sz w:val="44"/>
          <w:szCs w:val="44"/>
          <w:lang w:eastAsia="zh-CN"/>
        </w:rPr>
        <w:t>）</w:t>
      </w:r>
    </w:p>
    <w:p>
      <w:pPr>
        <w:pStyle w:val="4"/>
        <w:ind w:firstLine="0" w:firstLineChars="0"/>
        <w:rPr>
          <w:rFonts w:ascii="Times New Roman" w:hAnsi="Times New Roman" w:eastAsia="仿宋_GB2312" w:cs="Times New Roman"/>
          <w:sz w:val="32"/>
          <w:szCs w:val="28"/>
        </w:rPr>
      </w:pPr>
    </w:p>
    <w:p>
      <w:pPr>
        <w:pStyle w:val="4"/>
        <w:ind w:firstLine="0" w:firstLineChars="0"/>
        <w:rPr>
          <w:rFonts w:hint="default" w:ascii="Times New Roman" w:hAnsi="Times New Roman" w:eastAsia="仿宋_GB2312" w:cs="Times New Roman"/>
          <w:sz w:val="32"/>
          <w:szCs w:val="28"/>
          <w:lang w:val="en-US" w:eastAsia="zh-CN"/>
        </w:rPr>
      </w:pPr>
      <w:r>
        <w:rPr>
          <w:rFonts w:ascii="Times New Roman" w:hAnsi="Times New Roman" w:eastAsia="仿宋_GB2312" w:cs="Times New Roman"/>
          <w:sz w:val="32"/>
          <w:szCs w:val="28"/>
        </w:rPr>
        <w:t>一、</w:t>
      </w:r>
      <w:bookmarkEnd w:id="0"/>
      <w:r>
        <w:rPr>
          <w:rFonts w:hint="eastAsia" w:ascii="Times New Roman" w:hAnsi="Times New Roman" w:eastAsia="仿宋_GB2312" w:cs="Times New Roman"/>
          <w:sz w:val="32"/>
          <w:szCs w:val="28"/>
          <w:lang w:val="en-US" w:eastAsia="zh-CN"/>
        </w:rPr>
        <w:t>基本情况</w:t>
      </w:r>
    </w:p>
    <w:p>
      <w:pPr>
        <w:ind w:firstLine="560"/>
        <w:rPr>
          <w:rFonts w:hint="default" w:eastAsia="仿宋_GB2312" w:cs="Times New Roman"/>
          <w:lang w:val="en-US" w:eastAsia="zh-CN"/>
        </w:rPr>
      </w:pPr>
      <w:r>
        <w:rPr>
          <w:rFonts w:eastAsia="仿宋_GB2312" w:cs="Times New Roman"/>
        </w:rPr>
        <w:t>为落实</w:t>
      </w:r>
      <w:r>
        <w:rPr>
          <w:rFonts w:hint="eastAsia" w:eastAsia="仿宋_GB2312" w:cs="Times New Roman"/>
        </w:rPr>
        <w:t>按照《中华人民共和国土地管理法》《土地征收成片开发标准》（自然资规〔2023〕7号）《广东省自然资源厅关于进一步规范土地征收成片开发工作的通知》（粤自然资规字〔2024〕7号）</w:t>
      </w:r>
      <w:r>
        <w:rPr>
          <w:rFonts w:eastAsia="仿宋_GB2312" w:cs="Times New Roman"/>
        </w:rPr>
        <w:t>等相关法律法规及规范性文件要求，</w:t>
      </w:r>
      <w:r>
        <w:rPr>
          <w:rFonts w:hint="eastAsia" w:eastAsia="仿宋_GB2312" w:cs="Times New Roman"/>
        </w:rPr>
        <w:t>维护</w:t>
      </w:r>
      <w:r>
        <w:rPr>
          <w:rFonts w:eastAsia="仿宋_GB2312" w:cs="Times New Roman"/>
        </w:rPr>
        <w:t>被征地农民合法权益，</w:t>
      </w:r>
      <w:r>
        <w:rPr>
          <w:rFonts w:hint="eastAsia" w:eastAsia="仿宋_GB2312" w:cs="Times New Roman"/>
        </w:rPr>
        <w:t>保障</w:t>
      </w:r>
      <w:r>
        <w:rPr>
          <w:rFonts w:eastAsia="仿宋_GB2312" w:cs="Times New Roman"/>
        </w:rPr>
        <w:t>重点项目落地，促进土地资源节约、集约、高效利用，提高当地居民生活水平，推动</w:t>
      </w:r>
      <w:r>
        <w:rPr>
          <w:rFonts w:hint="eastAsia" w:eastAsia="仿宋_GB2312" w:cs="Times New Roman"/>
        </w:rPr>
        <w:t>河源市</w:t>
      </w:r>
      <w:r>
        <w:rPr>
          <w:rFonts w:eastAsia="仿宋_GB2312" w:cs="Times New Roman"/>
        </w:rPr>
        <w:t>源城区、河源市高新技术开发区</w:t>
      </w:r>
      <w:r>
        <w:rPr>
          <w:rFonts w:hint="eastAsia" w:eastAsia="仿宋_GB2312" w:cs="Times New Roman"/>
        </w:rPr>
        <w:t>和</w:t>
      </w:r>
      <w:r>
        <w:rPr>
          <w:rFonts w:eastAsia="仿宋_GB2312" w:cs="Times New Roman"/>
        </w:rPr>
        <w:t>江东新区实现高质量发展，结合《河源市源城区国民经济和社会发展第十四个五年规划和2035年远景目标纲要》、《河源市高新区国民经济和社会发展第十四个五年规划（2021-2025）》、《河源江东新区国民经济和社会发展第十四个五年规划和二</w:t>
      </w:r>
      <w:r>
        <w:rPr>
          <w:rFonts w:eastAsia="微软雅黑" w:cs="Times New Roman"/>
        </w:rPr>
        <w:t>〇</w:t>
      </w:r>
      <w:r>
        <w:rPr>
          <w:rFonts w:eastAsia="仿宋_GB2312" w:cs="Times New Roman"/>
        </w:rPr>
        <w:t>三五年远景目标纲要》</w:t>
      </w:r>
      <w:r>
        <w:rPr>
          <w:rFonts w:hint="eastAsia" w:eastAsia="仿宋_GB2312" w:cs="Times New Roman"/>
        </w:rPr>
        <w:t>和</w:t>
      </w:r>
      <w:r>
        <w:rPr>
          <w:rFonts w:hint="eastAsia" w:eastAsia="仿宋_GB2312" w:cs="Times New Roman"/>
          <w:lang w:val="en-US" w:eastAsia="zh-CN"/>
        </w:rPr>
        <w:t>河源市</w:t>
      </w:r>
      <w:r>
        <w:rPr>
          <w:rFonts w:eastAsia="仿宋_GB2312" w:cs="Times New Roman"/>
        </w:rPr>
        <w:t>国土空间</w:t>
      </w:r>
      <w:r>
        <w:rPr>
          <w:rFonts w:hint="eastAsia" w:eastAsia="仿宋_GB2312" w:cs="Times New Roman"/>
          <w:lang w:val="en-US" w:eastAsia="zh-CN"/>
        </w:rPr>
        <w:t>总体</w:t>
      </w:r>
      <w:r>
        <w:rPr>
          <w:rFonts w:eastAsia="仿宋_GB2312" w:cs="Times New Roman"/>
        </w:rPr>
        <w:t>规划等</w:t>
      </w:r>
      <w:r>
        <w:rPr>
          <w:rFonts w:hint="eastAsia" w:eastAsia="仿宋_GB2312" w:cs="Times New Roman"/>
        </w:rPr>
        <w:t>情况</w:t>
      </w:r>
      <w:r>
        <w:rPr>
          <w:rFonts w:eastAsia="仿宋_GB2312" w:cs="Times New Roman"/>
        </w:rPr>
        <w:t>，我区组织编制了《河源市源城区202</w:t>
      </w:r>
      <w:r>
        <w:rPr>
          <w:rFonts w:hint="eastAsia" w:eastAsia="仿宋_GB2312" w:cs="Times New Roman"/>
          <w:lang w:val="en-US" w:eastAsia="zh-CN"/>
        </w:rPr>
        <w:t>5</w:t>
      </w:r>
      <w:r>
        <w:rPr>
          <w:rFonts w:eastAsia="仿宋_GB2312" w:cs="Times New Roman"/>
        </w:rPr>
        <w:t>年度土地征收成片开发方案</w:t>
      </w:r>
      <w:r>
        <w:rPr>
          <w:rFonts w:hint="eastAsia" w:eastAsia="仿宋_GB2312" w:cs="Times New Roman"/>
        </w:rPr>
        <w:t>（第一批）</w:t>
      </w:r>
      <w:r>
        <w:rPr>
          <w:rFonts w:eastAsia="仿宋_GB2312" w:cs="Times New Roman"/>
        </w:rPr>
        <w:t>》（以下简称</w:t>
      </w:r>
      <w:r>
        <w:rPr>
          <w:rFonts w:hint="eastAsia" w:eastAsia="仿宋_GB2312" w:cs="Times New Roman"/>
          <w:lang w:eastAsia="zh-CN"/>
        </w:rPr>
        <w:t>“</w:t>
      </w:r>
      <w:r>
        <w:rPr>
          <w:rFonts w:eastAsia="仿宋_GB2312" w:cs="Times New Roman"/>
        </w:rPr>
        <w:t>《方案》</w:t>
      </w:r>
      <w:r>
        <w:rPr>
          <w:rFonts w:hint="eastAsia" w:eastAsia="仿宋_GB2312" w:cs="Times New Roman"/>
          <w:lang w:eastAsia="zh-CN"/>
        </w:rPr>
        <w:t>”</w:t>
      </w:r>
      <w:r>
        <w:rPr>
          <w:rFonts w:eastAsia="仿宋_GB2312" w:cs="Times New Roman"/>
        </w:rPr>
        <w:t>）。</w:t>
      </w:r>
      <w:r>
        <w:rPr>
          <w:rFonts w:hint="eastAsia" w:eastAsia="仿宋_GB2312" w:cs="Times New Roman"/>
          <w:lang w:eastAsia="zh-CN"/>
        </w:rPr>
        <w:t>《</w:t>
      </w:r>
      <w:r>
        <w:rPr>
          <w:rFonts w:hint="eastAsia" w:eastAsia="仿宋_GB2312" w:cs="Times New Roman"/>
          <w:lang w:val="en-US" w:eastAsia="zh-CN"/>
        </w:rPr>
        <w:t>方案</w:t>
      </w:r>
      <w:r>
        <w:rPr>
          <w:rFonts w:hint="eastAsia" w:eastAsia="仿宋_GB2312" w:cs="Times New Roman"/>
          <w:lang w:eastAsia="zh-CN"/>
        </w:rPr>
        <w:t>》</w:t>
      </w:r>
      <w:r>
        <w:rPr>
          <w:rFonts w:hint="eastAsia" w:eastAsia="仿宋_GB2312" w:cs="Times New Roman"/>
          <w:lang w:val="en-US" w:eastAsia="zh-CN"/>
        </w:rPr>
        <w:t>内容如下：</w:t>
      </w:r>
    </w:p>
    <w:p>
      <w:pPr>
        <w:pStyle w:val="4"/>
        <w:ind w:firstLine="0" w:firstLineChars="0"/>
        <w:rPr>
          <w:rFonts w:hint="default" w:ascii="Times New Roman" w:hAnsi="Times New Roman" w:eastAsia="仿宋_GB2312" w:cs="Times New Roman"/>
          <w:lang w:val="en-US" w:eastAsia="zh-CN"/>
        </w:rPr>
      </w:pPr>
      <w:bookmarkStart w:id="1" w:name="_Toc12837"/>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一</w:t>
      </w:r>
      <w:r>
        <w:rPr>
          <w:rFonts w:hint="eastAsia" w:ascii="Times New Roman" w:hAnsi="Times New Roman" w:eastAsia="仿宋_GB2312" w:cs="Times New Roman"/>
          <w:lang w:eastAsia="zh-CN"/>
        </w:rPr>
        <w:t>）</w:t>
      </w:r>
      <w:r>
        <w:rPr>
          <w:rFonts w:ascii="Times New Roman" w:hAnsi="Times New Roman" w:eastAsia="仿宋_GB2312" w:cs="Times New Roman"/>
        </w:rPr>
        <w:t>成片开发</w:t>
      </w:r>
      <w:bookmarkEnd w:id="1"/>
      <w:r>
        <w:rPr>
          <w:rFonts w:hint="eastAsia" w:ascii="Times New Roman" w:hAnsi="Times New Roman" w:eastAsia="仿宋_GB2312" w:cs="Times New Roman"/>
          <w:lang w:val="en-US" w:eastAsia="zh-CN"/>
        </w:rPr>
        <w:t>范围基本情况</w:t>
      </w:r>
    </w:p>
    <w:p>
      <w:pPr>
        <w:ind w:firstLine="560"/>
        <w:rPr>
          <w:rFonts w:hint="eastAsia" w:eastAsia="仿宋_GB2312" w:cs="Times New Roman"/>
          <w:lang w:val="en-US" w:eastAsia="zh-CN"/>
        </w:rPr>
      </w:pPr>
      <w:r>
        <w:rPr>
          <w:rFonts w:eastAsia="仿宋_GB2312" w:cs="Times New Roman"/>
        </w:rPr>
        <w:t>本《方案》划定的土地征收成片开发范围位于河源市源城区，共涉及</w:t>
      </w:r>
      <w:r>
        <w:rPr>
          <w:rFonts w:hint="eastAsia" w:eastAsia="仿宋_GB2312" w:cs="Times New Roman"/>
          <w:lang w:val="en-US" w:eastAsia="zh-CN"/>
        </w:rPr>
        <w:t>2</w:t>
      </w:r>
      <w:r>
        <w:rPr>
          <w:rFonts w:eastAsia="仿宋_GB2312" w:cs="Times New Roman"/>
        </w:rPr>
        <w:t>个镇、</w:t>
      </w:r>
      <w:r>
        <w:rPr>
          <w:rFonts w:hint="eastAsia" w:eastAsia="仿宋_GB2312" w:cs="Times New Roman"/>
          <w:lang w:val="en-US" w:eastAsia="zh-CN"/>
        </w:rPr>
        <w:t>2</w:t>
      </w:r>
      <w:r>
        <w:rPr>
          <w:rFonts w:eastAsia="仿宋_GB2312" w:cs="Times New Roman"/>
        </w:rPr>
        <w:t>个街道，分别为源南镇、</w:t>
      </w:r>
      <w:r>
        <w:rPr>
          <w:rFonts w:hint="eastAsia" w:eastAsia="仿宋_GB2312" w:cs="Times New Roman"/>
        </w:rPr>
        <w:t>埔</w:t>
      </w:r>
      <w:r>
        <w:rPr>
          <w:rFonts w:eastAsia="仿宋_GB2312" w:cs="Times New Roman"/>
        </w:rPr>
        <w:t>前镇和</w:t>
      </w:r>
      <w:r>
        <w:rPr>
          <w:rFonts w:hint="eastAsia" w:eastAsia="仿宋_GB2312" w:cs="Times New Roman"/>
          <w:lang w:val="en-US" w:eastAsia="zh-CN"/>
        </w:rPr>
        <w:t>东埔街道、</w:t>
      </w:r>
      <w:r>
        <w:rPr>
          <w:rFonts w:eastAsia="仿宋_GB2312" w:cs="Times New Roman"/>
        </w:rPr>
        <w:t>城东街道。共划定</w:t>
      </w:r>
      <w:r>
        <w:rPr>
          <w:rFonts w:hint="eastAsia" w:eastAsia="仿宋_GB2312" w:cs="Times New Roman"/>
          <w:lang w:val="en-US" w:eastAsia="zh-CN"/>
        </w:rPr>
        <w:t>6</w:t>
      </w:r>
      <w:r>
        <w:rPr>
          <w:rFonts w:eastAsia="仿宋_GB2312" w:cs="Times New Roman"/>
        </w:rPr>
        <w:t>个片区共1</w:t>
      </w:r>
      <w:r>
        <w:rPr>
          <w:rFonts w:hint="eastAsia" w:eastAsia="仿宋_GB2312" w:cs="Times New Roman"/>
          <w:lang w:val="en-US" w:eastAsia="zh-CN"/>
        </w:rPr>
        <w:t>5</w:t>
      </w:r>
      <w:r>
        <w:rPr>
          <w:rFonts w:eastAsia="仿宋_GB2312" w:cs="Times New Roman"/>
        </w:rPr>
        <w:t>个成片开发范围，总面积</w:t>
      </w:r>
      <w:r>
        <w:rPr>
          <w:rFonts w:hint="eastAsia" w:eastAsia="仿宋_GB2312" w:cs="Times New Roman"/>
          <w:lang w:val="en-US" w:eastAsia="zh-CN"/>
        </w:rPr>
        <w:t>145.2419</w:t>
      </w:r>
      <w:r>
        <w:rPr>
          <w:rFonts w:eastAsia="仿宋_GB2312" w:cs="Times New Roman"/>
        </w:rPr>
        <w:t>公顷</w:t>
      </w:r>
      <w:r>
        <w:rPr>
          <w:rFonts w:hint="eastAsia" w:eastAsia="仿宋_GB2312" w:cs="Times New Roman"/>
          <w:lang w:eastAsia="zh-CN"/>
        </w:rPr>
        <w:t>，</w:t>
      </w:r>
      <w:r>
        <w:rPr>
          <w:rFonts w:hint="eastAsia" w:eastAsia="仿宋_GB2312" w:cs="Times New Roman"/>
          <w:lang w:val="en-US" w:eastAsia="zh-CN"/>
        </w:rPr>
        <w:t>其中国有土地28.6889公顷、集体土地116.5530公顷。集体土地涉及源南镇</w:t>
      </w:r>
      <w:r>
        <w:rPr>
          <w:rFonts w:hint="eastAsia" w:eastAsia="仿宋_GB2312" w:cs="Times New Roman"/>
          <w:highlight w:val="none"/>
          <w:lang w:val="en-US" w:eastAsia="zh-CN"/>
        </w:rPr>
        <w:t>白田村、墩头村、风光村、榄坝村、双下村，埔前镇河背村、莲塘岭村、南陂村、埔前村、中田村、大塘村、高围村、罗塘村，东埔街道高塘村、太阳升村、东埔村，城东街道和平村、胜利村，土地权属清晰，界址清楚</w:t>
      </w:r>
      <w:r>
        <w:rPr>
          <w:rFonts w:hint="eastAsia" w:eastAsia="仿宋_GB2312" w:cs="Times New Roman"/>
          <w:lang w:val="en-US" w:eastAsia="zh-CN"/>
        </w:rPr>
        <w:t>。</w:t>
      </w:r>
    </w:p>
    <w:p>
      <w:pPr>
        <w:pStyle w:val="13"/>
        <w:rPr>
          <w:rFonts w:hint="default"/>
          <w:highlight w:val="none"/>
          <w:lang w:val="en-US"/>
        </w:rPr>
      </w:pPr>
      <w:r>
        <w:rPr>
          <w:rFonts w:hint="eastAsia" w:eastAsia="仿宋_GB2312" w:cs="Times New Roman"/>
          <w:highlight w:val="none"/>
          <w:lang w:val="en-US" w:eastAsia="zh-CN"/>
        </w:rPr>
        <w:t>本《方案》拟征收集体土地115.4629公顷，其中农用地94.1529公顷（耕地14.1749公顷），建设用地20.6721公顷，未利用地0.6379公顷。</w:t>
      </w:r>
    </w:p>
    <w:p>
      <w:pPr>
        <w:pStyle w:val="4"/>
        <w:ind w:firstLine="0" w:firstLineChars="0"/>
        <w:rPr>
          <w:rFonts w:ascii="Times New Roman" w:hAnsi="Times New Roman" w:eastAsia="仿宋_GB2312" w:cs="Times New Roman"/>
        </w:rPr>
      </w:pPr>
      <w:bookmarkStart w:id="2" w:name="_Toc32326"/>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二</w:t>
      </w:r>
      <w:r>
        <w:rPr>
          <w:rFonts w:hint="eastAsia" w:ascii="Times New Roman" w:hAnsi="Times New Roman" w:eastAsia="仿宋_GB2312" w:cs="Times New Roman"/>
          <w:lang w:eastAsia="zh-CN"/>
        </w:rPr>
        <w:t>）</w:t>
      </w:r>
      <w:r>
        <w:rPr>
          <w:rFonts w:ascii="Times New Roman" w:hAnsi="Times New Roman" w:eastAsia="仿宋_GB2312" w:cs="Times New Roman"/>
        </w:rPr>
        <w:t>各成片开发范围土地开发利用现状</w:t>
      </w:r>
      <w:bookmarkEnd w:id="2"/>
    </w:p>
    <w:p>
      <w:pPr>
        <w:pStyle w:val="13"/>
        <w:ind w:firstLine="560"/>
        <w:rPr>
          <w:rFonts w:eastAsia="仿宋_GB2312" w:cs="Times New Roman"/>
          <w:highlight w:val="none"/>
        </w:rPr>
      </w:pPr>
      <w:r>
        <w:rPr>
          <w:rFonts w:eastAsia="仿宋_GB2312" w:cs="Times New Roman"/>
        </w:rPr>
        <w:t>根据源城区202</w:t>
      </w:r>
      <w:r>
        <w:rPr>
          <w:rFonts w:hint="eastAsia" w:eastAsia="仿宋_GB2312" w:cs="Times New Roman"/>
          <w:lang w:val="en-US" w:eastAsia="zh-CN"/>
        </w:rPr>
        <w:t>4</w:t>
      </w:r>
      <w:r>
        <w:rPr>
          <w:rFonts w:eastAsia="仿宋_GB2312" w:cs="Times New Roman"/>
        </w:rPr>
        <w:t>年度国土变更调查数据，</w:t>
      </w:r>
      <w:r>
        <w:rPr>
          <w:rFonts w:hint="eastAsia" w:eastAsia="仿宋_GB2312" w:cs="Times New Roman"/>
          <w:lang w:val="en-US" w:eastAsia="zh-CN"/>
        </w:rPr>
        <w:t>本</w:t>
      </w:r>
      <w:r>
        <w:rPr>
          <w:rFonts w:eastAsia="仿宋_GB2312" w:cs="Times New Roman"/>
        </w:rPr>
        <w:t>《方案》成片开发范</w:t>
      </w:r>
      <w:r>
        <w:rPr>
          <w:rFonts w:eastAsia="仿宋_GB2312" w:cs="Times New Roman"/>
          <w:highlight w:val="none"/>
        </w:rPr>
        <w:t>围总面积</w:t>
      </w:r>
      <w:r>
        <w:rPr>
          <w:rFonts w:hint="eastAsia" w:eastAsia="仿宋_GB2312" w:cs="Times New Roman"/>
          <w:highlight w:val="none"/>
          <w:lang w:val="en-US" w:eastAsia="zh-CN"/>
        </w:rPr>
        <w:t>145.2419</w:t>
      </w:r>
      <w:r>
        <w:rPr>
          <w:rFonts w:eastAsia="仿宋_GB2312" w:cs="Times New Roman"/>
          <w:highlight w:val="none"/>
        </w:rPr>
        <w:t>公顷，土地利用现状主要以农用地为主，涉及面积</w:t>
      </w:r>
      <w:r>
        <w:rPr>
          <w:rFonts w:hint="eastAsia" w:eastAsia="仿宋_GB2312" w:cs="Times New Roman"/>
          <w:highlight w:val="none"/>
          <w:lang w:val="en-US" w:eastAsia="zh-CN"/>
        </w:rPr>
        <w:t>104.3493</w:t>
      </w:r>
      <w:r>
        <w:rPr>
          <w:rFonts w:eastAsia="仿宋_GB2312" w:cs="Times New Roman"/>
          <w:highlight w:val="none"/>
        </w:rPr>
        <w:t>公顷，占总用地面积</w:t>
      </w:r>
      <w:r>
        <w:rPr>
          <w:rFonts w:hint="eastAsia" w:eastAsia="仿宋_GB2312" w:cs="Times New Roman"/>
          <w:color w:val="auto"/>
          <w:highlight w:val="none"/>
          <w:lang w:val="en-US" w:eastAsia="zh-CN"/>
        </w:rPr>
        <w:t>71.85</w:t>
      </w:r>
      <w:r>
        <w:rPr>
          <w:rFonts w:eastAsia="仿宋_GB2312" w:cs="Times New Roman"/>
          <w:color w:val="auto"/>
          <w:highlight w:val="none"/>
        </w:rPr>
        <w:t>%，</w:t>
      </w:r>
      <w:r>
        <w:rPr>
          <w:rFonts w:eastAsia="仿宋_GB2312" w:cs="Times New Roman"/>
          <w:highlight w:val="none"/>
        </w:rPr>
        <w:t>其中耕地面积</w:t>
      </w:r>
      <w:r>
        <w:rPr>
          <w:rFonts w:hint="eastAsia" w:eastAsia="仿宋_GB2312" w:cs="Times New Roman"/>
          <w:highlight w:val="none"/>
          <w:lang w:val="en-US" w:eastAsia="zh-CN"/>
        </w:rPr>
        <w:t>14.4680</w:t>
      </w:r>
      <w:r>
        <w:rPr>
          <w:rFonts w:eastAsia="仿宋_GB2312" w:cs="Times New Roman"/>
          <w:highlight w:val="none"/>
        </w:rPr>
        <w:t>公顷（水田</w:t>
      </w:r>
      <w:r>
        <w:rPr>
          <w:rFonts w:hint="eastAsia" w:eastAsia="仿宋_GB2312" w:cs="Times New Roman"/>
          <w:highlight w:val="none"/>
          <w:lang w:val="en-US" w:eastAsia="zh-CN"/>
        </w:rPr>
        <w:t>6.6622</w:t>
      </w:r>
      <w:r>
        <w:rPr>
          <w:rFonts w:eastAsia="仿宋_GB2312" w:cs="Times New Roman"/>
          <w:highlight w:val="none"/>
        </w:rPr>
        <w:t>公顷、水浇地</w:t>
      </w:r>
      <w:r>
        <w:rPr>
          <w:rFonts w:hint="eastAsia" w:eastAsia="仿宋_GB2312" w:cs="Times New Roman"/>
          <w:highlight w:val="none"/>
          <w:lang w:val="en-US" w:eastAsia="zh-CN"/>
        </w:rPr>
        <w:t>5.8018</w:t>
      </w:r>
      <w:r>
        <w:rPr>
          <w:rFonts w:eastAsia="仿宋_GB2312" w:cs="Times New Roman"/>
          <w:highlight w:val="none"/>
        </w:rPr>
        <w:t>公顷、旱地</w:t>
      </w:r>
      <w:r>
        <w:rPr>
          <w:rFonts w:hint="eastAsia" w:eastAsia="仿宋_GB2312" w:cs="Times New Roman"/>
          <w:highlight w:val="none"/>
          <w:lang w:val="en-US" w:eastAsia="zh-CN"/>
        </w:rPr>
        <w:t>2.0040</w:t>
      </w:r>
      <w:r>
        <w:rPr>
          <w:rFonts w:eastAsia="仿宋_GB2312" w:cs="Times New Roman"/>
          <w:highlight w:val="none"/>
        </w:rPr>
        <w:t>公顷），非耕农用地</w:t>
      </w:r>
      <w:r>
        <w:rPr>
          <w:rFonts w:hint="eastAsia" w:eastAsia="仿宋_GB2312" w:cs="Times New Roman"/>
          <w:highlight w:val="none"/>
          <w:lang w:val="en-US" w:eastAsia="zh-CN"/>
        </w:rPr>
        <w:t>89.8813</w:t>
      </w:r>
      <w:r>
        <w:rPr>
          <w:rFonts w:eastAsia="仿宋_GB2312" w:cs="Times New Roman"/>
          <w:highlight w:val="none"/>
        </w:rPr>
        <w:t>公顷</w:t>
      </w:r>
      <w:r>
        <w:rPr>
          <w:rFonts w:hint="eastAsia" w:eastAsia="仿宋_GB2312" w:cs="Times New Roman"/>
          <w:highlight w:val="none"/>
        </w:rPr>
        <w:t>；</w:t>
      </w:r>
      <w:r>
        <w:rPr>
          <w:rFonts w:eastAsia="仿宋_GB2312" w:cs="Times New Roman"/>
          <w:highlight w:val="none"/>
        </w:rPr>
        <w:t>建设用地面积</w:t>
      </w:r>
      <w:r>
        <w:rPr>
          <w:rFonts w:hint="eastAsia" w:eastAsia="仿宋_GB2312" w:cs="Times New Roman"/>
          <w:highlight w:val="none"/>
          <w:lang w:val="en-US" w:eastAsia="zh-CN"/>
        </w:rPr>
        <w:t>40.1372</w:t>
      </w:r>
      <w:r>
        <w:rPr>
          <w:rFonts w:eastAsia="仿宋_GB2312" w:cs="Times New Roman"/>
          <w:highlight w:val="none"/>
        </w:rPr>
        <w:t>公顷，占总用地面积</w:t>
      </w:r>
      <w:r>
        <w:rPr>
          <w:rFonts w:hint="eastAsia" w:eastAsia="仿宋_GB2312" w:cs="Times New Roman"/>
          <w:highlight w:val="none"/>
          <w:lang w:val="en-US" w:eastAsia="zh-CN"/>
        </w:rPr>
        <w:t>27.63</w:t>
      </w:r>
      <w:r>
        <w:rPr>
          <w:rFonts w:eastAsia="仿宋_GB2312" w:cs="Times New Roman"/>
          <w:highlight w:val="none"/>
        </w:rPr>
        <w:t>%</w:t>
      </w:r>
      <w:r>
        <w:rPr>
          <w:rFonts w:hint="eastAsia" w:eastAsia="仿宋_GB2312" w:cs="Times New Roman"/>
          <w:highlight w:val="none"/>
        </w:rPr>
        <w:t>；</w:t>
      </w:r>
      <w:r>
        <w:rPr>
          <w:rFonts w:eastAsia="仿宋_GB2312" w:cs="Times New Roman"/>
          <w:highlight w:val="none"/>
        </w:rPr>
        <w:t>未利用地面积</w:t>
      </w:r>
      <w:r>
        <w:rPr>
          <w:rFonts w:hint="eastAsia" w:eastAsia="仿宋_GB2312" w:cs="Times New Roman"/>
          <w:highlight w:val="none"/>
          <w:lang w:val="en-US" w:eastAsia="zh-CN"/>
        </w:rPr>
        <w:t>0.7554</w:t>
      </w:r>
      <w:r>
        <w:rPr>
          <w:rFonts w:eastAsia="仿宋_GB2312" w:cs="Times New Roman"/>
          <w:highlight w:val="none"/>
        </w:rPr>
        <w:t>公顷，占总用地面积0.5</w:t>
      </w:r>
      <w:r>
        <w:rPr>
          <w:rFonts w:hint="eastAsia" w:eastAsia="仿宋_GB2312" w:cs="Times New Roman"/>
          <w:highlight w:val="none"/>
          <w:lang w:val="en-US" w:eastAsia="zh-CN"/>
        </w:rPr>
        <w:t>2</w:t>
      </w:r>
      <w:r>
        <w:rPr>
          <w:rFonts w:eastAsia="仿宋_GB2312" w:cs="Times New Roman"/>
          <w:highlight w:val="none"/>
        </w:rPr>
        <w:t>%。各成片开发项目具体现状地类情况见表</w:t>
      </w:r>
      <w:r>
        <w:rPr>
          <w:rFonts w:hint="eastAsia" w:eastAsia="仿宋_GB2312" w:cs="Times New Roman"/>
          <w:highlight w:val="none"/>
          <w:lang w:val="en-US" w:eastAsia="zh-CN"/>
        </w:rPr>
        <w:t>1</w:t>
      </w:r>
      <w:r>
        <w:rPr>
          <w:rFonts w:eastAsia="仿宋_GB2312" w:cs="Times New Roman"/>
          <w:highlight w:val="none"/>
        </w:rPr>
        <w:t>-</w:t>
      </w:r>
      <w:r>
        <w:rPr>
          <w:rFonts w:hint="eastAsia" w:eastAsia="仿宋_GB2312" w:cs="Times New Roman"/>
          <w:highlight w:val="none"/>
          <w:lang w:val="en-US" w:eastAsia="zh-CN"/>
        </w:rPr>
        <w:t>1</w:t>
      </w:r>
      <w:r>
        <w:rPr>
          <w:rFonts w:eastAsia="仿宋_GB2312" w:cs="Times New Roman"/>
          <w:highlight w:val="none"/>
        </w:rPr>
        <w:t>。</w:t>
      </w:r>
    </w:p>
    <w:p>
      <w:pPr>
        <w:pStyle w:val="10"/>
        <w:keepNext w:val="0"/>
        <w:keepLines w:val="0"/>
        <w:kinsoku w:val="0"/>
        <w:overflowPunct w:val="0"/>
        <w:autoSpaceDE w:val="0"/>
        <w:autoSpaceDN w:val="0"/>
        <w:outlineLvl w:val="9"/>
        <w:rPr>
          <w:rFonts w:eastAsia="仿宋_GB2312"/>
          <w:highlight w:val="none"/>
        </w:rPr>
      </w:pPr>
      <w:r>
        <w:rPr>
          <w:rFonts w:eastAsia="仿宋_GB2312"/>
          <w:highlight w:val="none"/>
        </w:rPr>
        <w:t xml:space="preserve">表 </w:t>
      </w:r>
      <w:r>
        <w:rPr>
          <w:rFonts w:hint="eastAsia" w:eastAsia="仿宋_GB2312"/>
          <w:highlight w:val="none"/>
          <w:lang w:val="en-US" w:eastAsia="zh-CN"/>
        </w:rPr>
        <w:t>1-1</w:t>
      </w:r>
      <w:r>
        <w:rPr>
          <w:rFonts w:eastAsia="仿宋_GB2312"/>
          <w:highlight w:val="none"/>
        </w:rPr>
        <w:t xml:space="preserve"> 各成片开发范围土地利用现状表</w:t>
      </w:r>
    </w:p>
    <w:p>
      <w:pPr>
        <w:pStyle w:val="10"/>
        <w:keepNext w:val="0"/>
        <w:keepLines w:val="0"/>
        <w:kinsoku w:val="0"/>
        <w:overflowPunct w:val="0"/>
        <w:autoSpaceDE w:val="0"/>
        <w:autoSpaceDN w:val="0"/>
        <w:jc w:val="right"/>
        <w:outlineLvl w:val="9"/>
        <w:rPr>
          <w:rFonts w:hint="eastAsia" w:eastAsia="仿宋_GB2312"/>
          <w:sz w:val="18"/>
          <w:szCs w:val="18"/>
          <w:highlight w:val="none"/>
          <w:lang w:val="en-US" w:eastAsia="zh-CN"/>
        </w:rPr>
      </w:pPr>
      <w:r>
        <w:rPr>
          <w:rFonts w:hint="eastAsia" w:eastAsia="仿宋_GB2312"/>
          <w:sz w:val="18"/>
          <w:szCs w:val="18"/>
          <w:highlight w:val="none"/>
          <w:lang w:val="en-US" w:eastAsia="zh-CN"/>
        </w:rPr>
        <w:t>单位：公顷</w:t>
      </w:r>
    </w:p>
    <w:tbl>
      <w:tblPr>
        <w:tblStyle w:val="22"/>
        <w:tblW w:w="5636" w:type="pct"/>
        <w:tblInd w:w="-47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4"/>
        <w:gridCol w:w="779"/>
        <w:gridCol w:w="1110"/>
        <w:gridCol w:w="1010"/>
        <w:gridCol w:w="923"/>
        <w:gridCol w:w="866"/>
        <w:gridCol w:w="822"/>
        <w:gridCol w:w="894"/>
        <w:gridCol w:w="995"/>
        <w:gridCol w:w="938"/>
        <w:gridCol w:w="8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blHead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片区名称</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片区编号</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总计</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农用地</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耕地</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水田</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水浇地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旱地</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非耕农用地</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建设用地</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未利用地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城北片区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0.9047</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0.9047</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源城区工业园片区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65.8484</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56.1571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12.1702</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6.2018</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5.7005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0.2679</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43.9869</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9.0445</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0.6468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PQBH03</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6.8429</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4.6434</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4.6434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2.1995</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PQBH04</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0.0094</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0.0094</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0.0094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PQBH05</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9.5587</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8.5989</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0.0001</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8.5988</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0.9598</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PQBH06</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31.5715</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16.4298</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0.5426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0.2902</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0.0018</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0.2506</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15.8872</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15.1417</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113.8309</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85.8386</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12.7129</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6.4921</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5.7023</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0.5185</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73.1257</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27.3455</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0.6468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埔前镇片区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PQBH07</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2.5048</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1.5595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1.5595</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0.9453</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PQBH08</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0.5506</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0.5506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3.0554</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1.5595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1.5595</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1.4959</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江东新区片区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PQBH09</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22.9812</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15.9604</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1.5850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0.0995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1.4855</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14.3754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6.9122</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0.1086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PQBH10</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0.4136</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0.2638</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0.2638</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0.1498</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23.3948</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16.2242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1.5850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0.0995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1.4855</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14.6392</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7.0620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0.1086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高新区片区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2.0621</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2.0621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PQBH12</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0.6008</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0.4995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0.1701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0.1701</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0.3294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0.1013</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PQBH13</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0.3026</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0.2275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0.2275</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0.0751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2.9655</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0.7270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0.1701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0.1701</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0.5569</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2.2385</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东埔片区</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PQBH14</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1.0843</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1.0843</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PQBH15</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0.0063</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0.0063</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r>
              <w:rPr>
                <w:rFonts w:hint="default" w:ascii="Times New Roman" w:hAnsi="Times New Roman" w:eastAsia="仿宋_GB2312" w:cs="Times New Roman"/>
                <w:b w:val="0"/>
                <w:bCs w:val="0"/>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b w:val="0"/>
                <w:bCs w:val="0"/>
                <w:sz w:val="21"/>
                <w:szCs w:val="21"/>
                <w:lang w:val="en-US" w:eastAsia="zh-CN"/>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1.0906</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1.0906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总计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145.2419</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104.3493</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14.4680</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6.6622</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5.8018</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2.0040</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89.8813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40.1372</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0.7554</w:t>
            </w:r>
          </w:p>
        </w:tc>
      </w:tr>
    </w:tbl>
    <w:p>
      <w:pPr>
        <w:rPr>
          <w:rFonts w:hint="default"/>
          <w:lang w:val="en-US" w:eastAsia="zh-CN"/>
        </w:rPr>
      </w:pPr>
    </w:p>
    <w:p>
      <w:pPr>
        <w:pStyle w:val="4"/>
        <w:ind w:firstLine="0" w:firstLineChars="0"/>
        <w:rPr>
          <w:rFonts w:ascii="Times New Roman" w:hAnsi="Times New Roman" w:eastAsia="仿宋_GB2312" w:cs="Times New Roman"/>
        </w:rPr>
      </w:pPr>
      <w:bookmarkStart w:id="3" w:name="_Toc29801"/>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三</w:t>
      </w:r>
      <w:r>
        <w:rPr>
          <w:rFonts w:hint="eastAsia" w:ascii="Times New Roman" w:hAnsi="Times New Roman" w:eastAsia="仿宋_GB2312" w:cs="Times New Roman"/>
          <w:lang w:eastAsia="zh-CN"/>
        </w:rPr>
        <w:t>）</w:t>
      </w:r>
      <w:r>
        <w:rPr>
          <w:rFonts w:ascii="Times New Roman" w:hAnsi="Times New Roman" w:eastAsia="仿宋_GB2312" w:cs="Times New Roman"/>
        </w:rPr>
        <w:t>成片开发范围土地权属情况</w:t>
      </w:r>
      <w:bookmarkEnd w:id="3"/>
    </w:p>
    <w:p>
      <w:pPr>
        <w:pStyle w:val="13"/>
        <w:ind w:firstLine="560"/>
        <w:rPr>
          <w:rFonts w:hint="default" w:eastAsia="仿宋_GB2312" w:cs="Times New Roman"/>
          <w:lang w:val="en-US" w:eastAsia="zh-CN"/>
        </w:rPr>
      </w:pPr>
      <w:r>
        <w:rPr>
          <w:rFonts w:eastAsia="仿宋_GB2312" w:cs="Times New Roman"/>
        </w:rPr>
        <w:t>根据</w:t>
      </w:r>
      <w:r>
        <w:rPr>
          <w:rFonts w:hint="eastAsia" w:eastAsia="仿宋_GB2312" w:cs="Times New Roman"/>
          <w:lang w:val="en-US" w:eastAsia="zh-CN"/>
        </w:rPr>
        <w:t>广东省自然资源厅用途管制系统三调权属分析</w:t>
      </w:r>
      <w:r>
        <w:rPr>
          <w:rFonts w:eastAsia="仿宋_GB2312" w:cs="Times New Roman"/>
        </w:rPr>
        <w:t>，本</w:t>
      </w:r>
      <w:r>
        <w:rPr>
          <w:rFonts w:hint="eastAsia" w:eastAsia="仿宋_GB2312" w:cs="Times New Roman"/>
          <w:lang w:eastAsia="zh-CN"/>
        </w:rPr>
        <w:t>《</w:t>
      </w:r>
      <w:r>
        <w:rPr>
          <w:rFonts w:hint="eastAsia" w:eastAsia="仿宋_GB2312" w:cs="Times New Roman"/>
          <w:lang w:val="en-US" w:eastAsia="zh-CN"/>
        </w:rPr>
        <w:t>方案</w:t>
      </w:r>
      <w:r>
        <w:rPr>
          <w:rFonts w:hint="eastAsia" w:eastAsia="仿宋_GB2312" w:cs="Times New Roman"/>
          <w:lang w:eastAsia="zh-CN"/>
        </w:rPr>
        <w:t>》</w:t>
      </w:r>
      <w:r>
        <w:rPr>
          <w:rFonts w:eastAsia="仿宋_GB2312" w:cs="Times New Roman"/>
        </w:rPr>
        <w:t>成片开发范围涉及国有土地</w:t>
      </w:r>
      <w:r>
        <w:rPr>
          <w:rFonts w:hint="eastAsia" w:eastAsia="仿宋_GB2312" w:cs="Times New Roman"/>
          <w:lang w:val="en-US" w:eastAsia="zh-CN"/>
        </w:rPr>
        <w:t>28.6889</w:t>
      </w:r>
      <w:r>
        <w:rPr>
          <w:rFonts w:eastAsia="仿宋_GB2312" w:cs="Times New Roman"/>
        </w:rPr>
        <w:t>公顷，集体土地</w:t>
      </w:r>
      <w:r>
        <w:rPr>
          <w:rFonts w:hint="eastAsia" w:eastAsia="仿宋_GB2312" w:cs="Times New Roman"/>
          <w:lang w:val="en-US" w:eastAsia="zh-CN"/>
        </w:rPr>
        <w:t>116.5530</w:t>
      </w:r>
      <w:r>
        <w:rPr>
          <w:rFonts w:eastAsia="仿宋_GB2312" w:cs="Times New Roman"/>
        </w:rPr>
        <w:t>公顷。</w:t>
      </w:r>
      <w:r>
        <w:rPr>
          <w:rFonts w:hint="eastAsia" w:eastAsia="仿宋_GB2312" w:cs="Times New Roman"/>
          <w:lang w:val="en-US" w:eastAsia="zh-CN"/>
        </w:rPr>
        <w:t>涉及的农村集体经济组织情况详见下表：</w:t>
      </w:r>
      <w:bookmarkStart w:id="43" w:name="_GoBack"/>
      <w:bookmarkEnd w:id="43"/>
    </w:p>
    <w:p>
      <w:pPr>
        <w:pStyle w:val="10"/>
        <w:outlineLvl w:val="9"/>
        <w:rPr>
          <w:rFonts w:eastAsia="仿宋_GB2312"/>
        </w:rPr>
      </w:pPr>
      <w:r>
        <w:rPr>
          <w:rFonts w:eastAsia="仿宋_GB2312"/>
        </w:rPr>
        <w:t>表</w:t>
      </w:r>
      <w:r>
        <w:rPr>
          <w:rFonts w:hint="eastAsia" w:eastAsia="仿宋_GB2312"/>
          <w:lang w:val="en-US" w:eastAsia="zh-CN"/>
        </w:rPr>
        <w:t xml:space="preserve"> 1-2 </w:t>
      </w:r>
      <w:r>
        <w:rPr>
          <w:rFonts w:eastAsia="仿宋_GB2312"/>
        </w:rPr>
        <w:t>成片开发范围内农村集体经济组织土地权属信息表</w:t>
      </w:r>
    </w:p>
    <w:tbl>
      <w:tblPr>
        <w:tblStyle w:val="22"/>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4"/>
        <w:gridCol w:w="76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b/>
                <w:bCs/>
                <w:i w:val="0"/>
                <w:iCs w:val="0"/>
                <w:kern w:val="2"/>
                <w:sz w:val="21"/>
                <w:szCs w:val="21"/>
                <w:u w:val="none"/>
                <w:lang w:val="en-US" w:eastAsia="zh-CN" w:bidi="ar"/>
              </w:rPr>
            </w:pPr>
            <w:r>
              <w:rPr>
                <w:rFonts w:hint="eastAsia" w:ascii="Times New Roman" w:hAnsi="Times New Roman" w:eastAsia="仿宋_GB2312" w:cs="Times New Roman"/>
                <w:b/>
                <w:bCs/>
                <w:i w:val="0"/>
                <w:iCs w:val="0"/>
                <w:kern w:val="2"/>
                <w:sz w:val="21"/>
                <w:szCs w:val="21"/>
                <w:u w:val="none"/>
                <w:lang w:val="en-US" w:eastAsia="zh-CN" w:bidi="ar"/>
              </w:rPr>
              <w:t>序号</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b/>
                <w:bCs/>
                <w:i w:val="0"/>
                <w:iCs w:val="0"/>
                <w:kern w:val="2"/>
                <w:sz w:val="21"/>
                <w:szCs w:val="21"/>
                <w:u w:val="none"/>
                <w:lang w:val="en-US" w:eastAsia="zh-CN" w:bidi="ar"/>
              </w:rPr>
            </w:pPr>
            <w:r>
              <w:rPr>
                <w:rFonts w:hint="eastAsia" w:ascii="Times New Roman" w:hAnsi="Times New Roman" w:eastAsia="仿宋_GB2312" w:cs="Times New Roman"/>
                <w:b/>
                <w:bCs/>
                <w:i w:val="0"/>
                <w:iCs w:val="0"/>
                <w:kern w:val="2"/>
                <w:sz w:val="21"/>
                <w:szCs w:val="21"/>
                <w:u w:val="none"/>
                <w:lang w:val="en-US" w:eastAsia="zh-CN" w:bidi="ar"/>
              </w:rPr>
              <w:t>权利人名称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河源市源城区城东街道办事处和平村尖下经济合作社农民集体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河源市源城区城东街道办事处和平村石下经济合作社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河源市源城区城东街道办事处胜利村贵龙寨经济合作社农民集体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4</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河源市源城区城东街道办事处胜利村新北经济合作社农民集体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5</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河源市源城区城东街道办事处胜利村新南经济合作社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6</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河源市源城区城东街道办事处胜利经济联合社农民集体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7</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河源市源城区东埔街道高塘村毛一经济合作社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8</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河源市源城区东埔街道东埔经济联合社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9</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河源市源城区东埔街太阳升经济联合社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10</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河源市源城区埔前镇河背村上下罗富记经济合作社、河源市源城区埔前镇河背村上下罗经济合作社、河源市源城区埔前镇河背村上下罗信记经济合作社（共有）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11</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河源市源城区埔前镇河背村古岭头新村经济合作社、河源市源城区埔前镇岭背坑新村经济合作社、河源市源城区埔前镇岭背坑新星新村经济合作社（共有）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12</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河源市源城区埔前镇河背村经济联合社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13</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河源市源城区埔前镇莲塘岭村楼角下经济合作社、河源市源城区埔前镇莲塘岭村主固璋经济合作社（共有）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14</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河源市源城区埔前镇莲塘岭村沙陂经济合作社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15</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河源市源城区埔前镇罗塘村老屋经济合作社、河源市源城区埔前镇罗塘村罗塘经济合作社、河源市源城区埔前镇罗塘村石厂经济合作社、河源市源城区埔前镇罗塘村围园经济合作社（共有）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16</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南陂村矮岭经济合作社、河源市源城区埔前镇南陂村和平经济合作社、河源市源城区埔前镇南陂村横岭经济合作社、河源市源城区埔前镇南陂村红卫经济合作社、河源市源城区埔前镇南陂村林合经济合作社、河源市源城区埔前镇南陂村龙合经济合作社、河源市源城区埔前镇南陂村全胜经济合作社、河源市源城区埔前镇南陂村围肚经济合作社、河源市源城区埔前镇南陂村卫东经济合作社、河源市源城区埔前镇南陂村新建经济合作社、河源市源城区埔前镇南陂村学胡经济合作社、河源市源城区埔前镇南陂村永红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17</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河源市源城区埔前镇南陂村广栈经济合作社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19</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河源市源城区埔前镇南陂村龙合经济合作社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18</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河源市源城区埔前镇南陂村广栈经济合作社、河源市源城区埔前镇南陂村立新经济合作社、河源市源城区埔前镇南陂村龙合经济合作社（共有）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20</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河源市源城区埔前镇埔前村瓦片雪中心屋经济合作社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21</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河源市源城区埔前镇中田村赤塘经济合作社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22</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河源市源城区埔前镇中田经济合作联合社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23</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河源市源城区埔前镇中田经济联合社农民集体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24</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河源市源城区埔前镇大塘村大塘经济联合社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25</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河源市源城区埔前镇高围经济联合社农民集体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26</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河源市源城区源南镇白田村白田二队经济合作社、河源市源城区源南镇白田村白田一队经济合作社（共有）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27</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白田村大塘埔第二经济合作社、河源市源城区源南镇白田村大塘埔第六经济合作社、河源市源城区源南镇白田村大塘埔第三经济合作社、河源市源城区源南镇白田村大塘埔第四经济合作社、河源市源城区源南镇白田村大塘埔第五经济合作社、河源市源城区源南镇白田村大塘埔第一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28</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河源市源城区源南镇白田村新杨新一经济合作社、河源市源城区源南镇白田村新杨杨二经济合作社（共有）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29</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河源市源城区源南镇墩头村塘岭第二队经济合作社、河源市源城区源南镇墩头村塘岭第一队经济合作社（共有）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30</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河源市源城区源南镇墩头村下围第十队经济合作社、河源市源城区源南镇墩头村下围第十二队经济合作社、河源市源城区源南镇墩头村下围第十一队经济合作社（共有）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31</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河源市源城区源南镇墩头村中青小组第八队经济合作社、河源市源城区源南镇墩头村中青小组第九队经济合作社（共有）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32</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河源市源城区源南镇风光经济联合社农民集体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33</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河源市源城区源南镇榄坝村车站队经济合作社、河源市源城区源南镇榄坝村车站潘屋经济合作社（共有）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34</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河源市源城区源南镇榄坝村陈岭第二队经济合作社、河源市源城区源南镇榄坝村陈岭第一队经济合作社（共有）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35</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榄坝村甲麻塘甲二队经济合作社、河源市源城区源南镇榄坝村甲麻塘甲三队经济合作社、河源市源城区源南镇榄坝村甲麻塘甲四队经济合作社、河源市源城区源南镇榄坝村甲麻塘甲一队经济合作社、河源市源城区源南镇榄坝村金竹岗第二队经济合作社、河源市源城区源南镇榄坝村金竹岗第三队经济合作社、河源市源城区源南镇榄坝村金竹岗第四队经济合作社（共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36</w:t>
            </w:r>
          </w:p>
        </w:tc>
        <w:tc>
          <w:tcPr>
            <w:tcW w:w="7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_GB2312" w:cs="Times New Roman"/>
                <w:i w:val="0"/>
                <w:iCs w:val="0"/>
                <w:kern w:val="2"/>
                <w:sz w:val="21"/>
                <w:szCs w:val="21"/>
                <w:u w:val="none"/>
                <w:lang w:val="en-US" w:eastAsia="zh-CN" w:bidi="ar"/>
              </w:rPr>
            </w:pPr>
            <w:r>
              <w:rPr>
                <w:rFonts w:hint="eastAsia" w:ascii="Times New Roman" w:hAnsi="Times New Roman" w:eastAsia="仿宋_GB2312" w:cs="Times New Roman"/>
                <w:i w:val="0"/>
                <w:iCs w:val="0"/>
                <w:kern w:val="2"/>
                <w:sz w:val="21"/>
                <w:szCs w:val="21"/>
                <w:u w:val="none"/>
                <w:lang w:val="en-US" w:eastAsia="zh-CN" w:bidi="ar"/>
              </w:rPr>
              <w:t>河源市源城区源南镇双下经济联合社</w:t>
            </w:r>
          </w:p>
        </w:tc>
      </w:tr>
    </w:tbl>
    <w:p>
      <w:pPr>
        <w:pStyle w:val="4"/>
        <w:ind w:firstLine="0" w:firstLineChars="0"/>
        <w:rPr>
          <w:rFonts w:ascii="Times New Roman" w:hAnsi="Times New Roman" w:eastAsia="仿宋_GB2312" w:cs="Times New Roman"/>
        </w:rPr>
      </w:pPr>
      <w:bookmarkStart w:id="4" w:name="_Toc29531"/>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四</w:t>
      </w:r>
      <w:r>
        <w:rPr>
          <w:rFonts w:hint="eastAsia" w:ascii="Times New Roman" w:hAnsi="Times New Roman" w:eastAsia="仿宋_GB2312" w:cs="Times New Roman"/>
          <w:lang w:eastAsia="zh-CN"/>
        </w:rPr>
        <w:t>）</w:t>
      </w:r>
      <w:r>
        <w:rPr>
          <w:rFonts w:ascii="Times New Roman" w:hAnsi="Times New Roman" w:eastAsia="仿宋_GB2312" w:cs="Times New Roman"/>
        </w:rPr>
        <w:t>成片开发范围的基础设施条件</w:t>
      </w:r>
      <w:bookmarkEnd w:id="4"/>
    </w:p>
    <w:p>
      <w:pPr>
        <w:pStyle w:val="13"/>
        <w:ind w:firstLine="560"/>
        <w:rPr>
          <w:rFonts w:eastAsia="仿宋_GB2312" w:cs="Times New Roman"/>
        </w:rPr>
      </w:pPr>
      <w:r>
        <w:rPr>
          <w:rFonts w:eastAsia="仿宋_GB2312" w:cs="Times New Roman"/>
        </w:rPr>
        <w:t>各成片开发范围均位于原建成区或工业园区周边，交通较为便利，供水、供电、污水处理等基础设施较为完善。</w:t>
      </w:r>
    </w:p>
    <w:p>
      <w:pPr>
        <w:pStyle w:val="4"/>
        <w:ind w:firstLine="0" w:firstLineChars="0"/>
        <w:rPr>
          <w:rFonts w:ascii="Times New Roman" w:hAnsi="Times New Roman" w:eastAsia="仿宋_GB2312" w:cs="Times New Roman"/>
          <w:sz w:val="32"/>
          <w:szCs w:val="28"/>
        </w:rPr>
      </w:pPr>
      <w:bookmarkStart w:id="5" w:name="_Toc16296"/>
      <w:r>
        <w:rPr>
          <w:rFonts w:hint="eastAsia" w:ascii="Times New Roman" w:hAnsi="Times New Roman" w:eastAsia="仿宋_GB2312" w:cs="Times New Roman"/>
          <w:sz w:val="32"/>
          <w:szCs w:val="28"/>
          <w:lang w:val="en-US" w:eastAsia="zh-CN"/>
        </w:rPr>
        <w:t>二</w:t>
      </w:r>
      <w:r>
        <w:rPr>
          <w:rFonts w:hint="eastAsia" w:ascii="Times New Roman" w:hAnsi="Times New Roman" w:eastAsia="仿宋_GB2312" w:cs="Times New Roman"/>
          <w:sz w:val="32"/>
          <w:szCs w:val="28"/>
          <w:lang w:eastAsia="zh-CN"/>
        </w:rPr>
        <w:t>、</w:t>
      </w:r>
      <w:r>
        <w:rPr>
          <w:rFonts w:ascii="Times New Roman" w:hAnsi="Times New Roman" w:eastAsia="仿宋_GB2312" w:cs="Times New Roman"/>
          <w:sz w:val="32"/>
          <w:szCs w:val="28"/>
        </w:rPr>
        <w:t>成片开发的必要性、主要用途和实现功能</w:t>
      </w:r>
      <w:bookmarkEnd w:id="5"/>
    </w:p>
    <w:p>
      <w:pPr>
        <w:pStyle w:val="4"/>
        <w:ind w:firstLine="0" w:firstLineChars="0"/>
        <w:rPr>
          <w:rFonts w:ascii="Times New Roman" w:hAnsi="Times New Roman" w:eastAsia="仿宋_GB2312" w:cs="Times New Roman"/>
        </w:rPr>
      </w:pPr>
      <w:bookmarkStart w:id="6" w:name="_Toc30661"/>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一</w:t>
      </w:r>
      <w:r>
        <w:rPr>
          <w:rFonts w:hint="eastAsia" w:ascii="Times New Roman" w:hAnsi="Times New Roman" w:eastAsia="仿宋_GB2312" w:cs="Times New Roman"/>
          <w:lang w:eastAsia="zh-CN"/>
        </w:rPr>
        <w:t>）</w:t>
      </w:r>
      <w:r>
        <w:rPr>
          <w:rFonts w:ascii="Times New Roman" w:hAnsi="Times New Roman" w:eastAsia="仿宋_GB2312" w:cs="Times New Roman"/>
        </w:rPr>
        <w:t>必要性分析</w:t>
      </w:r>
      <w:bookmarkEnd w:id="6"/>
    </w:p>
    <w:p>
      <w:pPr>
        <w:pStyle w:val="5"/>
        <w:ind w:firstLine="0" w:firstLineChars="0"/>
        <w:rPr>
          <w:rFonts w:eastAsia="仿宋_GB2312" w:cs="Times New Roman"/>
        </w:rPr>
      </w:pPr>
      <w:r>
        <w:rPr>
          <w:rFonts w:hint="eastAsia" w:eastAsia="仿宋_GB2312" w:cs="Times New Roman"/>
          <w:lang w:val="en-US" w:eastAsia="zh-CN"/>
        </w:rPr>
        <w:t>1.</w:t>
      </w:r>
      <w:r>
        <w:rPr>
          <w:rFonts w:eastAsia="仿宋_GB2312" w:cs="Times New Roman"/>
        </w:rPr>
        <w:t>保障落实</w:t>
      </w:r>
      <w:r>
        <w:rPr>
          <w:rFonts w:hint="eastAsia" w:eastAsia="仿宋_GB2312" w:cs="Times New Roman"/>
          <w:lang w:eastAsia="zh-CN"/>
        </w:rPr>
        <w:t>“</w:t>
      </w:r>
      <w:r>
        <w:rPr>
          <w:rFonts w:eastAsia="仿宋_GB2312" w:cs="Times New Roman"/>
        </w:rPr>
        <w:t>融湾</w:t>
      </w:r>
      <w:r>
        <w:rPr>
          <w:rFonts w:hint="eastAsia" w:eastAsia="仿宋_GB2312" w:cs="Times New Roman"/>
          <w:lang w:eastAsia="zh-CN"/>
        </w:rPr>
        <w:t>”“</w:t>
      </w:r>
      <w:r>
        <w:rPr>
          <w:rFonts w:eastAsia="仿宋_GB2312" w:cs="Times New Roman"/>
        </w:rPr>
        <w:t>融深</w:t>
      </w:r>
      <w:r>
        <w:rPr>
          <w:rFonts w:hint="eastAsia" w:eastAsia="仿宋_GB2312" w:cs="Times New Roman"/>
          <w:lang w:eastAsia="zh-CN"/>
        </w:rPr>
        <w:t>”</w:t>
      </w:r>
      <w:r>
        <w:rPr>
          <w:rFonts w:eastAsia="仿宋_GB2312" w:cs="Times New Roman"/>
        </w:rPr>
        <w:t>发展策略</w:t>
      </w:r>
    </w:p>
    <w:p>
      <w:pPr>
        <w:ind w:firstLine="560"/>
        <w:rPr>
          <w:rFonts w:eastAsia="仿宋_GB2312" w:cs="Times New Roman"/>
        </w:rPr>
      </w:pPr>
      <w:r>
        <w:rPr>
          <w:rFonts w:hint="eastAsia" w:ascii="仿宋_GB2312" w:hAnsi="仿宋_GB2312" w:eastAsia="仿宋_GB2312" w:cs="仿宋_GB2312"/>
        </w:rPr>
        <w:t>“十四五”</w:t>
      </w:r>
      <w:r>
        <w:rPr>
          <w:rFonts w:eastAsia="仿宋_GB2312" w:cs="Times New Roman"/>
        </w:rPr>
        <w:t>时期，源城区将持之以恒落实省委</w:t>
      </w:r>
      <w:r>
        <w:rPr>
          <w:rFonts w:hint="eastAsia" w:ascii="仿宋_GB2312" w:hAnsi="仿宋_GB2312" w:eastAsia="仿宋_GB2312" w:cs="仿宋_GB2312"/>
        </w:rPr>
        <w:t>“1+1+9”</w:t>
      </w:r>
      <w:r>
        <w:rPr>
          <w:rFonts w:eastAsia="仿宋_GB2312" w:cs="Times New Roman"/>
        </w:rPr>
        <w:t>工作部署和河源市委工作安排，坚持以</w:t>
      </w:r>
      <w:r>
        <w:rPr>
          <w:rFonts w:hint="eastAsia" w:ascii="仿宋_GB2312" w:hAnsi="仿宋_GB2312" w:eastAsia="仿宋_GB2312" w:cs="仿宋_GB2312"/>
        </w:rPr>
        <w:t>“融湾”为纲、“融深”</w:t>
      </w:r>
      <w:r>
        <w:rPr>
          <w:rFonts w:eastAsia="仿宋_GB2312" w:cs="Times New Roman"/>
        </w:rPr>
        <w:t>为牵引，在产业链条、规则体系、发展平台、经贸网络等方面与粤港澳大湾区深度对接联通，使源城成为承接大湾区功能疏解的承载地、对接粤港澳大湾区的门户窗口。加快建设现代化经济体系，打造河源市生态经济发展新标杆</w:t>
      </w:r>
      <w:r>
        <w:rPr>
          <w:rFonts w:hint="eastAsia" w:eastAsia="仿宋_GB2312" w:cs="Times New Roman"/>
          <w:lang w:eastAsia="zh-CN"/>
        </w:rPr>
        <w:t>，打造</w:t>
      </w:r>
      <w:r>
        <w:rPr>
          <w:rFonts w:eastAsia="仿宋_GB2312" w:cs="Times New Roman"/>
        </w:rPr>
        <w:t>新发展格局战略支点，打造河源市综合枢纽和发展引擎，在</w:t>
      </w:r>
      <w:r>
        <w:rPr>
          <w:rFonts w:hint="eastAsia" w:ascii="仿宋_GB2312" w:hAnsi="仿宋_GB2312" w:eastAsia="仿宋_GB2312" w:cs="仿宋_GB2312"/>
        </w:rPr>
        <w:t>“示范区”“排头兵”</w:t>
      </w:r>
      <w:r>
        <w:rPr>
          <w:rFonts w:eastAsia="仿宋_GB2312" w:cs="Times New Roman"/>
        </w:rPr>
        <w:t>建设中发挥示范引领作用。</w:t>
      </w:r>
      <w:bookmarkStart w:id="7" w:name="_Hlk85055245"/>
      <w:r>
        <w:rPr>
          <w:rFonts w:eastAsia="仿宋_GB2312" w:cs="Times New Roman"/>
        </w:rPr>
        <w:t>立足源城区资源禀赋及区位优势，积极用好政策引导市场机制和深圳河源对口帮扶机制，建好河源市高新技术开发区、河源江东新区、河源鹏城科技生态园，加快低碳产业园规划建设。以对接</w:t>
      </w:r>
      <w:r>
        <w:rPr>
          <w:rFonts w:hint="eastAsia" w:ascii="仿宋_GB2312" w:hAnsi="仿宋_GB2312" w:eastAsia="仿宋_GB2312" w:cs="仿宋_GB2312"/>
        </w:rPr>
        <w:t>“双区”</w:t>
      </w:r>
      <w:r>
        <w:rPr>
          <w:rFonts w:eastAsia="仿宋_GB2312" w:cs="Times New Roman"/>
        </w:rPr>
        <w:t>产业分工体系、资源配置体系为主渠道，对接</w:t>
      </w:r>
      <w:r>
        <w:rPr>
          <w:rFonts w:hint="eastAsia" w:ascii="仿宋_GB2312" w:hAnsi="仿宋_GB2312" w:eastAsia="仿宋_GB2312" w:cs="仿宋_GB2312"/>
        </w:rPr>
        <w:t>“双区”</w:t>
      </w:r>
      <w:r>
        <w:rPr>
          <w:rFonts w:eastAsia="仿宋_GB2312" w:cs="Times New Roman"/>
        </w:rPr>
        <w:t>龙头企业特别是</w:t>
      </w:r>
      <w:r>
        <w:rPr>
          <w:rFonts w:hint="eastAsia" w:ascii="仿宋_GB2312" w:hAnsi="仿宋_GB2312" w:eastAsia="仿宋_GB2312" w:cs="仿宋_GB2312"/>
        </w:rPr>
        <w:t>“链主”</w:t>
      </w:r>
      <w:r>
        <w:rPr>
          <w:rFonts w:eastAsia="仿宋_GB2312" w:cs="Times New Roman"/>
        </w:rPr>
        <w:t>企业，形成与</w:t>
      </w:r>
      <w:r>
        <w:rPr>
          <w:rFonts w:hint="eastAsia" w:ascii="仿宋_GB2312" w:hAnsi="仿宋_GB2312" w:eastAsia="仿宋_GB2312" w:cs="仿宋_GB2312"/>
        </w:rPr>
        <w:t>“双区”</w:t>
      </w:r>
      <w:r>
        <w:rPr>
          <w:rFonts w:eastAsia="仿宋_GB2312" w:cs="Times New Roman"/>
        </w:rPr>
        <w:t>紧密衔接、互为支撑的产业分工合作关系。本次《方案》中重点保障源城</w:t>
      </w:r>
      <w:r>
        <w:rPr>
          <w:rFonts w:hint="eastAsia" w:eastAsia="仿宋_GB2312" w:cs="Times New Roman"/>
        </w:rPr>
        <w:t>区</w:t>
      </w:r>
      <w:r>
        <w:rPr>
          <w:rFonts w:eastAsia="仿宋_GB2312" w:cs="Times New Roman"/>
        </w:rPr>
        <w:t>工业园</w:t>
      </w:r>
      <w:r>
        <w:rPr>
          <w:rFonts w:hint="eastAsia" w:eastAsia="仿宋_GB2312" w:cs="Times New Roman"/>
        </w:rPr>
        <w:t>现代物</w:t>
      </w:r>
      <w:r>
        <w:rPr>
          <w:rFonts w:hint="eastAsia" w:eastAsia="仿宋_GB2312" w:cs="Times New Roman"/>
          <w:lang w:val="en-US" w:eastAsia="zh-CN"/>
        </w:rPr>
        <w:t>流</w:t>
      </w:r>
      <w:r>
        <w:rPr>
          <w:rFonts w:hint="eastAsia" w:eastAsia="仿宋_GB2312" w:cs="Times New Roman"/>
        </w:rPr>
        <w:t>中心建设项目</w:t>
      </w:r>
      <w:r>
        <w:rPr>
          <w:rFonts w:hint="default" w:eastAsia="仿宋_GB2312" w:cs="Times New Roman"/>
          <w:lang w:eastAsia="zh-CN"/>
        </w:rPr>
        <w:t>、</w:t>
      </w:r>
      <w:r>
        <w:rPr>
          <w:rFonts w:hint="default" w:eastAsia="仿宋_GB2312" w:cs="Times New Roman"/>
          <w:lang w:val="en-US" w:eastAsia="zh-CN"/>
        </w:rPr>
        <w:t>埔前镇再生资源利用用地</w:t>
      </w:r>
      <w:r>
        <w:rPr>
          <w:rFonts w:eastAsia="仿宋_GB2312" w:cs="Times New Roman"/>
        </w:rPr>
        <w:t>项目等重点项目用地需求，扎实推进高新技术开发区、水经济产业园、源城</w:t>
      </w:r>
      <w:r>
        <w:rPr>
          <w:rFonts w:hint="eastAsia" w:eastAsia="仿宋_GB2312" w:cs="Times New Roman"/>
        </w:rPr>
        <w:t>区</w:t>
      </w:r>
      <w:r>
        <w:rPr>
          <w:rFonts w:eastAsia="仿宋_GB2312" w:cs="Times New Roman"/>
        </w:rPr>
        <w:t>工业园</w:t>
      </w:r>
      <w:r>
        <w:rPr>
          <w:rFonts w:hint="eastAsia" w:eastAsia="仿宋_GB2312" w:cs="Times New Roman"/>
          <w:lang w:val="en-US" w:eastAsia="zh-CN"/>
        </w:rPr>
        <w:t>三</w:t>
      </w:r>
      <w:r>
        <w:rPr>
          <w:rFonts w:eastAsia="仿宋_GB2312" w:cs="Times New Roman"/>
        </w:rPr>
        <w:t>期、</w:t>
      </w:r>
      <w:r>
        <w:rPr>
          <w:rFonts w:hint="eastAsia" w:eastAsia="仿宋_GB2312" w:cs="Times New Roman"/>
        </w:rPr>
        <w:t>源城区第</w:t>
      </w:r>
      <w:r>
        <w:rPr>
          <w:rFonts w:eastAsia="仿宋_GB2312" w:cs="Times New Roman"/>
        </w:rPr>
        <w:t>四期</w:t>
      </w:r>
      <w:r>
        <w:rPr>
          <w:rFonts w:hint="eastAsia" w:eastAsia="仿宋_GB2312" w:cs="Times New Roman"/>
        </w:rPr>
        <w:t>扩园</w:t>
      </w:r>
      <w:r>
        <w:rPr>
          <w:rFonts w:eastAsia="仿宋_GB2312" w:cs="Times New Roman"/>
        </w:rPr>
        <w:t>（低碳产业园）、</w:t>
      </w:r>
      <w:r>
        <w:rPr>
          <w:rFonts w:hint="eastAsia" w:eastAsia="仿宋_GB2312" w:cs="Times New Roman"/>
        </w:rPr>
        <w:t>源城区第</w:t>
      </w:r>
      <w:r>
        <w:rPr>
          <w:rFonts w:eastAsia="仿宋_GB2312" w:cs="Times New Roman"/>
        </w:rPr>
        <w:t>五期扩园（5G产业城）、河源江东新区等重点产业平台建设，是源城区落实</w:t>
      </w:r>
      <w:r>
        <w:rPr>
          <w:rFonts w:hint="eastAsia" w:ascii="仿宋_GB2312" w:hAnsi="仿宋_GB2312" w:eastAsia="仿宋_GB2312" w:cs="仿宋_GB2312"/>
        </w:rPr>
        <w:t>“融湾”“融深”</w:t>
      </w:r>
      <w:r>
        <w:rPr>
          <w:rFonts w:eastAsia="仿宋_GB2312" w:cs="Times New Roman"/>
        </w:rPr>
        <w:t>发展策略的重要实现抓手。</w:t>
      </w:r>
    </w:p>
    <w:bookmarkEnd w:id="7"/>
    <w:p>
      <w:pPr>
        <w:pStyle w:val="5"/>
        <w:ind w:firstLine="0" w:firstLineChars="0"/>
        <w:rPr>
          <w:rFonts w:eastAsia="仿宋_GB2312" w:cs="Times New Roman"/>
        </w:rPr>
      </w:pPr>
      <w:bookmarkStart w:id="8" w:name="_Hlk91231851"/>
      <w:r>
        <w:rPr>
          <w:rFonts w:hint="eastAsia" w:eastAsia="仿宋_GB2312" w:cs="Times New Roman"/>
          <w:lang w:val="en-US" w:eastAsia="zh-CN"/>
        </w:rPr>
        <w:t>2.</w:t>
      </w:r>
      <w:r>
        <w:rPr>
          <w:rFonts w:eastAsia="仿宋_GB2312" w:cs="Times New Roman"/>
        </w:rPr>
        <w:t>促进基础设施建设和产业升级的重要举措</w:t>
      </w:r>
    </w:p>
    <w:bookmarkEnd w:id="8"/>
    <w:p>
      <w:pPr>
        <w:ind w:firstLine="560"/>
        <w:rPr>
          <w:rFonts w:eastAsia="仿宋_GB2312" w:cs="Times New Roman"/>
        </w:rPr>
      </w:pPr>
      <w:bookmarkStart w:id="9" w:name="_Hlk85055261"/>
      <w:r>
        <w:rPr>
          <w:rFonts w:eastAsia="仿宋_GB2312" w:cs="Times New Roman"/>
        </w:rPr>
        <w:t>新一代信息技术、生物技术、新能源技术、新材料技术、智能制造技术等领域必将取得革命性突破，必将推动世界产生更大改变。在新一轮科技革命和产业变革中，人类发展更加注重绿色、低碳、健康、智能、品质和便利，将为源城区产业高质量发展提供创新要素支撑。扎实推进河源高新区、5G产业园、水经济产业园、低碳产业园、河源江东新区等区域开发建设，推进园区道路、绿化等基础设施建设，持续改善园区基础设施和产业生态环境，争创省级经济技术开发区。</w:t>
      </w:r>
    </w:p>
    <w:bookmarkEnd w:id="9"/>
    <w:p>
      <w:pPr>
        <w:pStyle w:val="5"/>
        <w:ind w:firstLine="0" w:firstLineChars="0"/>
        <w:rPr>
          <w:rFonts w:eastAsia="仿宋_GB2312" w:cs="Times New Roman"/>
        </w:rPr>
      </w:pPr>
      <w:bookmarkStart w:id="10" w:name="_Hlk84929531"/>
      <w:r>
        <w:rPr>
          <w:rFonts w:hint="eastAsia" w:eastAsia="仿宋_GB2312" w:cs="Times New Roman"/>
          <w:lang w:val="en-US" w:eastAsia="zh-CN"/>
        </w:rPr>
        <w:t>3.</w:t>
      </w:r>
      <w:r>
        <w:rPr>
          <w:rFonts w:eastAsia="仿宋_GB2312" w:cs="Times New Roman"/>
        </w:rPr>
        <w:t>构建城市发展新空间格局的重要举措</w:t>
      </w:r>
    </w:p>
    <w:bookmarkEnd w:id="10"/>
    <w:p>
      <w:pPr>
        <w:ind w:firstLine="560"/>
        <w:rPr>
          <w:rFonts w:eastAsia="仿宋_GB2312" w:cs="Times New Roman"/>
        </w:rPr>
      </w:pPr>
      <w:bookmarkStart w:id="11" w:name="_Hlk84929541"/>
      <w:r>
        <w:rPr>
          <w:rFonts w:hint="eastAsia" w:ascii="仿宋_GB2312" w:hAnsi="仿宋_GB2312" w:eastAsia="仿宋_GB2312" w:cs="仿宋_GB2312"/>
        </w:rPr>
        <w:t>“十四五”</w:t>
      </w:r>
      <w:r>
        <w:rPr>
          <w:rFonts w:eastAsia="仿宋_GB2312" w:cs="Times New Roman"/>
        </w:rPr>
        <w:t>时期，源城将推进中心城区</w:t>
      </w:r>
      <w:r>
        <w:rPr>
          <w:rFonts w:hint="eastAsia" w:eastAsia="仿宋_GB2312" w:cs="Times New Roman"/>
          <w:lang w:eastAsia="zh-CN"/>
        </w:rPr>
        <w:t>、</w:t>
      </w:r>
      <w:r>
        <w:rPr>
          <w:rFonts w:eastAsia="仿宋_GB2312" w:cs="Times New Roman"/>
        </w:rPr>
        <w:t>埔前镇、源南镇、</w:t>
      </w:r>
      <w:r>
        <w:rPr>
          <w:rFonts w:hint="eastAsia" w:eastAsia="仿宋_GB2312" w:cs="Times New Roman"/>
        </w:rPr>
        <w:t>城东街道</w:t>
      </w:r>
      <w:r>
        <w:rPr>
          <w:rFonts w:hint="eastAsia" w:eastAsia="仿宋_GB2312" w:cs="Times New Roman"/>
          <w:lang w:eastAsia="zh-CN"/>
        </w:rPr>
        <w:t>、</w:t>
      </w:r>
      <w:r>
        <w:rPr>
          <w:rFonts w:hint="eastAsia" w:eastAsia="仿宋_GB2312" w:cs="Times New Roman"/>
          <w:lang w:val="en-US" w:eastAsia="zh-CN"/>
        </w:rPr>
        <w:t>东埔街道</w:t>
      </w:r>
      <w:r>
        <w:rPr>
          <w:rFonts w:eastAsia="仿宋_GB2312" w:cs="Times New Roman"/>
        </w:rPr>
        <w:t>和区工业园产城融合、绿色发展，构建城市发展新空间格局。积极对接</w:t>
      </w:r>
      <w:r>
        <w:rPr>
          <w:rFonts w:hint="eastAsia" w:ascii="仿宋_GB2312" w:hAnsi="仿宋_GB2312" w:eastAsia="仿宋_GB2312" w:cs="仿宋_GB2312"/>
        </w:rPr>
        <w:t>“双区”</w:t>
      </w:r>
      <w:r>
        <w:rPr>
          <w:rFonts w:eastAsia="仿宋_GB2312" w:cs="Times New Roman"/>
        </w:rPr>
        <w:t>、融入市区，强化区域交通联系，配合</w:t>
      </w:r>
      <w:r>
        <w:rPr>
          <w:rFonts w:hint="eastAsia" w:ascii="仿宋_GB2312" w:hAnsi="仿宋_GB2312" w:eastAsia="仿宋_GB2312" w:cs="仿宋_GB2312"/>
        </w:rPr>
        <w:t>“三桥十路”</w:t>
      </w:r>
      <w:r>
        <w:rPr>
          <w:rFonts w:eastAsia="仿宋_GB2312" w:cs="Times New Roman"/>
        </w:rPr>
        <w:t>等市政设施建设，加快打通</w:t>
      </w:r>
      <w:r>
        <w:rPr>
          <w:rFonts w:hint="eastAsia" w:ascii="仿宋_GB2312" w:hAnsi="仿宋_GB2312" w:eastAsia="仿宋_GB2312" w:cs="仿宋_GB2312"/>
        </w:rPr>
        <w:t>“动脉血管”</w:t>
      </w:r>
      <w:r>
        <w:rPr>
          <w:rFonts w:eastAsia="仿宋_GB2312" w:cs="Times New Roman"/>
        </w:rPr>
        <w:t>，完善与市产业高质量发展功能平台、城市高质量发展区域平台的通道，实现内优外联。推动新型工业化、信息化、城镇化、农业现代化同步发展，推进旅游业提质发展，打造</w:t>
      </w:r>
      <w:r>
        <w:rPr>
          <w:rFonts w:hint="eastAsia" w:ascii="仿宋_GB2312" w:hAnsi="仿宋_GB2312" w:eastAsia="仿宋_GB2312" w:cs="仿宋_GB2312"/>
        </w:rPr>
        <w:t>“双区”</w:t>
      </w:r>
      <w:r>
        <w:rPr>
          <w:rFonts w:eastAsia="仿宋_GB2312" w:cs="Times New Roman"/>
        </w:rPr>
        <w:t>现代产业延伸区和现代产业新城。围绕城市扩容、产业发展，抓好重大项目</w:t>
      </w:r>
      <w:r>
        <w:rPr>
          <w:rFonts w:hint="eastAsia" w:eastAsia="仿宋_GB2312" w:cs="Times New Roman"/>
          <w:lang w:val="en-US" w:eastAsia="zh-CN"/>
        </w:rPr>
        <w:t>建设</w:t>
      </w:r>
      <w:r>
        <w:rPr>
          <w:rFonts w:eastAsia="仿宋_GB2312" w:cs="Times New Roman"/>
        </w:rPr>
        <w:t>和产业平台规划建设，打造河源新</w:t>
      </w:r>
      <w:r>
        <w:rPr>
          <w:rFonts w:hint="eastAsia" w:ascii="仿宋_GB2312" w:hAnsi="仿宋_GB2312" w:eastAsia="仿宋_GB2312" w:cs="仿宋_GB2312"/>
        </w:rPr>
        <w:t>“城市客厅”</w:t>
      </w:r>
      <w:r>
        <w:rPr>
          <w:rFonts w:eastAsia="仿宋_GB2312" w:cs="Times New Roman"/>
        </w:rPr>
        <w:t>和都市经济新引擎，建设都市经济发展示范窗口。</w:t>
      </w:r>
      <w:bookmarkEnd w:id="11"/>
    </w:p>
    <w:p>
      <w:pPr>
        <w:pStyle w:val="4"/>
        <w:ind w:firstLine="0" w:firstLineChars="0"/>
        <w:rPr>
          <w:rFonts w:ascii="Times New Roman" w:hAnsi="Times New Roman" w:eastAsia="仿宋_GB2312" w:cs="Times New Roman"/>
        </w:rPr>
      </w:pPr>
      <w:bookmarkStart w:id="12" w:name="_Toc20238"/>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二</w:t>
      </w:r>
      <w:r>
        <w:rPr>
          <w:rFonts w:hint="eastAsia" w:ascii="Times New Roman" w:hAnsi="Times New Roman" w:eastAsia="仿宋_GB2312" w:cs="Times New Roman"/>
          <w:lang w:eastAsia="zh-CN"/>
        </w:rPr>
        <w:t>）</w:t>
      </w:r>
      <w:r>
        <w:rPr>
          <w:rFonts w:ascii="Times New Roman" w:hAnsi="Times New Roman" w:eastAsia="仿宋_GB2312" w:cs="Times New Roman"/>
        </w:rPr>
        <w:t>土地用途与实现功能</w:t>
      </w:r>
      <w:bookmarkEnd w:id="12"/>
    </w:p>
    <w:p>
      <w:pPr>
        <w:ind w:firstLine="560"/>
        <w:rPr>
          <w:rFonts w:eastAsia="仿宋_GB2312" w:cs="Times New Roman"/>
        </w:rPr>
      </w:pPr>
      <w:r>
        <w:rPr>
          <w:rFonts w:eastAsia="仿宋_GB2312" w:cs="Times New Roman"/>
        </w:rPr>
        <w:t>本次成片开发范围共包括</w:t>
      </w:r>
      <w:r>
        <w:rPr>
          <w:rFonts w:hint="eastAsia" w:eastAsia="仿宋_GB2312" w:cs="Times New Roman"/>
        </w:rPr>
        <w:t>1</w:t>
      </w:r>
      <w:r>
        <w:rPr>
          <w:rFonts w:hint="eastAsia" w:eastAsia="仿宋_GB2312" w:cs="Times New Roman"/>
          <w:lang w:val="en-US" w:eastAsia="zh-CN"/>
        </w:rPr>
        <w:t>5</w:t>
      </w:r>
      <w:r>
        <w:rPr>
          <w:rFonts w:hint="eastAsia" w:eastAsia="仿宋_GB2312" w:cs="Times New Roman"/>
        </w:rPr>
        <w:t>个</w:t>
      </w:r>
      <w:r>
        <w:rPr>
          <w:rFonts w:eastAsia="仿宋_GB2312" w:cs="Times New Roman"/>
        </w:rPr>
        <w:t>成片开发范围，主要用途为工业用地、物流仓储用地、商住用地、配套设施用地等类型。成片开发范围的最终用途以法定规划实际批复用地性质为准。</w:t>
      </w:r>
    </w:p>
    <w:p>
      <w:pPr>
        <w:pStyle w:val="4"/>
        <w:ind w:firstLine="0" w:firstLineChars="0"/>
        <w:rPr>
          <w:rFonts w:hint="eastAsia" w:ascii="Times New Roman" w:hAnsi="Times New Roman" w:eastAsia="仿宋_GB2312" w:cs="Times New Roman"/>
          <w:sz w:val="32"/>
          <w:szCs w:val="28"/>
          <w:lang w:eastAsia="zh-CN"/>
        </w:rPr>
      </w:pPr>
      <w:r>
        <w:rPr>
          <w:rFonts w:hint="eastAsia" w:ascii="Times New Roman" w:hAnsi="Times New Roman" w:eastAsia="仿宋_GB2312" w:cs="Times New Roman"/>
          <w:sz w:val="32"/>
          <w:szCs w:val="28"/>
          <w:lang w:val="en-US" w:eastAsia="zh-CN"/>
        </w:rPr>
        <w:t>三、符合性分析</w:t>
      </w:r>
    </w:p>
    <w:p>
      <w:pPr>
        <w:ind w:firstLine="560"/>
        <w:rPr>
          <w:rFonts w:hint="eastAsia" w:eastAsia="仿宋_GB2312" w:cs="Times New Roman"/>
          <w:lang w:val="en-US" w:eastAsia="zh-CN"/>
        </w:rPr>
      </w:pPr>
      <w:r>
        <w:rPr>
          <w:rFonts w:hint="eastAsia" w:eastAsia="仿宋_GB2312" w:cs="Times New Roman"/>
          <w:lang w:val="en-US" w:eastAsia="zh-CN"/>
        </w:rPr>
        <w:t>本《方案》成片开发范围未违反法律或政策的强制性规定，不涉及占用永久基本农田，不涉及生态保护红线，与“三区三线”充分衔接，并严格按规划依法依规建设。成片开发范围全部位于城镇开发边界内，《方案》符合国土空间总体规划，成片开发范围均位于国土空间规划确定的城镇建设用地范围内。本《方案》与源城区、河源高新区、河源江东新区国民经济和社会发展“</w:t>
      </w:r>
      <w:bookmarkStart w:id="13" w:name="OLE_LINK1"/>
      <w:r>
        <w:rPr>
          <w:rFonts w:hint="eastAsia" w:eastAsia="仿宋_GB2312" w:cs="Times New Roman"/>
          <w:lang w:val="en-US" w:eastAsia="zh-CN"/>
        </w:rPr>
        <w:t>十四五</w:t>
      </w:r>
      <w:bookmarkEnd w:id="13"/>
      <w:r>
        <w:rPr>
          <w:rFonts w:hint="eastAsia" w:eastAsia="仿宋_GB2312" w:cs="Times New Roman"/>
          <w:lang w:val="en-US" w:eastAsia="zh-CN"/>
        </w:rPr>
        <w:t>”规划充分衔接。</w:t>
      </w:r>
    </w:p>
    <w:p>
      <w:pPr>
        <w:ind w:firstLine="560"/>
        <w:rPr>
          <w:rFonts w:eastAsia="仿宋_GB2312" w:cs="Times New Roman"/>
        </w:rPr>
      </w:pPr>
      <w:r>
        <w:rPr>
          <w:rFonts w:hint="eastAsia" w:eastAsia="仿宋_GB2312" w:cs="Times New Roman"/>
          <w:lang w:val="en-US" w:eastAsia="zh-CN"/>
        </w:rPr>
        <w:t>本《方案》申报前源城区近五年土地供应和闲置情况满足供地率≥60%，土地闲置率≤5%，不存在大量批而未供或闲置土地情况，符合成片开发方案上报审查的要求。</w:t>
      </w:r>
      <w:r>
        <w:rPr>
          <w:rFonts w:eastAsia="仿宋_GB2312" w:cs="Times New Roman"/>
        </w:rPr>
        <w:t>源城区行政辖区范围内经国务院或省人民政府批准设立的开发区、产业转移园有源城高新技术产业开发区、深圳（河源）产业转移工业园、深圳大鹏（河源源城）产业转移工业园</w:t>
      </w:r>
      <w:r>
        <w:rPr>
          <w:rFonts w:hint="eastAsia" w:eastAsia="仿宋_GB2312" w:cs="Times New Roman"/>
          <w:lang w:eastAsia="zh-CN"/>
        </w:rPr>
        <w:t>，</w:t>
      </w:r>
      <w:r>
        <w:rPr>
          <w:rFonts w:eastAsia="仿宋_GB2312" w:cs="Times New Roman"/>
        </w:rPr>
        <w:t>各园区近五年不存在土地利用效率低下的情况</w:t>
      </w:r>
      <w:r>
        <w:rPr>
          <w:rFonts w:hint="eastAsia" w:eastAsia="仿宋_GB2312" w:cs="Times New Roman"/>
          <w:lang w:eastAsia="zh-CN"/>
        </w:rPr>
        <w:t>。</w:t>
      </w:r>
      <w:r>
        <w:rPr>
          <w:rFonts w:hint="eastAsia" w:eastAsia="仿宋_GB2312" w:cs="Times New Roman"/>
          <w:lang w:val="en-US" w:eastAsia="zh-CN"/>
        </w:rPr>
        <w:t>源城区不存在已批准实施的土地征收成片开发连续两年未完成年度土地征收实施计划的情形，</w:t>
      </w:r>
      <w:r>
        <w:rPr>
          <w:rFonts w:eastAsia="仿宋_GB2312" w:cs="Times New Roman"/>
        </w:rPr>
        <w:t>不涉及不得批准成片开发方案的情形，符合</w:t>
      </w:r>
      <w:r>
        <w:rPr>
          <w:rFonts w:hint="eastAsia" w:eastAsia="仿宋_GB2312" w:cs="Times New Roman"/>
        </w:rPr>
        <w:t>《土地征收成片开发标准》（自然资规〔2023〕7号）《广东省自然资源厅关于进一步规范土地征收成片开发工作的通知》（粤自然资规字〔2024〕7号）</w:t>
      </w:r>
      <w:r>
        <w:rPr>
          <w:rFonts w:eastAsia="仿宋_GB2312" w:cs="Times New Roman"/>
        </w:rPr>
        <w:t>的要求。</w:t>
      </w:r>
    </w:p>
    <w:p>
      <w:pPr>
        <w:pStyle w:val="4"/>
        <w:ind w:firstLine="0" w:firstLineChars="0"/>
        <w:rPr>
          <w:rFonts w:hint="eastAsia" w:ascii="Times New Roman" w:hAnsi="Times New Roman" w:eastAsia="仿宋_GB2312" w:cs="Times New Roman"/>
          <w:sz w:val="32"/>
          <w:szCs w:val="28"/>
          <w:lang w:eastAsia="zh-CN"/>
        </w:rPr>
      </w:pPr>
      <w:r>
        <w:rPr>
          <w:rFonts w:hint="eastAsia" w:ascii="Times New Roman" w:hAnsi="Times New Roman" w:eastAsia="仿宋_GB2312" w:cs="Times New Roman"/>
          <w:sz w:val="32"/>
          <w:szCs w:val="28"/>
          <w:lang w:val="en-US" w:eastAsia="zh-CN"/>
        </w:rPr>
        <w:t>四、</w:t>
      </w:r>
      <w:r>
        <w:rPr>
          <w:rFonts w:ascii="Times New Roman" w:hAnsi="Times New Roman" w:eastAsia="仿宋_GB2312" w:cs="Times New Roman"/>
          <w:sz w:val="32"/>
          <w:szCs w:val="28"/>
        </w:rPr>
        <w:t>公益性用地</w:t>
      </w:r>
      <w:r>
        <w:rPr>
          <w:rFonts w:hint="eastAsia" w:ascii="Times New Roman" w:hAnsi="Times New Roman" w:eastAsia="仿宋_GB2312" w:cs="Times New Roman"/>
          <w:sz w:val="32"/>
          <w:szCs w:val="28"/>
          <w:lang w:val="en-US" w:eastAsia="zh-CN"/>
        </w:rPr>
        <w:t>分析</w:t>
      </w:r>
    </w:p>
    <w:p>
      <w:pPr>
        <w:ind w:firstLine="560"/>
        <w:rPr>
          <w:rFonts w:hint="eastAsia" w:eastAsia="仿宋_GB2312" w:cs="Times New Roman"/>
        </w:rPr>
      </w:pPr>
      <w:r>
        <w:rPr>
          <w:rFonts w:hint="eastAsia" w:eastAsia="仿宋_GB2312" w:cs="Times New Roman"/>
          <w:lang w:val="en-US" w:eastAsia="zh-CN"/>
        </w:rPr>
        <w:t>本《方案》成片开发范围内公益用地为道路与交通设施用地、公园绿地、防护绿地、公用设施用地，</w:t>
      </w:r>
      <w:r>
        <w:rPr>
          <w:rFonts w:eastAsia="仿宋_GB2312" w:cs="Times New Roman"/>
        </w:rPr>
        <w:t>成片开发范围内公益性用地总面积</w:t>
      </w:r>
      <w:r>
        <w:rPr>
          <w:rFonts w:hint="eastAsia" w:eastAsia="仿宋_GB2312" w:cs="Times New Roman"/>
          <w:lang w:val="en-US" w:eastAsia="zh-CN"/>
        </w:rPr>
        <w:t>57.8665</w:t>
      </w:r>
      <w:r>
        <w:rPr>
          <w:rFonts w:eastAsia="仿宋_GB2312" w:cs="Times New Roman"/>
        </w:rPr>
        <w:t>公顷，占成片开发总面积的</w:t>
      </w:r>
      <w:r>
        <w:rPr>
          <w:rFonts w:hint="eastAsia" w:eastAsia="仿宋_GB2312" w:cs="Times New Roman"/>
          <w:lang w:val="en-US" w:eastAsia="zh-CN"/>
        </w:rPr>
        <w:t>39.84</w:t>
      </w:r>
      <w:r>
        <w:rPr>
          <w:rFonts w:eastAsia="仿宋_GB2312" w:cs="Times New Roman"/>
        </w:rPr>
        <w:t>%。且各</w:t>
      </w:r>
      <w:r>
        <w:rPr>
          <w:rFonts w:hint="eastAsia" w:eastAsia="仿宋_GB2312" w:cs="Times New Roman"/>
          <w:lang w:val="en-US" w:eastAsia="zh-CN"/>
        </w:rPr>
        <w:t>片区</w:t>
      </w:r>
      <w:r>
        <w:rPr>
          <w:rFonts w:eastAsia="仿宋_GB2312" w:cs="Times New Roman"/>
        </w:rPr>
        <w:t>成片开发范围公益性用地比例均超过</w:t>
      </w:r>
      <w:r>
        <w:rPr>
          <w:rFonts w:hint="eastAsia" w:eastAsia="仿宋_GB2312" w:cs="Times New Roman"/>
          <w:lang w:val="en-US" w:eastAsia="zh-CN"/>
        </w:rPr>
        <w:t>30</w:t>
      </w:r>
      <w:r>
        <w:rPr>
          <w:rFonts w:eastAsia="仿宋_GB2312" w:cs="Times New Roman"/>
        </w:rPr>
        <w:t>%，</w:t>
      </w:r>
      <w:r>
        <w:rPr>
          <w:rFonts w:hint="eastAsia" w:eastAsia="仿宋_GB2312" w:cs="Times New Roman"/>
        </w:rPr>
        <w:t>符合《土地征收成片开标准》（自然资规〔2023〕7号）《广东省自然资源厅关于进一步规范土地征收成片开发工作的通知》（粤自然资规字〔2024〕7号）有关公益性</w:t>
      </w:r>
      <w:r>
        <w:rPr>
          <w:rFonts w:hint="eastAsia" w:eastAsia="仿宋_GB2312" w:cs="Times New Roman"/>
          <w:lang w:val="en-US" w:eastAsia="zh-CN"/>
        </w:rPr>
        <w:t>用地比例</w:t>
      </w:r>
      <w:r>
        <w:rPr>
          <w:rFonts w:hint="eastAsia" w:eastAsia="仿宋_GB2312" w:cs="Times New Roman"/>
        </w:rPr>
        <w:t>要求。</w:t>
      </w:r>
    </w:p>
    <w:p>
      <w:pPr>
        <w:pStyle w:val="10"/>
        <w:outlineLvl w:val="9"/>
        <w:rPr>
          <w:rFonts w:eastAsia="仿宋_GB2312"/>
        </w:rPr>
      </w:pPr>
      <w:bookmarkStart w:id="14" w:name="_Hlk91155130"/>
      <w:r>
        <w:rPr>
          <w:rFonts w:eastAsia="仿宋_GB2312"/>
        </w:rPr>
        <w:t xml:space="preserve">表 </w:t>
      </w:r>
      <w:r>
        <w:rPr>
          <w:rFonts w:hint="eastAsia" w:eastAsia="仿宋_GB2312"/>
          <w:lang w:val="en-US" w:eastAsia="zh-CN"/>
        </w:rPr>
        <w:t>4</w:t>
      </w:r>
      <w:r>
        <w:rPr>
          <w:rFonts w:eastAsia="仿宋_GB2312"/>
        </w:rPr>
        <w:t>-1 各成片开发范围公益性用地统计表</w:t>
      </w:r>
      <w:bookmarkEnd w:id="14"/>
    </w:p>
    <w:p>
      <w:pPr>
        <w:ind w:firstLine="480"/>
        <w:jc w:val="right"/>
        <w:rPr>
          <w:rFonts w:eastAsia="仿宋_GB2312" w:cs="Times New Roman"/>
          <w:sz w:val="24"/>
        </w:rPr>
      </w:pPr>
      <w:bookmarkStart w:id="15" w:name="_Hlk91155134"/>
      <w:r>
        <w:rPr>
          <w:rFonts w:eastAsia="仿宋_GB2312" w:cs="Times New Roman"/>
          <w:sz w:val="24"/>
        </w:rPr>
        <w:t>单位：公顷、%</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0"/>
        <w:gridCol w:w="1459"/>
        <w:gridCol w:w="1759"/>
        <w:gridCol w:w="1243"/>
        <w:gridCol w:w="1375"/>
        <w:gridCol w:w="1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blHeader/>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序号</w:t>
            </w:r>
          </w:p>
        </w:tc>
        <w:tc>
          <w:tcPr>
            <w:tcW w:w="8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片区名称</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片区编号</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片区面积</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公益性面积</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公益性用地比例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w:t>
            </w:r>
          </w:p>
        </w:tc>
        <w:tc>
          <w:tcPr>
            <w:tcW w:w="8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城北片区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PQBH01</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0.9047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0.9047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2</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源城区工业园片区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65.8484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20.3149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30.85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3</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PQBH03</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6.8429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2.1101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30.84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4</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PQBH04</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0.0094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0.0000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5</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PQBH05</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9.5587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3.5947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37.61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6</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PQBH06</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31.5715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20.3486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64.45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113.8309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46.3683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40.73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7</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埔前镇片区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PQBH07</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2.5048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0.7774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31.04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8</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PQBH08</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0.5506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0.2674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48.57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3.0554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1.0448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9</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江东新区片区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PQBH09</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22.9812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7.7434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33.69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10</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PQBH10</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0.4136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0.4136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23.3948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8.1570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11</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高新区片区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PQBH11</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2.0621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0.6728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32.63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12</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PQBH12</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0.6008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0.3250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54.09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13</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PQBH13</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0.3026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0.0000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2.9655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0.9978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33.65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14</w:t>
            </w:r>
          </w:p>
        </w:tc>
        <w:tc>
          <w:tcPr>
            <w:tcW w:w="8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东埔片区</w:t>
            </w: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PQBH14</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1.0843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0.3939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36.33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15</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PQBH15</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0.0063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0.0000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w:t>
            </w:r>
          </w:p>
        </w:tc>
        <w:tc>
          <w:tcPr>
            <w:tcW w:w="8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1.0906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0.3939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36.12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6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总计</w:t>
            </w:r>
          </w:p>
        </w:tc>
        <w:tc>
          <w:tcPr>
            <w:tcW w:w="7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145.2419 </w:t>
            </w:r>
          </w:p>
        </w:tc>
        <w:tc>
          <w:tcPr>
            <w:tcW w:w="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57.8665 </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 xml:space="preserve">39.84 </w:t>
            </w:r>
          </w:p>
        </w:tc>
      </w:tr>
      <w:bookmarkEnd w:id="15"/>
    </w:tbl>
    <w:p>
      <w:pPr>
        <w:pStyle w:val="5"/>
        <w:ind w:firstLine="0" w:firstLineChars="0"/>
        <w:jc w:val="both"/>
        <w:rPr>
          <w:rFonts w:hint="eastAsia" w:ascii="Times New Roman" w:hAnsi="Times New Roman" w:eastAsia="仿宋_GB2312" w:cs="Times New Roman"/>
          <w:b/>
          <w:kern w:val="2"/>
          <w:sz w:val="32"/>
          <w:szCs w:val="28"/>
          <w:lang w:val="en-US" w:eastAsia="zh-CN" w:bidi="ar-SA"/>
        </w:rPr>
      </w:pPr>
      <w:r>
        <w:rPr>
          <w:rFonts w:hint="eastAsia" w:eastAsia="仿宋_GB2312" w:cs="Times New Roman"/>
          <w:b/>
          <w:kern w:val="2"/>
          <w:sz w:val="32"/>
          <w:szCs w:val="28"/>
          <w:lang w:val="en-US" w:eastAsia="zh-CN" w:bidi="ar-SA"/>
        </w:rPr>
        <w:t>五、</w:t>
      </w:r>
      <w:r>
        <w:rPr>
          <w:rFonts w:hint="eastAsia" w:ascii="Times New Roman" w:hAnsi="Times New Roman" w:eastAsia="仿宋_GB2312" w:cs="Times New Roman"/>
          <w:b/>
          <w:kern w:val="2"/>
          <w:sz w:val="32"/>
          <w:szCs w:val="28"/>
          <w:lang w:val="en-US" w:eastAsia="zh-CN" w:bidi="ar-SA"/>
        </w:rPr>
        <w:t>拟征收地块分析</w:t>
      </w:r>
    </w:p>
    <w:p>
      <w:pPr>
        <w:ind w:firstLine="560"/>
        <w:rPr>
          <w:rFonts w:eastAsia="仿宋_GB2312" w:cs="Times New Roman"/>
        </w:rPr>
      </w:pPr>
      <w:r>
        <w:rPr>
          <w:rFonts w:eastAsia="仿宋_GB2312" w:cs="Times New Roman"/>
        </w:rPr>
        <w:t>本</w:t>
      </w:r>
      <w:r>
        <w:rPr>
          <w:rFonts w:hint="eastAsia" w:eastAsia="仿宋_GB2312" w:cs="Times New Roman"/>
          <w:lang w:eastAsia="zh-CN"/>
        </w:rPr>
        <w:t>《</w:t>
      </w:r>
      <w:r>
        <w:rPr>
          <w:rFonts w:hint="eastAsia" w:eastAsia="仿宋_GB2312" w:cs="Times New Roman"/>
          <w:lang w:val="en-US" w:eastAsia="zh-CN"/>
        </w:rPr>
        <w:t>方案</w:t>
      </w:r>
      <w:r>
        <w:rPr>
          <w:rFonts w:hint="eastAsia" w:eastAsia="仿宋_GB2312" w:cs="Times New Roman"/>
          <w:lang w:eastAsia="zh-CN"/>
        </w:rPr>
        <w:t>》</w:t>
      </w:r>
      <w:r>
        <w:rPr>
          <w:rFonts w:hint="eastAsia" w:eastAsia="仿宋_GB2312" w:cs="Times New Roman"/>
          <w:lang w:val="en-US" w:eastAsia="zh-CN"/>
        </w:rPr>
        <w:t>成片开发范围</w:t>
      </w:r>
      <w:r>
        <w:rPr>
          <w:rFonts w:eastAsia="仿宋_GB2312" w:cs="Times New Roman"/>
        </w:rPr>
        <w:t>面积</w:t>
      </w:r>
      <w:r>
        <w:rPr>
          <w:rFonts w:hint="eastAsia" w:eastAsia="仿宋_GB2312" w:cs="Times New Roman"/>
          <w:lang w:val="en-US" w:eastAsia="zh-CN"/>
        </w:rPr>
        <w:t>145.2419</w:t>
      </w:r>
      <w:r>
        <w:rPr>
          <w:rFonts w:eastAsia="仿宋_GB2312" w:cs="Times New Roman"/>
        </w:rPr>
        <w:t>公顷，其中拟征收地块面积</w:t>
      </w:r>
      <w:r>
        <w:rPr>
          <w:rFonts w:hint="eastAsia" w:eastAsia="仿宋_GB2312" w:cs="Times New Roman"/>
          <w:lang w:val="en-US" w:eastAsia="zh-CN"/>
        </w:rPr>
        <w:t>115.4629</w:t>
      </w:r>
      <w:r>
        <w:rPr>
          <w:rFonts w:eastAsia="仿宋_GB2312" w:cs="Times New Roman"/>
        </w:rPr>
        <w:t>公顷，拟征收地块面积占成片开发范围面积的</w:t>
      </w:r>
      <w:r>
        <w:rPr>
          <w:rFonts w:hint="eastAsia" w:eastAsia="仿宋_GB2312" w:cs="Times New Roman"/>
          <w:lang w:val="en-US" w:eastAsia="zh-CN"/>
        </w:rPr>
        <w:t>79.50</w:t>
      </w:r>
      <w:r>
        <w:rPr>
          <w:rFonts w:eastAsia="仿宋_GB2312" w:cs="Times New Roman"/>
        </w:rPr>
        <w:t>%，符合成片开发范围内拟征收地块面积不小于土地征收成片开发范围面积的60%的要求。</w:t>
      </w:r>
    </w:p>
    <w:p>
      <w:pPr>
        <w:pStyle w:val="5"/>
        <w:ind w:firstLine="0" w:firstLineChars="0"/>
        <w:jc w:val="both"/>
        <w:rPr>
          <w:rFonts w:hint="eastAsia" w:ascii="Times New Roman" w:hAnsi="Times New Roman" w:eastAsia="仿宋_GB2312" w:cs="Times New Roman"/>
          <w:b/>
          <w:kern w:val="2"/>
          <w:sz w:val="32"/>
          <w:szCs w:val="28"/>
          <w:lang w:val="en-US" w:eastAsia="zh-CN" w:bidi="ar-SA"/>
        </w:rPr>
      </w:pPr>
      <w:bookmarkStart w:id="16" w:name="_Toc12182"/>
      <w:r>
        <w:rPr>
          <w:rFonts w:hint="eastAsia" w:eastAsia="仿宋_GB2312" w:cs="Times New Roman"/>
          <w:b/>
          <w:kern w:val="2"/>
          <w:sz w:val="32"/>
          <w:szCs w:val="28"/>
          <w:lang w:val="en-US" w:eastAsia="zh-CN" w:bidi="ar-SA"/>
        </w:rPr>
        <w:t>六</w:t>
      </w:r>
      <w:r>
        <w:rPr>
          <w:rFonts w:hint="eastAsia" w:ascii="Times New Roman" w:hAnsi="Times New Roman" w:eastAsia="仿宋_GB2312" w:cs="Times New Roman"/>
          <w:b/>
          <w:kern w:val="2"/>
          <w:sz w:val="32"/>
          <w:szCs w:val="28"/>
          <w:lang w:val="en-US" w:eastAsia="zh-CN" w:bidi="ar-SA"/>
        </w:rPr>
        <w:t>、实施计划</w:t>
      </w:r>
      <w:bookmarkEnd w:id="16"/>
    </w:p>
    <w:p>
      <w:pPr>
        <w:pStyle w:val="4"/>
        <w:ind w:firstLine="0" w:firstLineChars="0"/>
        <w:rPr>
          <w:rFonts w:ascii="Times New Roman" w:hAnsi="Times New Roman" w:eastAsia="仿宋_GB2312" w:cs="Times New Roman"/>
        </w:rPr>
      </w:pPr>
      <w:bookmarkStart w:id="17" w:name="_Toc7565"/>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一</w:t>
      </w:r>
      <w:r>
        <w:rPr>
          <w:rFonts w:hint="eastAsia" w:ascii="Times New Roman" w:hAnsi="Times New Roman" w:eastAsia="仿宋_GB2312" w:cs="Times New Roman"/>
          <w:lang w:eastAsia="zh-CN"/>
        </w:rPr>
        <w:t>）</w:t>
      </w:r>
      <w:r>
        <w:rPr>
          <w:rFonts w:ascii="Times New Roman" w:hAnsi="Times New Roman" w:eastAsia="仿宋_GB2312" w:cs="Times New Roman"/>
        </w:rPr>
        <w:t>项目安排</w:t>
      </w:r>
      <w:bookmarkEnd w:id="17"/>
    </w:p>
    <w:p>
      <w:pPr>
        <w:ind w:firstLine="560"/>
        <w:rPr>
          <w:rFonts w:eastAsia="仿宋_GB2312" w:cs="Times New Roman"/>
        </w:rPr>
      </w:pPr>
      <w:bookmarkStart w:id="18" w:name="_Hlk73548724"/>
      <w:r>
        <w:rPr>
          <w:rFonts w:eastAsia="仿宋_GB2312" w:cs="Times New Roman"/>
        </w:rPr>
        <w:t>《方案》涉及</w:t>
      </w:r>
      <w:r>
        <w:rPr>
          <w:rFonts w:hint="eastAsia" w:eastAsia="仿宋_GB2312" w:cs="Times New Roman"/>
        </w:rPr>
        <w:t>1</w:t>
      </w:r>
      <w:r>
        <w:rPr>
          <w:rFonts w:hint="eastAsia" w:eastAsia="仿宋_GB2312" w:cs="Times New Roman"/>
          <w:lang w:val="en-US" w:eastAsia="zh-CN"/>
        </w:rPr>
        <w:t>5</w:t>
      </w:r>
      <w:r>
        <w:rPr>
          <w:rFonts w:hint="eastAsia" w:eastAsia="仿宋_GB2312" w:cs="Times New Roman"/>
        </w:rPr>
        <w:t>个</w:t>
      </w:r>
      <w:r>
        <w:rPr>
          <w:rFonts w:eastAsia="仿宋_GB2312" w:cs="Times New Roman"/>
        </w:rPr>
        <w:t>完整的成片开发范围，纳入《方案》的成片开发项目主要包括产业制造类、物流仓储类、商业居住类</w:t>
      </w:r>
      <w:bookmarkEnd w:id="18"/>
      <w:r>
        <w:rPr>
          <w:rFonts w:eastAsia="仿宋_GB2312" w:cs="Times New Roman"/>
        </w:rPr>
        <w:t>、</w:t>
      </w:r>
      <w:r>
        <w:rPr>
          <w:rFonts w:hint="eastAsia" w:eastAsia="仿宋_GB2312" w:cs="Times New Roman"/>
          <w:lang w:val="en-US" w:eastAsia="zh-CN"/>
        </w:rPr>
        <w:t>拆迁安置类、</w:t>
      </w:r>
      <w:r>
        <w:rPr>
          <w:rFonts w:eastAsia="仿宋_GB2312" w:cs="Times New Roman"/>
        </w:rPr>
        <w:t>基础设施和公共设施类项目，共计1</w:t>
      </w:r>
      <w:r>
        <w:rPr>
          <w:rFonts w:hint="eastAsia" w:eastAsia="仿宋_GB2312" w:cs="Times New Roman"/>
          <w:lang w:val="en-US" w:eastAsia="zh-CN"/>
        </w:rPr>
        <w:t>3</w:t>
      </w:r>
      <w:r>
        <w:rPr>
          <w:rFonts w:eastAsia="仿宋_GB2312" w:cs="Times New Roman"/>
        </w:rPr>
        <w:t>个项目，共需征收集体土地面积</w:t>
      </w:r>
      <w:r>
        <w:rPr>
          <w:rFonts w:hint="eastAsia" w:eastAsia="仿宋_GB2312" w:cs="Times New Roman"/>
          <w:lang w:val="en-US" w:eastAsia="zh-CN"/>
        </w:rPr>
        <w:t>115.4629</w:t>
      </w:r>
      <w:r>
        <w:rPr>
          <w:rFonts w:eastAsia="仿宋_GB2312" w:cs="Times New Roman"/>
        </w:rPr>
        <w:t>公顷。</w:t>
      </w:r>
    </w:p>
    <w:p>
      <w:pPr>
        <w:pStyle w:val="10"/>
        <w:outlineLvl w:val="9"/>
        <w:rPr>
          <w:rFonts w:eastAsia="仿宋_GB2312"/>
          <w:highlight w:val="none"/>
        </w:rPr>
      </w:pPr>
      <w:r>
        <w:rPr>
          <w:rFonts w:eastAsia="仿宋_GB2312"/>
          <w:highlight w:val="none"/>
        </w:rPr>
        <w:t xml:space="preserve">表 </w:t>
      </w:r>
      <w:r>
        <w:rPr>
          <w:rFonts w:hint="eastAsia" w:eastAsia="仿宋_GB2312"/>
          <w:highlight w:val="none"/>
          <w:lang w:val="en-US" w:eastAsia="zh-CN"/>
        </w:rPr>
        <w:t>6</w:t>
      </w:r>
      <w:r>
        <w:rPr>
          <w:rFonts w:eastAsia="仿宋_GB2312"/>
          <w:highlight w:val="none"/>
        </w:rPr>
        <w:t>-</w:t>
      </w:r>
      <w:r>
        <w:rPr>
          <w:rFonts w:eastAsia="仿宋_GB2312"/>
          <w:highlight w:val="none"/>
        </w:rPr>
        <w:fldChar w:fldCharType="begin"/>
      </w:r>
      <w:r>
        <w:rPr>
          <w:rFonts w:eastAsia="仿宋_GB2312"/>
          <w:highlight w:val="none"/>
        </w:rPr>
        <w:instrText xml:space="preserve"> SEQ 表5- \* ARABIC </w:instrText>
      </w:r>
      <w:r>
        <w:rPr>
          <w:rFonts w:eastAsia="仿宋_GB2312"/>
          <w:highlight w:val="none"/>
        </w:rPr>
        <w:fldChar w:fldCharType="separate"/>
      </w:r>
      <w:r>
        <w:rPr>
          <w:rFonts w:eastAsia="仿宋_GB2312"/>
          <w:highlight w:val="none"/>
        </w:rPr>
        <w:t>1</w:t>
      </w:r>
      <w:r>
        <w:rPr>
          <w:rFonts w:eastAsia="仿宋_GB2312"/>
          <w:highlight w:val="none"/>
        </w:rPr>
        <w:fldChar w:fldCharType="end"/>
      </w:r>
      <w:r>
        <w:rPr>
          <w:rFonts w:eastAsia="仿宋_GB2312"/>
          <w:highlight w:val="none"/>
        </w:rPr>
        <w:t xml:space="preserve"> 各项目202</w:t>
      </w:r>
      <w:r>
        <w:rPr>
          <w:rFonts w:hint="eastAsia" w:eastAsia="仿宋_GB2312"/>
          <w:highlight w:val="none"/>
          <w:lang w:val="en-US" w:eastAsia="zh-CN"/>
        </w:rPr>
        <w:t>5</w:t>
      </w:r>
      <w:r>
        <w:rPr>
          <w:rFonts w:eastAsia="仿宋_GB2312"/>
          <w:highlight w:val="none"/>
        </w:rPr>
        <w:t>-202</w:t>
      </w:r>
      <w:r>
        <w:rPr>
          <w:rFonts w:hint="eastAsia" w:eastAsia="仿宋_GB2312"/>
          <w:highlight w:val="none"/>
          <w:lang w:val="en-US" w:eastAsia="zh-CN"/>
        </w:rPr>
        <w:t>7</w:t>
      </w:r>
      <w:r>
        <w:rPr>
          <w:rFonts w:eastAsia="仿宋_GB2312"/>
          <w:highlight w:val="none"/>
        </w:rPr>
        <w:t>年土地征收实施计划一览表</w:t>
      </w:r>
    </w:p>
    <w:p>
      <w:pPr>
        <w:ind w:firstLine="480"/>
        <w:jc w:val="right"/>
        <w:rPr>
          <w:rFonts w:eastAsia="仿宋_GB2312" w:cs="Times New Roman"/>
          <w:sz w:val="24"/>
        </w:rPr>
      </w:pPr>
      <w:r>
        <w:rPr>
          <w:rFonts w:eastAsia="仿宋_GB2312" w:cs="Times New Roman"/>
          <w:sz w:val="24"/>
        </w:rPr>
        <w:t>单位：</w:t>
      </w:r>
      <w:r>
        <w:rPr>
          <w:rFonts w:hint="eastAsia" w:eastAsia="仿宋_GB2312" w:cs="Times New Roman"/>
          <w:sz w:val="24"/>
          <w:lang w:val="en-US" w:eastAsia="zh-CN"/>
        </w:rPr>
        <w:t>年、</w:t>
      </w:r>
      <w:r>
        <w:rPr>
          <w:rFonts w:eastAsia="仿宋_GB2312" w:cs="Times New Roman"/>
          <w:sz w:val="24"/>
        </w:rPr>
        <w:t>公顷</w:t>
      </w:r>
    </w:p>
    <w:tbl>
      <w:tblPr>
        <w:tblStyle w:val="22"/>
        <w:tblW w:w="513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5"/>
        <w:gridCol w:w="1068"/>
        <w:gridCol w:w="1125"/>
        <w:gridCol w:w="3288"/>
        <w:gridCol w:w="1043"/>
        <w:gridCol w:w="1077"/>
      </w:tblGrid>
      <w:tr>
        <w:tblPrEx>
          <w:tblCellMar>
            <w:top w:w="0" w:type="dxa"/>
            <w:left w:w="108" w:type="dxa"/>
            <w:bottom w:w="0" w:type="dxa"/>
            <w:right w:w="108" w:type="dxa"/>
          </w:tblCellMar>
        </w:tblPrEx>
        <w:trPr>
          <w:trHeight w:val="255" w:hRule="atLeast"/>
          <w:tblHead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片区名称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片区编号</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拟征收地块编号</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拟安排项目名称</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征收时序</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城北片区</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default" w:eastAsia="仿宋_GB2312" w:cs="Times New Roman"/>
                <w:sz w:val="21"/>
                <w:szCs w:val="21"/>
                <w:lang w:val="en-US" w:eastAsia="zh-CN"/>
              </w:rPr>
              <w:t>PQBH01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市土地储备中心永盛路商业用地项目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0.7019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源城区工业园片区</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源城区工业园第五期扩园（5G产业城）项目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56.694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3-01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源城区现代物流中心建设项目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4.7848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4-01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源城区现代物流中心建设项目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PQBH05</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5-01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源城区工业园第三期扩园项目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2025</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9.5587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PQBH06</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6-01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河源市源城区工业园第四期扩园项目（低碳产业园）</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22.1894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6-02</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河源市源城区工业园第四期扩园项目（低碳产业园）</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6-03</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河源市源城区工业园第四期扩园项目（低碳产业园）</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31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22.2961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372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合计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93.343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埔前镇片区</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PQBH07</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7-01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埔前镇再生资源利用项目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1.7628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PQBH08</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8-01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河源市源城华发金属制品有限公司用地项目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0.5505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372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合计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2.3133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江东新区片区</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PQBH09</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9-01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太二产业项目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15.2394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9-02</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城市建设起步区往宅用地</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0.1152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9-03</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城市建设起步区往宅用地</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0.5006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31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15.8552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PQBH10</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10-01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城市建设起步区商业用地项目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0.3119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372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合计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16.1671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高新区片区</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11-01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高新区墩头留用地项目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12-01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高新区食品加工厂项目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0.6008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13-01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高新区食品加工厂项目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2027</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0.3026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372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合计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2.373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r>
              <w:rPr>
                <w:rFonts w:hint="eastAsia" w:eastAsia="仿宋_GB2312" w:cs="Times New Roman"/>
                <w:sz w:val="21"/>
                <w:szCs w:val="21"/>
                <w:lang w:val="en-US" w:eastAsia="zh-CN"/>
              </w:rPr>
              <w:t>东埔片区</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0.1774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14-02</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14-03</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14-04</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14-05</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14-06</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14-07</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14-08</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14-09</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14-10</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14-11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14-12</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14-13</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14-14</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p>
        </w:tc>
        <w:tc>
          <w:tcPr>
            <w:tcW w:w="311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小计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0.5583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PQBH15</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15-01</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东埔街道拆迁安置点项目</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2026</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default" w:eastAsia="仿宋_GB2312" w:cs="Times New Roman"/>
                <w:sz w:val="21"/>
                <w:szCs w:val="21"/>
                <w:lang w:val="en-US" w:eastAsia="zh-CN"/>
              </w:rPr>
              <w:t>0.0063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仿宋_GB2312" w:cs="Times New Roman"/>
                <w:sz w:val="21"/>
                <w:szCs w:val="21"/>
                <w:lang w:val="en-US" w:eastAsia="zh-CN"/>
              </w:rPr>
            </w:pPr>
          </w:p>
        </w:tc>
        <w:tc>
          <w:tcPr>
            <w:tcW w:w="372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eastAsia="仿宋_GB2312" w:cs="Times New Roman"/>
                <w:b/>
                <w:bCs/>
                <w:sz w:val="21"/>
                <w:szCs w:val="21"/>
                <w:lang w:val="en-US" w:eastAsia="zh-CN"/>
              </w:rPr>
            </w:pPr>
            <w:r>
              <w:rPr>
                <w:rFonts w:hint="eastAsia" w:eastAsia="仿宋_GB2312" w:cs="Times New Roman"/>
                <w:b/>
                <w:bCs/>
                <w:sz w:val="21"/>
                <w:szCs w:val="21"/>
                <w:lang w:val="en-US" w:eastAsia="zh-CN"/>
              </w:rPr>
              <w:t>合计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0.5646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38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总计</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eastAsia="仿宋_GB2312" w:cs="Times New Roman"/>
                <w:b/>
                <w:bCs/>
                <w:sz w:val="21"/>
                <w:szCs w:val="21"/>
                <w:lang w:val="en-US" w:eastAsia="zh-CN"/>
              </w:rPr>
            </w:pPr>
            <w:r>
              <w:rPr>
                <w:rFonts w:hint="default" w:eastAsia="仿宋_GB2312" w:cs="Times New Roman"/>
                <w:b/>
                <w:bCs/>
                <w:sz w:val="21"/>
                <w:szCs w:val="21"/>
                <w:lang w:val="en-US" w:eastAsia="zh-CN"/>
              </w:rPr>
              <w:t>115.4629</w:t>
            </w:r>
          </w:p>
        </w:tc>
      </w:tr>
    </w:tbl>
    <w:p>
      <w:pPr>
        <w:pStyle w:val="4"/>
        <w:ind w:firstLine="0" w:firstLineChars="0"/>
        <w:rPr>
          <w:rFonts w:ascii="Times New Roman" w:hAnsi="Times New Roman" w:eastAsia="仿宋_GB2312" w:cs="Times New Roman"/>
        </w:rPr>
      </w:pPr>
      <w:bookmarkStart w:id="19" w:name="_Toc8290"/>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二</w:t>
      </w:r>
      <w:r>
        <w:rPr>
          <w:rFonts w:hint="eastAsia" w:ascii="Times New Roman" w:hAnsi="Times New Roman" w:eastAsia="仿宋_GB2312" w:cs="Times New Roman"/>
          <w:lang w:eastAsia="zh-CN"/>
        </w:rPr>
        <w:t>）</w:t>
      </w:r>
      <w:r>
        <w:rPr>
          <w:rFonts w:ascii="Times New Roman" w:hAnsi="Times New Roman" w:eastAsia="仿宋_GB2312" w:cs="Times New Roman"/>
        </w:rPr>
        <w:t>开发时序与实施计划</w:t>
      </w:r>
      <w:bookmarkEnd w:id="19"/>
    </w:p>
    <w:p>
      <w:pPr>
        <w:ind w:firstLine="560"/>
        <w:rPr>
          <w:rFonts w:eastAsia="仿宋_GB2312" w:cs="Times New Roman"/>
        </w:rPr>
      </w:pPr>
      <w:bookmarkStart w:id="20" w:name="_Hlk84926898"/>
      <w:r>
        <w:rPr>
          <w:rFonts w:eastAsia="仿宋_GB2312" w:cs="Times New Roman"/>
          <w:highlight w:val="none"/>
        </w:rPr>
        <w:t>结合规划建设计划、被征地单位意愿、征地资金情况、土地审批信息情况等因素，确定各成片开发项目的开发时序，制定了三年实施计划，即202</w:t>
      </w:r>
      <w:r>
        <w:rPr>
          <w:rFonts w:hint="eastAsia" w:eastAsia="仿宋_GB2312" w:cs="Times New Roman"/>
          <w:highlight w:val="none"/>
          <w:lang w:val="en-US" w:eastAsia="zh-CN"/>
        </w:rPr>
        <w:t>5</w:t>
      </w:r>
      <w:r>
        <w:rPr>
          <w:rFonts w:eastAsia="仿宋_GB2312" w:cs="Times New Roman"/>
          <w:highlight w:val="none"/>
        </w:rPr>
        <w:t>-202</w:t>
      </w:r>
      <w:r>
        <w:rPr>
          <w:rFonts w:hint="eastAsia" w:eastAsia="仿宋_GB2312" w:cs="Times New Roman"/>
          <w:highlight w:val="none"/>
          <w:lang w:val="en-US" w:eastAsia="zh-CN"/>
        </w:rPr>
        <w:t>7</w:t>
      </w:r>
      <w:r>
        <w:rPr>
          <w:rFonts w:eastAsia="仿宋_GB2312" w:cs="Times New Roman"/>
          <w:highlight w:val="none"/>
        </w:rPr>
        <w:t>年完成</w:t>
      </w:r>
      <w:r>
        <w:rPr>
          <w:rFonts w:hint="eastAsia" w:eastAsia="仿宋_GB2312" w:cs="Times New Roman"/>
          <w:highlight w:val="none"/>
          <w:lang w:val="en-US" w:eastAsia="zh-CN"/>
        </w:rPr>
        <w:t>115.2601</w:t>
      </w:r>
      <w:r>
        <w:rPr>
          <w:rFonts w:eastAsia="仿宋_GB2312" w:cs="Times New Roman"/>
          <w:highlight w:val="none"/>
        </w:rPr>
        <w:t>公顷集体土地征收工作，其中202</w:t>
      </w:r>
      <w:r>
        <w:rPr>
          <w:rFonts w:hint="eastAsia" w:eastAsia="仿宋_GB2312" w:cs="Times New Roman"/>
          <w:highlight w:val="none"/>
          <w:lang w:val="en-US" w:eastAsia="zh-CN"/>
        </w:rPr>
        <w:t>5</w:t>
      </w:r>
      <w:r>
        <w:rPr>
          <w:rFonts w:eastAsia="仿宋_GB2312" w:cs="Times New Roman"/>
          <w:highlight w:val="none"/>
        </w:rPr>
        <w:t>年计划征收</w:t>
      </w:r>
      <w:r>
        <w:rPr>
          <w:rFonts w:hint="eastAsia" w:eastAsia="仿宋_GB2312" w:cs="Times New Roman"/>
          <w:highlight w:val="none"/>
          <w:lang w:val="en-US" w:eastAsia="zh-CN"/>
        </w:rPr>
        <w:t>9.5587</w:t>
      </w:r>
      <w:r>
        <w:rPr>
          <w:rFonts w:eastAsia="仿宋_GB2312" w:cs="Times New Roman"/>
          <w:highlight w:val="none"/>
        </w:rPr>
        <w:t>公顷，202</w:t>
      </w:r>
      <w:r>
        <w:rPr>
          <w:rFonts w:hint="eastAsia" w:eastAsia="仿宋_GB2312" w:cs="Times New Roman"/>
          <w:highlight w:val="none"/>
          <w:lang w:val="en-US" w:eastAsia="zh-CN"/>
        </w:rPr>
        <w:t>6</w:t>
      </w:r>
      <w:r>
        <w:rPr>
          <w:rFonts w:eastAsia="仿宋_GB2312" w:cs="Times New Roman"/>
          <w:highlight w:val="none"/>
        </w:rPr>
        <w:t>年计划征收</w:t>
      </w:r>
      <w:r>
        <w:rPr>
          <w:rFonts w:hint="eastAsia" w:eastAsia="仿宋_GB2312" w:cs="Times New Roman"/>
          <w:highlight w:val="none"/>
          <w:lang w:val="en-US" w:eastAsia="zh-CN"/>
        </w:rPr>
        <w:t>45.9095</w:t>
      </w:r>
      <w:r>
        <w:rPr>
          <w:rFonts w:eastAsia="仿宋_GB2312" w:cs="Times New Roman"/>
          <w:highlight w:val="none"/>
        </w:rPr>
        <w:t>公顷，202</w:t>
      </w:r>
      <w:r>
        <w:rPr>
          <w:rFonts w:hint="eastAsia" w:eastAsia="仿宋_GB2312" w:cs="Times New Roman"/>
          <w:highlight w:val="none"/>
          <w:lang w:val="en-US" w:eastAsia="zh-CN"/>
        </w:rPr>
        <w:t>7</w:t>
      </w:r>
      <w:r>
        <w:rPr>
          <w:rFonts w:eastAsia="仿宋_GB2312" w:cs="Times New Roman"/>
          <w:highlight w:val="none"/>
        </w:rPr>
        <w:t>年计划征收</w:t>
      </w:r>
      <w:r>
        <w:rPr>
          <w:rFonts w:hint="eastAsia" w:eastAsia="仿宋_GB2312" w:cs="Times New Roman"/>
          <w:highlight w:val="none"/>
          <w:lang w:val="en-US" w:eastAsia="zh-CN"/>
        </w:rPr>
        <w:t>59.9947</w:t>
      </w:r>
      <w:r>
        <w:rPr>
          <w:rFonts w:eastAsia="仿宋_GB2312" w:cs="Times New Roman"/>
          <w:highlight w:val="none"/>
        </w:rPr>
        <w:t>公顷。</w:t>
      </w:r>
      <w:bookmarkEnd w:id="20"/>
      <w:r>
        <w:rPr>
          <w:rFonts w:eastAsia="仿宋_GB2312" w:cs="Times New Roman"/>
        </w:rPr>
        <w:t>各片区202</w:t>
      </w:r>
      <w:r>
        <w:rPr>
          <w:rFonts w:hint="eastAsia" w:eastAsia="仿宋_GB2312" w:cs="Times New Roman"/>
          <w:lang w:val="en-US" w:eastAsia="zh-CN"/>
        </w:rPr>
        <w:t>5</w:t>
      </w:r>
      <w:r>
        <w:rPr>
          <w:rFonts w:eastAsia="仿宋_GB2312" w:cs="Times New Roman"/>
        </w:rPr>
        <w:t>-202</w:t>
      </w:r>
      <w:r>
        <w:rPr>
          <w:rFonts w:hint="eastAsia" w:eastAsia="仿宋_GB2312" w:cs="Times New Roman"/>
          <w:lang w:val="en-US" w:eastAsia="zh-CN"/>
        </w:rPr>
        <w:t>7</w:t>
      </w:r>
      <w:r>
        <w:rPr>
          <w:rFonts w:eastAsia="仿宋_GB2312" w:cs="Times New Roman"/>
        </w:rPr>
        <w:t>年实施征收时序具体见下图：</w:t>
      </w:r>
    </w:p>
    <w:p>
      <w:pPr>
        <w:ind w:firstLine="560"/>
        <w:rPr>
          <w:rFonts w:hint="default" w:eastAsia="仿宋_GB2312" w:cs="Times New Roman"/>
          <w:highlight w:val="none"/>
          <w:lang w:val="en-US" w:eastAsia="zh-CN"/>
        </w:rPr>
      </w:pPr>
    </w:p>
    <w:p>
      <w:pPr>
        <w:pStyle w:val="13"/>
        <w:ind w:left="0" w:leftChars="0" w:firstLine="0" w:firstLineChars="0"/>
        <w:rPr>
          <w:rFonts w:hint="default" w:eastAsia="宋体" w:cstheme="minorBidi"/>
          <w:lang w:val="en-US" w:eastAsia="zh-CN"/>
        </w:rPr>
      </w:pPr>
      <w:r>
        <w:rPr>
          <w:rFonts w:hint="eastAsia" w:eastAsia="宋体" w:cstheme="minorBidi"/>
          <w:lang w:eastAsia="zh-CN"/>
        </w:rPr>
        <w:drawing>
          <wp:inline distT="0" distB="0" distL="114300" distR="114300">
            <wp:extent cx="2480310" cy="3388360"/>
            <wp:effectExtent l="0" t="0" r="15240" b="2540"/>
            <wp:docPr id="21" name="图片 21" descr="F:\河源成片开发方案\2025成片开发方案\方案（正式稿）\图件\附图\7-征地时序\1-成片开发方案征地时序图城北片区001.jpg1-成片开发方案征地时序图城北片区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河源成片开发方案\2025成片开发方案\方案（正式稿）\图件\附图\7-征地时序\1-成片开发方案征地时序图城北片区001.jpg1-成片开发方案征地时序图城北片区001"/>
                    <pic:cNvPicPr>
                      <a:picLocks noChangeAspect="1"/>
                    </pic:cNvPicPr>
                  </pic:nvPicPr>
                  <pic:blipFill>
                    <a:blip r:embed="rId6"/>
                    <a:srcRect l="4933" t="6882" r="3403" b="4588"/>
                    <a:stretch>
                      <a:fillRect/>
                    </a:stretch>
                  </pic:blipFill>
                  <pic:spPr>
                    <a:xfrm>
                      <a:off x="0" y="0"/>
                      <a:ext cx="2480310" cy="3388360"/>
                    </a:xfrm>
                    <a:prstGeom prst="rect">
                      <a:avLst/>
                    </a:prstGeom>
                  </pic:spPr>
                </pic:pic>
              </a:graphicData>
            </a:graphic>
          </wp:inline>
        </w:drawing>
      </w:r>
      <w:r>
        <w:rPr>
          <w:rFonts w:hint="eastAsia" w:cstheme="minorBidi"/>
          <w:lang w:val="en-US" w:eastAsia="zh-CN"/>
        </w:rPr>
        <w:t xml:space="preserve"> </w:t>
      </w:r>
      <w:r>
        <w:rPr>
          <w:rFonts w:hint="default" w:eastAsia="宋体" w:cstheme="minorBidi"/>
          <w:lang w:val="en-US" w:eastAsia="zh-CN"/>
        </w:rPr>
        <w:drawing>
          <wp:inline distT="0" distB="0" distL="114300" distR="114300">
            <wp:extent cx="2487295" cy="3395345"/>
            <wp:effectExtent l="0" t="0" r="8255" b="14605"/>
            <wp:docPr id="23" name="图片 23" descr="F:\河源成片开发方案\2025成片开发方案\方案（正式稿）\图件\附图\7-征地时序\2-成片开发方案征地时序图源城区工业园片区002.jpg2-成片开发方案征地时序图源城区工业园片区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河源成片开发方案\2025成片开发方案\方案（正式稿）\图件\附图\7-征地时序\2-成片开发方案征地时序图源城区工业园片区002.jpg2-成片开发方案征地时序图源城区工业园片区002"/>
                    <pic:cNvPicPr>
                      <a:picLocks noChangeAspect="1"/>
                    </pic:cNvPicPr>
                  </pic:nvPicPr>
                  <pic:blipFill>
                    <a:blip r:embed="rId7"/>
                    <a:srcRect l="4952" t="6608" r="3046" b="4624"/>
                    <a:stretch>
                      <a:fillRect/>
                    </a:stretch>
                  </pic:blipFill>
                  <pic:spPr>
                    <a:xfrm>
                      <a:off x="0" y="0"/>
                      <a:ext cx="2487295" cy="339534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after="157" w:afterLines="50" w:line="240" w:lineRule="auto"/>
        <w:ind w:firstLine="0" w:firstLineChars="0"/>
        <w:jc w:val="center"/>
        <w:textAlignment w:val="auto"/>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城北片区：PQBH01                源城区工业园片区：PQBH02    </w:t>
      </w:r>
    </w:p>
    <w:p>
      <w:pPr>
        <w:pStyle w:val="13"/>
        <w:ind w:left="0" w:leftChars="0" w:firstLine="0" w:firstLineChars="0"/>
        <w:rPr>
          <w:rFonts w:hint="default" w:eastAsia="宋体" w:cstheme="minorBidi"/>
          <w:lang w:val="en-US" w:eastAsia="zh-CN"/>
        </w:rPr>
      </w:pPr>
      <w:r>
        <w:rPr>
          <w:rFonts w:hint="eastAsia" w:cstheme="minorBidi"/>
          <w:lang w:val="en-US" w:eastAsia="zh-CN"/>
        </w:rPr>
        <w:drawing>
          <wp:inline distT="0" distB="0" distL="114300" distR="114300">
            <wp:extent cx="2473325" cy="3388995"/>
            <wp:effectExtent l="0" t="0" r="3175" b="1905"/>
            <wp:docPr id="6" name="图片 6" descr="3-成片开发方案征地时序图源城区工业园片区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成片开发方案征地时序图源城区工业园片区0304"/>
                    <pic:cNvPicPr>
                      <a:picLocks noChangeAspect="1"/>
                    </pic:cNvPicPr>
                  </pic:nvPicPr>
                  <pic:blipFill>
                    <a:blip r:embed="rId8"/>
                    <a:srcRect l="5289" t="6882" r="3590" b="4855"/>
                    <a:stretch>
                      <a:fillRect/>
                    </a:stretch>
                  </pic:blipFill>
                  <pic:spPr>
                    <a:xfrm>
                      <a:off x="0" y="0"/>
                      <a:ext cx="2473325" cy="3388995"/>
                    </a:xfrm>
                    <a:prstGeom prst="rect">
                      <a:avLst/>
                    </a:prstGeom>
                  </pic:spPr>
                </pic:pic>
              </a:graphicData>
            </a:graphic>
          </wp:inline>
        </w:drawing>
      </w:r>
      <w:r>
        <w:rPr>
          <w:rFonts w:hint="eastAsia" w:cstheme="minorBidi"/>
          <w:lang w:val="en-US" w:eastAsia="zh-CN"/>
        </w:rPr>
        <w:t xml:space="preserve"> </w:t>
      </w:r>
      <w:r>
        <w:rPr>
          <w:rFonts w:hint="default" w:eastAsia="宋体" w:cstheme="minorBidi"/>
          <w:lang w:val="en-US" w:eastAsia="zh-CN"/>
        </w:rPr>
        <w:drawing>
          <wp:inline distT="0" distB="0" distL="114300" distR="114300">
            <wp:extent cx="2472055" cy="3392170"/>
            <wp:effectExtent l="0" t="0" r="0" b="0"/>
            <wp:docPr id="25" name="图片 25" descr="F:\河源成片开发方案\2025成片开发方案\方案（正式稿）\图件\附图\7-征地时序\4-成片开发方案征地时序图源城区工业园片区05.jpg4-成片开发方案征地时序图源城区工业园片区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河源成片开发方案\2025成片开发方案\方案（正式稿）\图件\附图\7-征地时序\4-成片开发方案征地时序图源城区工业园片区05.jpg4-成片开发方案征地时序图源城区工业园片区05"/>
                    <pic:cNvPicPr>
                      <a:picLocks noChangeAspect="1"/>
                    </pic:cNvPicPr>
                  </pic:nvPicPr>
                  <pic:blipFill>
                    <a:blip r:embed="rId9"/>
                    <a:srcRect l="5360" t="6664" r="3071" b="4517"/>
                    <a:stretch>
                      <a:fillRect/>
                    </a:stretch>
                  </pic:blipFill>
                  <pic:spPr>
                    <a:xfrm>
                      <a:off x="0" y="0"/>
                      <a:ext cx="2472055" cy="3392170"/>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after="157" w:afterLines="50" w:line="240" w:lineRule="auto"/>
        <w:ind w:firstLine="0" w:firstLineChars="0"/>
        <w:jc w:val="center"/>
        <w:textAlignment w:val="auto"/>
        <w:rPr>
          <w:rFonts w:eastAsia="仿宋_GB2312" w:cs="Times New Roman"/>
          <w:sz w:val="21"/>
          <w:szCs w:val="21"/>
        </w:rPr>
      </w:pPr>
      <w:r>
        <w:rPr>
          <w:rFonts w:hint="eastAsia" w:eastAsia="仿宋_GB2312" w:cs="Times New Roman"/>
          <w:sz w:val="21"/>
          <w:szCs w:val="21"/>
          <w:lang w:val="en-US" w:eastAsia="zh-CN"/>
        </w:rPr>
        <w:t>源城区工业园</w:t>
      </w:r>
      <w:r>
        <w:rPr>
          <w:rFonts w:eastAsia="仿宋_GB2312" w:cs="Times New Roman"/>
          <w:sz w:val="21"/>
          <w:szCs w:val="21"/>
        </w:rPr>
        <w:t>片区：</w:t>
      </w:r>
      <w:r>
        <w:rPr>
          <w:rFonts w:hint="eastAsia" w:eastAsia="仿宋_GB2312" w:cs="Times New Roman"/>
          <w:sz w:val="21"/>
          <w:szCs w:val="21"/>
          <w:lang w:val="en-US" w:eastAsia="zh-CN"/>
        </w:rPr>
        <w:t>PQBH03、PQBH04</w:t>
      </w:r>
      <w:r>
        <w:rPr>
          <w:rFonts w:eastAsia="仿宋_GB2312" w:cs="Times New Roman"/>
          <w:sz w:val="21"/>
          <w:szCs w:val="21"/>
        </w:rPr>
        <w:t xml:space="preserve"> </w:t>
      </w:r>
      <w:r>
        <w:rPr>
          <w:rFonts w:hint="eastAsia" w:eastAsia="仿宋_GB2312" w:cs="Times New Roman"/>
          <w:sz w:val="21"/>
          <w:szCs w:val="21"/>
          <w:lang w:val="en-US" w:eastAsia="zh-CN"/>
        </w:rPr>
        <w:t xml:space="preserve">   </w:t>
      </w:r>
      <w:r>
        <w:rPr>
          <w:rFonts w:eastAsia="仿宋_GB2312" w:cs="Times New Roman"/>
          <w:sz w:val="21"/>
          <w:szCs w:val="21"/>
        </w:rPr>
        <w:t xml:space="preserve">     </w:t>
      </w:r>
      <w:r>
        <w:rPr>
          <w:rFonts w:hint="eastAsia" w:eastAsia="仿宋" w:cs="Times New Roman"/>
          <w:sz w:val="24"/>
        </w:rPr>
        <w:t xml:space="preserve">   </w:t>
      </w:r>
      <w:r>
        <w:rPr>
          <w:rFonts w:hint="eastAsia" w:eastAsia="仿宋_GB2312" w:cs="Times New Roman"/>
          <w:sz w:val="21"/>
          <w:szCs w:val="21"/>
          <w:lang w:val="en-US" w:eastAsia="zh-CN"/>
        </w:rPr>
        <w:t>源城区工业园</w:t>
      </w:r>
      <w:r>
        <w:rPr>
          <w:rFonts w:eastAsia="仿宋_GB2312" w:cs="Times New Roman"/>
          <w:sz w:val="21"/>
          <w:szCs w:val="21"/>
        </w:rPr>
        <w:t>片区：</w:t>
      </w:r>
      <w:r>
        <w:rPr>
          <w:rFonts w:hint="eastAsia" w:eastAsia="仿宋_GB2312" w:cs="Times New Roman"/>
          <w:sz w:val="21"/>
          <w:szCs w:val="21"/>
          <w:lang w:val="en-US" w:eastAsia="zh-CN"/>
        </w:rPr>
        <w:t>PQBH</w:t>
      </w:r>
      <w:r>
        <w:rPr>
          <w:rFonts w:eastAsia="仿宋_GB2312" w:cs="Times New Roman"/>
          <w:sz w:val="21"/>
          <w:szCs w:val="21"/>
        </w:rPr>
        <w:t>0</w:t>
      </w:r>
      <w:r>
        <w:rPr>
          <w:rFonts w:hint="eastAsia" w:eastAsia="仿宋_GB2312" w:cs="Times New Roman"/>
          <w:sz w:val="21"/>
          <w:szCs w:val="21"/>
          <w:lang w:val="en-US" w:eastAsia="zh-CN"/>
        </w:rPr>
        <w:t>5</w:t>
      </w:r>
      <w:r>
        <w:rPr>
          <w:rFonts w:eastAsia="仿宋_GB2312" w:cs="Times New Roman"/>
          <w:sz w:val="21"/>
          <w:szCs w:val="21"/>
        </w:rPr>
        <w:t xml:space="preserve">    </w:t>
      </w:r>
    </w:p>
    <w:p>
      <w:pPr>
        <w:pStyle w:val="13"/>
        <w:ind w:left="0" w:leftChars="0" w:firstLine="0" w:firstLineChars="0"/>
        <w:rPr>
          <w:rFonts w:hint="default" w:eastAsia="宋体" w:cstheme="minorBidi"/>
          <w:lang w:val="en-US" w:eastAsia="zh-CN"/>
        </w:rPr>
      </w:pPr>
    </w:p>
    <w:p>
      <w:pPr>
        <w:pStyle w:val="13"/>
        <w:ind w:left="0" w:leftChars="0" w:firstLine="0" w:firstLineChars="0"/>
        <w:rPr>
          <w:rFonts w:hint="default" w:eastAsia="宋体" w:cstheme="minorBidi"/>
          <w:lang w:val="en-US" w:eastAsia="zh-CN"/>
        </w:rPr>
      </w:pPr>
      <w:r>
        <w:rPr>
          <w:rFonts w:hint="default" w:eastAsia="宋体" w:cstheme="minorBidi"/>
          <w:lang w:val="en-US" w:eastAsia="zh-CN"/>
        </w:rPr>
        <w:drawing>
          <wp:inline distT="0" distB="0" distL="114300" distR="114300">
            <wp:extent cx="2465070" cy="3392170"/>
            <wp:effectExtent l="0" t="0" r="11430" b="17780"/>
            <wp:docPr id="26" name="图片 26" descr="F:\河源成片开发方案\2025成片开发方案\方案（正式稿）\图件\附图\7-征地时序\5-成片开发方案征地时序图源城区工业园片区06.jpg5-成片开发方案征地时序图源城区工业园片区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河源成片开发方案\2025成片开发方案\方案（正式稿）\图件\附图\7-征地时序\5-成片开发方案征地时序图源城区工业园片区06.jpg5-成片开发方案征地时序图源城区工业园片区06"/>
                    <pic:cNvPicPr>
                      <a:picLocks noChangeAspect="1"/>
                    </pic:cNvPicPr>
                  </pic:nvPicPr>
                  <pic:blipFill>
                    <a:blip r:embed="rId10"/>
                    <a:srcRect l="5396" t="6370" r="3083" b="4622"/>
                    <a:stretch>
                      <a:fillRect/>
                    </a:stretch>
                  </pic:blipFill>
                  <pic:spPr>
                    <a:xfrm>
                      <a:off x="0" y="0"/>
                      <a:ext cx="2465070" cy="3392170"/>
                    </a:xfrm>
                    <a:prstGeom prst="rect">
                      <a:avLst/>
                    </a:prstGeom>
                  </pic:spPr>
                </pic:pic>
              </a:graphicData>
            </a:graphic>
          </wp:inline>
        </w:drawing>
      </w:r>
      <w:r>
        <w:rPr>
          <w:rFonts w:hint="eastAsia" w:cstheme="minorBidi"/>
          <w:lang w:val="en-US" w:eastAsia="zh-CN"/>
        </w:rPr>
        <w:t xml:space="preserve"> </w:t>
      </w:r>
      <w:r>
        <w:rPr>
          <w:rFonts w:hint="default" w:eastAsia="宋体" w:cstheme="minorBidi"/>
          <w:lang w:val="en-US" w:eastAsia="zh-CN"/>
        </w:rPr>
        <w:drawing>
          <wp:inline distT="0" distB="0" distL="114300" distR="114300">
            <wp:extent cx="2468245" cy="3392805"/>
            <wp:effectExtent l="0" t="0" r="8255" b="17145"/>
            <wp:docPr id="28" name="图片 28" descr="F:\河源成片开发方案\2025成片开发方案\方案（正式稿）\图件\附图\7-征地时序\6-成片开发方案拟征地时序图埔前片区07.jpg6-成片开发方案拟征地时序图埔前片区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河源成片开发方案\2025成片开发方案\方案（正式稿）\图件\附图\7-征地时序\6-成片开发方案拟征地时序图埔前片区07.jpg6-成片开发方案拟征地时序图埔前片区07"/>
                    <pic:cNvPicPr>
                      <a:picLocks noChangeAspect="1"/>
                    </pic:cNvPicPr>
                  </pic:nvPicPr>
                  <pic:blipFill>
                    <a:blip r:embed="rId11"/>
                    <a:srcRect l="4924" t="6398" r="3513" b="4610"/>
                    <a:stretch>
                      <a:fillRect/>
                    </a:stretch>
                  </pic:blipFill>
                  <pic:spPr>
                    <a:xfrm>
                      <a:off x="0" y="0"/>
                      <a:ext cx="2468245" cy="339280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after="157" w:afterLines="50" w:line="240" w:lineRule="auto"/>
        <w:ind w:firstLine="0" w:firstLineChars="0"/>
        <w:jc w:val="center"/>
        <w:textAlignment w:val="auto"/>
        <w:rPr>
          <w:rFonts w:eastAsia="仿宋_GB2312" w:cs="Times New Roman"/>
          <w:sz w:val="21"/>
          <w:szCs w:val="21"/>
        </w:rPr>
      </w:pPr>
      <w:r>
        <w:rPr>
          <w:rFonts w:hint="eastAsia" w:eastAsia="仿宋_GB2312" w:cs="Times New Roman"/>
          <w:sz w:val="21"/>
          <w:szCs w:val="21"/>
          <w:lang w:val="en-US" w:eastAsia="zh-CN"/>
        </w:rPr>
        <w:t xml:space="preserve">源城区工业园片区：PQBH06                  埔前镇片区：PQBH07     </w:t>
      </w:r>
      <w:r>
        <w:rPr>
          <w:rFonts w:eastAsia="仿宋_GB2312" w:cs="Times New Roman"/>
          <w:sz w:val="21"/>
          <w:szCs w:val="21"/>
        </w:rPr>
        <w:t xml:space="preserve"> </w:t>
      </w:r>
    </w:p>
    <w:p>
      <w:pPr>
        <w:pStyle w:val="13"/>
        <w:ind w:left="0" w:leftChars="0" w:firstLine="0" w:firstLineChars="0"/>
        <w:rPr>
          <w:rFonts w:hint="default" w:eastAsia="宋体" w:cstheme="minorBidi"/>
          <w:lang w:val="en-US" w:eastAsia="zh-CN"/>
        </w:rPr>
      </w:pPr>
      <w:r>
        <w:rPr>
          <w:rFonts w:hint="eastAsia" w:cstheme="minorBidi"/>
          <w:lang w:val="en-US" w:eastAsia="zh-CN"/>
        </w:rPr>
        <w:drawing>
          <wp:inline distT="0" distB="0" distL="114300" distR="114300">
            <wp:extent cx="2498090" cy="3443605"/>
            <wp:effectExtent l="0" t="0" r="16510" b="4445"/>
            <wp:docPr id="3" name="图片 3" descr="成片开发方案征地时序图埔前片区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成片开发方案征地时序图埔前片区08"/>
                    <pic:cNvPicPr>
                      <a:picLocks noChangeAspect="1"/>
                    </pic:cNvPicPr>
                  </pic:nvPicPr>
                  <pic:blipFill>
                    <a:blip r:embed="rId12"/>
                    <a:srcRect l="5662" t="6755" r="3530" b="4727"/>
                    <a:stretch>
                      <a:fillRect/>
                    </a:stretch>
                  </pic:blipFill>
                  <pic:spPr>
                    <a:xfrm>
                      <a:off x="0" y="0"/>
                      <a:ext cx="2498090" cy="3443605"/>
                    </a:xfrm>
                    <a:prstGeom prst="rect">
                      <a:avLst/>
                    </a:prstGeom>
                  </pic:spPr>
                </pic:pic>
              </a:graphicData>
            </a:graphic>
          </wp:inline>
        </w:drawing>
      </w:r>
      <w:r>
        <w:rPr>
          <w:rFonts w:hint="eastAsia" w:cstheme="minorBidi"/>
          <w:lang w:val="en-US" w:eastAsia="zh-CN"/>
        </w:rPr>
        <w:t xml:space="preserve"> </w:t>
      </w:r>
      <w:r>
        <w:rPr>
          <w:rFonts w:hint="default" w:eastAsia="宋体" w:cstheme="minorBidi"/>
          <w:lang w:val="en-US" w:eastAsia="zh-CN"/>
        </w:rPr>
        <w:drawing>
          <wp:inline distT="0" distB="0" distL="114300" distR="114300">
            <wp:extent cx="2498090" cy="3425825"/>
            <wp:effectExtent l="0" t="0" r="16510" b="3175"/>
            <wp:docPr id="30" name="图片 30" descr="F:\河源成片开发方案\2025成片开发方案\方案（正式稿）\图件\附图\7-征地时序\8-成片开发方案征地时序图江东新区片区09.jpg8-成片开发方案征地时序图江东新区片区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河源成片开发方案\2025成片开发方案\方案（正式稿）\图件\附图\7-征地时序\8-成片开发方案征地时序图江东新区片区09.jpg8-成片开发方案征地时序图江东新区片区09"/>
                    <pic:cNvPicPr>
                      <a:picLocks noChangeAspect="1"/>
                    </pic:cNvPicPr>
                  </pic:nvPicPr>
                  <pic:blipFill>
                    <a:blip r:embed="rId13"/>
                    <a:srcRect l="5376" t="6160" r="3046" b="5055"/>
                    <a:stretch>
                      <a:fillRect/>
                    </a:stretch>
                  </pic:blipFill>
                  <pic:spPr>
                    <a:xfrm>
                      <a:off x="0" y="0"/>
                      <a:ext cx="2498090" cy="3425825"/>
                    </a:xfrm>
                    <a:prstGeom prst="rect">
                      <a:avLst/>
                    </a:prstGeom>
                  </pic:spPr>
                </pic:pic>
              </a:graphicData>
            </a:graphic>
          </wp:inline>
        </w:drawing>
      </w:r>
    </w:p>
    <w:p>
      <w:pPr>
        <w:pStyle w:val="13"/>
        <w:ind w:left="0" w:leftChars="0" w:firstLine="1050" w:firstLineChars="500"/>
        <w:rPr>
          <w:rFonts w:hint="default" w:eastAsia="宋体" w:cstheme="minorBidi"/>
          <w:lang w:val="en-US" w:eastAsia="zh-CN"/>
        </w:rPr>
      </w:pPr>
      <w:r>
        <w:rPr>
          <w:rFonts w:hint="eastAsia" w:eastAsia="仿宋_GB2312" w:cs="Times New Roman"/>
          <w:sz w:val="21"/>
          <w:szCs w:val="21"/>
          <w:lang w:val="en-US" w:eastAsia="zh-CN"/>
        </w:rPr>
        <w:t xml:space="preserve">埔前镇片区：PQBH08                江东新区片区：PQBH09   </w:t>
      </w:r>
    </w:p>
    <w:p>
      <w:pPr>
        <w:pStyle w:val="13"/>
        <w:ind w:left="0" w:leftChars="0" w:firstLine="0" w:firstLineChars="0"/>
        <w:rPr>
          <w:rFonts w:hint="default" w:eastAsia="宋体" w:cstheme="minorBidi"/>
          <w:lang w:val="en-US" w:eastAsia="zh-CN"/>
        </w:rPr>
      </w:pPr>
      <w:bookmarkStart w:id="21" w:name="OLE_LINK2"/>
      <w:r>
        <w:rPr>
          <w:rFonts w:hint="default" w:eastAsia="宋体" w:cstheme="minorBidi"/>
          <w:lang w:val="en-US" w:eastAsia="zh-CN"/>
        </w:rPr>
        <w:drawing>
          <wp:inline distT="0" distB="0" distL="114300" distR="114300">
            <wp:extent cx="2487295" cy="3402965"/>
            <wp:effectExtent l="0" t="0" r="8255" b="6985"/>
            <wp:docPr id="31" name="图片 31" descr="F:\河源成片开发方案\2025成片开发方案\方案（正式稿）\图件\附图\7-征地时序\9-成片开发方案征地时序图江东新区片区10.jpg9-成片开发方案征地时序图江东新区片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河源成片开发方案\2025成片开发方案\方案（正式稿）\图件\附图\7-征地时序\9-成片开发方案征地时序图江东新区片区10.jpg9-成片开发方案征地时序图江东新区片区10"/>
                    <pic:cNvPicPr>
                      <a:picLocks noChangeAspect="1"/>
                    </pic:cNvPicPr>
                  </pic:nvPicPr>
                  <pic:blipFill>
                    <a:blip r:embed="rId14"/>
                    <a:srcRect l="4954" t="6273" r="2993" b="4700"/>
                    <a:stretch>
                      <a:fillRect/>
                    </a:stretch>
                  </pic:blipFill>
                  <pic:spPr>
                    <a:xfrm>
                      <a:off x="0" y="0"/>
                      <a:ext cx="2487295" cy="3402965"/>
                    </a:xfrm>
                    <a:prstGeom prst="rect">
                      <a:avLst/>
                    </a:prstGeom>
                  </pic:spPr>
                </pic:pic>
              </a:graphicData>
            </a:graphic>
          </wp:inline>
        </w:drawing>
      </w:r>
      <w:r>
        <w:rPr>
          <w:rFonts w:hint="eastAsia" w:cstheme="minorBidi"/>
          <w:lang w:val="en-US" w:eastAsia="zh-CN"/>
        </w:rPr>
        <w:t xml:space="preserve"> </w:t>
      </w:r>
      <w:r>
        <w:rPr>
          <w:rFonts w:hint="eastAsia" w:cstheme="minorBidi"/>
          <w:lang w:val="en-US" w:eastAsia="zh-CN"/>
        </w:rPr>
        <w:drawing>
          <wp:inline distT="0" distB="0" distL="114300" distR="114300">
            <wp:extent cx="2487295" cy="3396615"/>
            <wp:effectExtent l="0" t="0" r="8255" b="13335"/>
            <wp:docPr id="1" name="图片 1" descr="9-成片开发方案征地时序图江东新区片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成片开发方案征地时序图江东新区片区10"/>
                    <pic:cNvPicPr>
                      <a:picLocks noChangeAspect="1"/>
                    </pic:cNvPicPr>
                  </pic:nvPicPr>
                  <pic:blipFill>
                    <a:blip r:embed="rId15"/>
                    <a:srcRect l="5373" t="6780" r="3421" b="5170"/>
                    <a:stretch>
                      <a:fillRect/>
                    </a:stretch>
                  </pic:blipFill>
                  <pic:spPr>
                    <a:xfrm>
                      <a:off x="0" y="0"/>
                      <a:ext cx="2487295" cy="3396615"/>
                    </a:xfrm>
                    <a:prstGeom prst="rect">
                      <a:avLst/>
                    </a:prstGeom>
                  </pic:spPr>
                </pic:pic>
              </a:graphicData>
            </a:graphic>
          </wp:inline>
        </w:drawing>
      </w:r>
    </w:p>
    <w:p>
      <w:pPr>
        <w:pStyle w:val="13"/>
        <w:ind w:left="0" w:leftChars="0" w:firstLine="1050" w:firstLineChars="500"/>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江东新区片区：PQBH10                高新区片区：PQBH11   </w:t>
      </w:r>
    </w:p>
    <w:bookmarkEnd w:id="21"/>
    <w:p>
      <w:pPr>
        <w:pStyle w:val="13"/>
        <w:ind w:left="0" w:leftChars="0" w:firstLine="0" w:firstLineChars="0"/>
        <w:rPr>
          <w:rFonts w:hint="default" w:eastAsia="宋体" w:cstheme="minorBidi"/>
          <w:lang w:val="en-US" w:eastAsia="zh-CN"/>
        </w:rPr>
      </w:pPr>
      <w:r>
        <w:rPr>
          <w:rFonts w:hint="eastAsia" w:eastAsia="宋体" w:cstheme="minorBidi"/>
          <w:lang w:val="en-US" w:eastAsia="zh-CN"/>
        </w:rPr>
        <w:drawing>
          <wp:inline distT="0" distB="0" distL="114300" distR="114300">
            <wp:extent cx="2487295" cy="3405505"/>
            <wp:effectExtent l="0" t="0" r="8255" b="4445"/>
            <wp:docPr id="5" name="图片 5" descr="11成片开发方案征地时序图高新区片区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成片开发方案征地时序图高新区片区1213"/>
                    <pic:cNvPicPr>
                      <a:picLocks noChangeAspect="1"/>
                    </pic:cNvPicPr>
                  </pic:nvPicPr>
                  <pic:blipFill>
                    <a:blip r:embed="rId16"/>
                    <a:srcRect l="5385" t="6925" r="3482" b="4855"/>
                    <a:stretch>
                      <a:fillRect/>
                    </a:stretch>
                  </pic:blipFill>
                  <pic:spPr>
                    <a:xfrm>
                      <a:off x="0" y="0"/>
                      <a:ext cx="2487295" cy="3405505"/>
                    </a:xfrm>
                    <a:prstGeom prst="rect">
                      <a:avLst/>
                    </a:prstGeom>
                  </pic:spPr>
                </pic:pic>
              </a:graphicData>
            </a:graphic>
          </wp:inline>
        </w:drawing>
      </w:r>
      <w:r>
        <w:rPr>
          <w:rFonts w:hint="eastAsia" w:eastAsia="宋体" w:cstheme="minorBidi"/>
          <w:lang w:val="en-US" w:eastAsia="zh-CN"/>
        </w:rPr>
        <w:t xml:space="preserve"> </w:t>
      </w:r>
      <w:r>
        <w:rPr>
          <w:rFonts w:hint="default" w:eastAsia="宋体" w:cstheme="minorBidi"/>
          <w:lang w:val="en-US" w:eastAsia="zh-CN"/>
        </w:rPr>
        <w:drawing>
          <wp:inline distT="0" distB="0" distL="114300" distR="114300">
            <wp:extent cx="2487295" cy="3413760"/>
            <wp:effectExtent l="0" t="0" r="8255" b="15240"/>
            <wp:docPr id="4" name="图片 4" descr="成片开发方案征地时序图东埔片区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成片开发方案征地时序图东埔片区01415"/>
                    <pic:cNvPicPr>
                      <a:picLocks noChangeAspect="1"/>
                    </pic:cNvPicPr>
                  </pic:nvPicPr>
                  <pic:blipFill>
                    <a:blip r:embed="rId17"/>
                    <a:srcRect l="5301" t="6516" r="3108" b="4600"/>
                    <a:stretch>
                      <a:fillRect/>
                    </a:stretch>
                  </pic:blipFill>
                  <pic:spPr>
                    <a:xfrm>
                      <a:off x="0" y="0"/>
                      <a:ext cx="2487295" cy="3413760"/>
                    </a:xfrm>
                    <a:prstGeom prst="rect">
                      <a:avLst/>
                    </a:prstGeom>
                  </pic:spPr>
                </pic:pic>
              </a:graphicData>
            </a:graphic>
          </wp:inline>
        </w:drawing>
      </w:r>
    </w:p>
    <w:p>
      <w:pPr>
        <w:pStyle w:val="13"/>
        <w:ind w:left="0" w:leftChars="0" w:firstLine="0" w:firstLineChars="0"/>
        <w:jc w:val="center"/>
        <w:rPr>
          <w:rFonts w:hint="eastAsia" w:eastAsia="仿宋_GB2312" w:cs="Times New Roman"/>
          <w:sz w:val="21"/>
          <w:szCs w:val="21"/>
          <w:lang w:val="en-US" w:eastAsia="zh-CN"/>
        </w:rPr>
      </w:pPr>
      <w:r>
        <w:rPr>
          <w:rFonts w:hint="eastAsia" w:eastAsia="仿宋_GB2312" w:cs="Times New Roman"/>
          <w:sz w:val="21"/>
          <w:szCs w:val="21"/>
          <w:lang w:val="en-US" w:eastAsia="zh-CN"/>
        </w:rPr>
        <w:t xml:space="preserve">高新区片区：PQBH12、PQBH13              东埔片区：PQBH14、PQBH15    </w:t>
      </w:r>
    </w:p>
    <w:p>
      <w:pPr>
        <w:pStyle w:val="13"/>
        <w:keepNext w:val="0"/>
        <w:keepLines w:val="0"/>
        <w:pageBreakBefore w:val="0"/>
        <w:widowControl w:val="0"/>
        <w:kinsoku/>
        <w:wordWrap/>
        <w:overflowPunct/>
        <w:topLinePunct w:val="0"/>
        <w:autoSpaceDE/>
        <w:autoSpaceDN/>
        <w:bidi w:val="0"/>
        <w:adjustRightInd/>
        <w:snapToGrid/>
        <w:spacing w:after="469" w:afterLines="150" w:line="240" w:lineRule="auto"/>
        <w:ind w:left="0" w:leftChars="0" w:firstLine="0" w:firstLineChars="0"/>
        <w:jc w:val="center"/>
        <w:textAlignment w:val="auto"/>
        <w:rPr>
          <w:rFonts w:hint="default" w:eastAsia="宋体" w:cstheme="minorBidi"/>
          <w:b/>
          <w:bCs/>
          <w:sz w:val="21"/>
          <w:szCs w:val="21"/>
          <w:lang w:val="en-US" w:eastAsia="zh-CN"/>
        </w:rPr>
      </w:pPr>
      <w:r>
        <w:rPr>
          <w:rFonts w:eastAsia="仿宋_GB2312" w:cs="Times New Roman"/>
          <w:sz w:val="24"/>
        </w:rPr>
        <w:t>图</w:t>
      </w:r>
      <w:r>
        <w:rPr>
          <w:rFonts w:hint="eastAsia" w:eastAsia="仿宋_GB2312" w:cs="Times New Roman"/>
          <w:sz w:val="24"/>
          <w:lang w:val="en-US" w:eastAsia="zh-CN"/>
        </w:rPr>
        <w:t>6</w:t>
      </w:r>
      <w:r>
        <w:rPr>
          <w:rFonts w:eastAsia="仿宋_GB2312" w:cs="Times New Roman"/>
          <w:sz w:val="24"/>
        </w:rPr>
        <w:t>-1 各成片开发范围 202</w:t>
      </w:r>
      <w:r>
        <w:rPr>
          <w:rFonts w:hint="eastAsia" w:eastAsia="仿宋_GB2312" w:cs="Times New Roman"/>
          <w:sz w:val="24"/>
          <w:lang w:val="en-US" w:eastAsia="zh-CN"/>
        </w:rPr>
        <w:t>5</w:t>
      </w:r>
      <w:r>
        <w:rPr>
          <w:rFonts w:eastAsia="仿宋_GB2312" w:cs="Times New Roman"/>
          <w:sz w:val="24"/>
        </w:rPr>
        <w:t>-202</w:t>
      </w:r>
      <w:r>
        <w:rPr>
          <w:rFonts w:hint="eastAsia" w:eastAsia="仿宋_GB2312" w:cs="Times New Roman"/>
          <w:sz w:val="24"/>
          <w:lang w:val="en-US" w:eastAsia="zh-CN"/>
        </w:rPr>
        <w:t>7</w:t>
      </w:r>
      <w:r>
        <w:rPr>
          <w:rFonts w:eastAsia="仿宋_GB2312" w:cs="Times New Roman"/>
          <w:sz w:val="24"/>
        </w:rPr>
        <w:t xml:space="preserve"> 开发时序</w:t>
      </w:r>
      <w:r>
        <w:rPr>
          <w:rFonts w:hint="eastAsia" w:eastAsia="仿宋_GB2312" w:cs="Times New Roman"/>
          <w:sz w:val="24"/>
          <w:lang w:val="en-US" w:eastAsia="zh-CN"/>
        </w:rPr>
        <w:t>示意</w:t>
      </w:r>
      <w:r>
        <w:rPr>
          <w:rFonts w:eastAsia="仿宋_GB2312" w:cs="Times New Roman"/>
          <w:sz w:val="24"/>
        </w:rPr>
        <w:t>图</w:t>
      </w:r>
    </w:p>
    <w:p>
      <w:pPr>
        <w:pStyle w:val="3"/>
        <w:jc w:val="both"/>
        <w:rPr>
          <w:rFonts w:eastAsia="仿宋_GB2312" w:cs="Times New Roman"/>
        </w:rPr>
      </w:pPr>
      <w:bookmarkStart w:id="22" w:name="_Toc24617"/>
      <w:r>
        <w:rPr>
          <w:rFonts w:hint="eastAsia" w:eastAsia="仿宋_GB2312" w:cs="Times New Roman"/>
          <w:lang w:val="en-US" w:eastAsia="zh-CN"/>
        </w:rPr>
        <w:t>七、</w:t>
      </w:r>
      <w:r>
        <w:rPr>
          <w:rFonts w:eastAsia="仿宋_GB2312" w:cs="Times New Roman"/>
        </w:rPr>
        <w:t>成片开发效益评估</w:t>
      </w:r>
      <w:bookmarkEnd w:id="22"/>
    </w:p>
    <w:p>
      <w:pPr>
        <w:pStyle w:val="4"/>
        <w:ind w:firstLine="0" w:firstLineChars="0"/>
        <w:rPr>
          <w:rFonts w:ascii="Times New Roman" w:hAnsi="Times New Roman" w:eastAsia="仿宋_GB2312" w:cs="Times New Roman"/>
        </w:rPr>
      </w:pPr>
      <w:bookmarkStart w:id="23" w:name="_Toc31922"/>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一</w:t>
      </w:r>
      <w:r>
        <w:rPr>
          <w:rFonts w:hint="eastAsia" w:ascii="Times New Roman" w:hAnsi="Times New Roman" w:eastAsia="仿宋_GB2312" w:cs="Times New Roman"/>
          <w:lang w:eastAsia="zh-CN"/>
        </w:rPr>
        <w:t>）</w:t>
      </w:r>
      <w:r>
        <w:rPr>
          <w:rFonts w:ascii="Times New Roman" w:hAnsi="Times New Roman" w:eastAsia="仿宋_GB2312" w:cs="Times New Roman"/>
        </w:rPr>
        <w:t>土地利用效益评估</w:t>
      </w:r>
      <w:bookmarkEnd w:id="23"/>
    </w:p>
    <w:p>
      <w:pPr>
        <w:ind w:firstLine="560"/>
        <w:rPr>
          <w:rFonts w:eastAsia="仿宋_GB2312" w:cs="Times New Roman"/>
        </w:rPr>
      </w:pPr>
      <w:r>
        <w:rPr>
          <w:rFonts w:eastAsia="仿宋_GB2312" w:cs="Times New Roman"/>
        </w:rPr>
        <w:t>本次土地征收成片开发方案通过合理安排项目用地规模、结构和布局，有效缓解区域土地供需矛盾，提高现有用地使用效益，实现土地利用由粗放型向集约型转变。在布局优化方面，成片开发范围开发建设符合源城区各开发区域控制性详细规划等相关规范导则要求，能够科学合理布局各类用地，优化区域功能结构。在连片开发方面，本次方案合理配置基础设施、公共服务设施以及其他公益性用地和非公益性用地，充分盘活片区闲置土地及低效用地，并与周边地块做了充分衔接，充分考虑与周边环境的协调性，将进一步促进区域的集中连片发展，完善区域公共配套设施，促进提升城市功能品质。</w:t>
      </w:r>
    </w:p>
    <w:p>
      <w:pPr>
        <w:pStyle w:val="4"/>
        <w:ind w:firstLine="0" w:firstLineChars="0"/>
        <w:rPr>
          <w:rFonts w:ascii="Times New Roman" w:hAnsi="Times New Roman" w:eastAsia="仿宋_GB2312" w:cs="Times New Roman"/>
        </w:rPr>
      </w:pPr>
      <w:bookmarkStart w:id="24" w:name="_Toc13672"/>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二</w:t>
      </w:r>
      <w:r>
        <w:rPr>
          <w:rFonts w:hint="eastAsia" w:ascii="Times New Roman" w:hAnsi="Times New Roman" w:eastAsia="仿宋_GB2312" w:cs="Times New Roman"/>
          <w:lang w:eastAsia="zh-CN"/>
        </w:rPr>
        <w:t>）</w:t>
      </w:r>
      <w:r>
        <w:rPr>
          <w:rFonts w:ascii="Times New Roman" w:hAnsi="Times New Roman" w:eastAsia="仿宋_GB2312" w:cs="Times New Roman"/>
        </w:rPr>
        <w:t>经济效益评估</w:t>
      </w:r>
      <w:bookmarkEnd w:id="24"/>
    </w:p>
    <w:p>
      <w:pPr>
        <w:ind w:firstLine="560"/>
        <w:rPr>
          <w:rFonts w:eastAsia="仿宋_GB2312" w:cs="Times New Roman"/>
        </w:rPr>
      </w:pPr>
      <w:r>
        <w:rPr>
          <w:rFonts w:eastAsia="仿宋_GB2312" w:cs="Times New Roman"/>
        </w:rPr>
        <w:t>本次成片开发方案的实施将进一步推动源城区产业园区、基础设施、公共服务等的开发建设，为投资者创造良好的生产经营环境和生活条件。将进一步提升当地企业市场竞争力，营造良好的企业运营环境，提供优质的公共服务设施水平、居住服务环境，推动区域优质发展。通过本次《方案》的编制与落实，为城市发展储蓄了后备土地资源，为源城区经济的可持续、高质量发展提供坚实的后盾，积极引进现代化物流仓储等先进制造业，进一步完善产业结构，推动源城区产业平台的建设。同时也可促进招商引资与渠道拓展，推动区域产城高效融合，进一步保障区域经济发展和其他重点项目顺利落地实施，推进社会经济高质量发展，为源城区实现</w:t>
      </w:r>
      <w:r>
        <w:rPr>
          <w:rFonts w:hint="eastAsia" w:ascii="仿宋_GB2312" w:hAnsi="仿宋_GB2312" w:eastAsia="仿宋_GB2312" w:cs="仿宋_GB2312"/>
        </w:rPr>
        <w:t>“十四五”</w:t>
      </w:r>
      <w:r>
        <w:rPr>
          <w:rFonts w:eastAsia="仿宋_GB2312" w:cs="Times New Roman"/>
        </w:rPr>
        <w:t>规划目标提供支持和保障。</w:t>
      </w:r>
    </w:p>
    <w:p>
      <w:pPr>
        <w:pStyle w:val="4"/>
        <w:ind w:firstLine="0" w:firstLineChars="0"/>
        <w:rPr>
          <w:rFonts w:ascii="Times New Roman" w:hAnsi="Times New Roman" w:eastAsia="仿宋_GB2312" w:cs="Times New Roman"/>
        </w:rPr>
      </w:pPr>
      <w:bookmarkStart w:id="25" w:name="_Toc14979"/>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三</w:t>
      </w:r>
      <w:r>
        <w:rPr>
          <w:rFonts w:hint="eastAsia" w:ascii="Times New Roman" w:hAnsi="Times New Roman" w:eastAsia="仿宋_GB2312" w:cs="Times New Roman"/>
          <w:lang w:eastAsia="zh-CN"/>
        </w:rPr>
        <w:t>）</w:t>
      </w:r>
      <w:r>
        <w:rPr>
          <w:rFonts w:ascii="Times New Roman" w:hAnsi="Times New Roman" w:eastAsia="仿宋_GB2312" w:cs="Times New Roman"/>
        </w:rPr>
        <w:t>社会效益评估</w:t>
      </w:r>
      <w:bookmarkEnd w:id="25"/>
    </w:p>
    <w:p>
      <w:pPr>
        <w:ind w:firstLine="560"/>
        <w:rPr>
          <w:rFonts w:eastAsia="仿宋_GB2312" w:cs="Times New Roman"/>
        </w:rPr>
      </w:pPr>
      <w:r>
        <w:rPr>
          <w:rFonts w:eastAsia="仿宋_GB2312" w:cs="Times New Roman"/>
        </w:rPr>
        <w:t>《方案》实施后，可推进成片开发范围内部及周边基础设施、公共服务设施的升级和建设，提升区域公共服务水平提高区域人民生活质量和促进社会进步。在发展现代产业的同时，注重改善人居环境，构建宜居宜业宜游的优质人居典范，促进居住空间与就业空间的协调发展。带动就业方面，纳入《方案》的成片开发项目建设施工期间及运营实施阶段，均可带动上下游产业链发展，带动区域就业，为民生保障提供了强有力的支撑。在完善生活配套设施方面，区域内公共设施、生态网络、道路设施等将被统筹建设，能够有效保障区域设施的配套建设需求。</w:t>
      </w:r>
    </w:p>
    <w:p>
      <w:pPr>
        <w:pStyle w:val="4"/>
        <w:ind w:firstLine="0" w:firstLineChars="0"/>
        <w:rPr>
          <w:rFonts w:ascii="Times New Roman" w:hAnsi="Times New Roman" w:eastAsia="仿宋_GB2312" w:cs="Times New Roman"/>
        </w:rPr>
      </w:pPr>
      <w:bookmarkStart w:id="26" w:name="_Toc20201"/>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四</w:t>
      </w:r>
      <w:r>
        <w:rPr>
          <w:rFonts w:hint="eastAsia" w:ascii="Times New Roman" w:hAnsi="Times New Roman" w:eastAsia="仿宋_GB2312" w:cs="Times New Roman"/>
          <w:lang w:eastAsia="zh-CN"/>
        </w:rPr>
        <w:t>）</w:t>
      </w:r>
      <w:r>
        <w:rPr>
          <w:rFonts w:ascii="Times New Roman" w:hAnsi="Times New Roman" w:eastAsia="仿宋_GB2312" w:cs="Times New Roman"/>
        </w:rPr>
        <w:t>生态效益评估</w:t>
      </w:r>
      <w:bookmarkEnd w:id="26"/>
    </w:p>
    <w:p>
      <w:pPr>
        <w:pStyle w:val="13"/>
        <w:ind w:firstLine="560"/>
        <w:rPr>
          <w:rFonts w:eastAsia="仿宋_GB2312" w:cs="Times New Roman"/>
        </w:rPr>
      </w:pPr>
      <w:r>
        <w:rPr>
          <w:rFonts w:eastAsia="仿宋_GB2312" w:cs="Times New Roman"/>
        </w:rPr>
        <w:t>《方案》成片开发范围不涉及永久基本农田、自然保护地、陆域生态保护红线等生态底线管控要素，符合生态环境保护要求。</w:t>
      </w:r>
    </w:p>
    <w:p>
      <w:pPr>
        <w:pStyle w:val="13"/>
        <w:ind w:firstLine="560"/>
        <w:rPr>
          <w:rFonts w:eastAsia="仿宋_GB2312" w:cs="Times New Roman"/>
        </w:rPr>
      </w:pPr>
      <w:r>
        <w:rPr>
          <w:rFonts w:eastAsia="仿宋_GB2312" w:cs="Times New Roman"/>
        </w:rPr>
        <w:t>各成片开发项目在建设前均按要求做好区域排水规划设计，预埋污水管网、排水管网等，实现排水管网建设与污水处理设施同步设计、同步建设、同步投运，可以避免由于开发建设地表硬化导致地表径流调节能力减弱带来的内涝和有效控制污染，为</w:t>
      </w:r>
      <w:r>
        <w:rPr>
          <w:rFonts w:hint="eastAsia" w:eastAsia="仿宋_GB2312" w:cs="Times New Roman"/>
          <w:lang w:val="en-US" w:eastAsia="zh-CN"/>
        </w:rPr>
        <w:t>当地居民</w:t>
      </w:r>
      <w:r>
        <w:rPr>
          <w:rFonts w:eastAsia="仿宋_GB2312" w:cs="Times New Roman"/>
        </w:rPr>
        <w:t>建立一个绿色、健康、可持续发展的城市家园。</w:t>
      </w:r>
    </w:p>
    <w:p>
      <w:pPr>
        <w:pStyle w:val="13"/>
        <w:ind w:firstLine="560"/>
        <w:rPr>
          <w:rFonts w:eastAsia="仿宋_GB2312" w:cs="Times New Roman"/>
        </w:rPr>
      </w:pPr>
      <w:r>
        <w:rPr>
          <w:rFonts w:eastAsia="仿宋_GB2312" w:cs="Times New Roman"/>
        </w:rPr>
        <w:t>项目开发建设将结合项目类型采取有效的环境影响保护控制及减缓措施，积极采用从污染源头控制和治理、做好环境风险管控和各项生态环境保护等措施，避免对区域大气环境、土壤环境、水环境、声环境等产生破坏，减少对区域生态环境产生不良影响。</w:t>
      </w:r>
    </w:p>
    <w:p>
      <w:pPr>
        <w:pStyle w:val="3"/>
        <w:jc w:val="both"/>
        <w:rPr>
          <w:rFonts w:eastAsia="仿宋_GB2312" w:cs="Times New Roman"/>
        </w:rPr>
      </w:pPr>
      <w:bookmarkStart w:id="27" w:name="_Toc21059"/>
      <w:r>
        <w:rPr>
          <w:rFonts w:hint="eastAsia" w:eastAsia="仿宋_GB2312" w:cs="Times New Roman"/>
          <w:lang w:val="en-US" w:eastAsia="zh-CN"/>
        </w:rPr>
        <w:t>八、</w:t>
      </w:r>
      <w:r>
        <w:rPr>
          <w:rFonts w:eastAsia="仿宋_GB2312" w:cs="Times New Roman"/>
        </w:rPr>
        <w:t>结论</w:t>
      </w:r>
      <w:bookmarkEnd w:id="27"/>
    </w:p>
    <w:p>
      <w:pPr>
        <w:ind w:firstLine="560"/>
        <w:rPr>
          <w:rFonts w:eastAsia="仿宋_GB2312" w:cs="Times New Roman"/>
        </w:rPr>
      </w:pPr>
      <w:r>
        <w:rPr>
          <w:rFonts w:eastAsia="仿宋_GB2312" w:cs="Times New Roman"/>
        </w:rPr>
        <w:t>1、《方案》坚持新发展理念，</w:t>
      </w:r>
      <w:r>
        <w:rPr>
          <w:rFonts w:hint="eastAsia" w:eastAsia="仿宋_GB2312" w:cs="Times New Roman"/>
          <w:lang w:eastAsia="zh-CN"/>
        </w:rPr>
        <w:t>坚持</w:t>
      </w:r>
      <w:r>
        <w:rPr>
          <w:rFonts w:eastAsia="仿宋_GB2312" w:cs="Times New Roman"/>
        </w:rPr>
        <w:t>以人民为中心，注重维护农民合法权益，注重保护耕地，注重节约集约用地，注重生态环境保护，能够促进当地经济社会可持续发展。</w:t>
      </w:r>
    </w:p>
    <w:p>
      <w:pPr>
        <w:ind w:firstLine="560"/>
        <w:rPr>
          <w:rFonts w:eastAsia="仿宋_GB2312" w:cs="Times New Roman"/>
        </w:rPr>
      </w:pPr>
      <w:r>
        <w:rPr>
          <w:rFonts w:eastAsia="仿宋_GB2312" w:cs="Times New Roman"/>
        </w:rPr>
        <w:t>2、《方案》编制实施有利于源城区构建现代产业体系，建设城市发展新格局，促进</w:t>
      </w:r>
      <w:r>
        <w:rPr>
          <w:rFonts w:hint="eastAsia" w:ascii="仿宋_GB2312" w:hAnsi="仿宋_GB2312" w:eastAsia="仿宋_GB2312" w:cs="仿宋_GB2312"/>
        </w:rPr>
        <w:t>“融湾”“融深”</w:t>
      </w:r>
      <w:r>
        <w:rPr>
          <w:rFonts w:eastAsia="仿宋_GB2312" w:cs="Times New Roman"/>
        </w:rPr>
        <w:t>，完善区域公共配套设施，提升土地利用效益，维护生态平衡，《方案》编制是必要的、可行的。</w:t>
      </w:r>
    </w:p>
    <w:p>
      <w:pPr>
        <w:ind w:firstLine="560"/>
        <w:rPr>
          <w:rFonts w:eastAsia="仿宋_GB2312" w:cs="Times New Roman"/>
        </w:rPr>
      </w:pPr>
      <w:r>
        <w:rPr>
          <w:rFonts w:eastAsia="仿宋_GB2312" w:cs="Times New Roman"/>
        </w:rPr>
        <w:t>3、《方案》安排基础设施、公共服务设施以及其他公益性用地</w:t>
      </w:r>
      <w:r>
        <w:rPr>
          <w:rFonts w:hint="eastAsia" w:eastAsia="仿宋_GB2312" w:cs="Times New Roman"/>
          <w:lang w:val="en-US" w:eastAsia="zh-CN"/>
        </w:rPr>
        <w:t>57.8665</w:t>
      </w:r>
      <w:r>
        <w:rPr>
          <w:rFonts w:eastAsia="仿宋_GB2312" w:cs="Times New Roman"/>
        </w:rPr>
        <w:t>公顷，占总用地比例</w:t>
      </w:r>
      <w:r>
        <w:rPr>
          <w:rFonts w:hint="eastAsia" w:eastAsia="仿宋_GB2312" w:cs="Times New Roman"/>
          <w:lang w:val="en-US" w:eastAsia="zh-CN"/>
        </w:rPr>
        <w:t>39.84</w:t>
      </w:r>
      <w:r>
        <w:rPr>
          <w:rFonts w:eastAsia="仿宋_GB2312" w:cs="Times New Roman"/>
        </w:rPr>
        <w:t>%，且各</w:t>
      </w:r>
      <w:r>
        <w:rPr>
          <w:rFonts w:hint="eastAsia" w:eastAsia="仿宋_GB2312" w:cs="Times New Roman"/>
          <w:lang w:val="en-US" w:eastAsia="zh-CN"/>
        </w:rPr>
        <w:t>片区</w:t>
      </w:r>
      <w:r>
        <w:rPr>
          <w:rFonts w:hint="eastAsia" w:eastAsia="仿宋_GB2312" w:cs="Times New Roman"/>
        </w:rPr>
        <w:t>成片开发范围</w:t>
      </w:r>
      <w:r>
        <w:rPr>
          <w:rFonts w:eastAsia="仿宋_GB2312" w:cs="Times New Roman"/>
        </w:rPr>
        <w:t>公益性用地比例均大于</w:t>
      </w:r>
      <w:r>
        <w:rPr>
          <w:rFonts w:hint="eastAsia" w:eastAsia="仿宋_GB2312" w:cs="Times New Roman"/>
          <w:lang w:val="en-US" w:eastAsia="zh-CN"/>
        </w:rPr>
        <w:t>30</w:t>
      </w:r>
      <w:r>
        <w:rPr>
          <w:rFonts w:eastAsia="仿宋_GB2312" w:cs="Times New Roman"/>
        </w:rPr>
        <w:t>%，符合</w:t>
      </w:r>
      <w:r>
        <w:rPr>
          <w:rFonts w:hint="eastAsia" w:eastAsia="仿宋_GB2312" w:cs="Times New Roman"/>
          <w:lang w:val="en-US" w:eastAsia="zh-CN"/>
        </w:rPr>
        <w:t>城镇开发边界内成片开发方案</w:t>
      </w:r>
      <w:r>
        <w:rPr>
          <w:rFonts w:eastAsia="仿宋_GB2312" w:cs="Times New Roman"/>
        </w:rPr>
        <w:t>基础设施、公共服务设施以及其他公益性用地比例一般不低于</w:t>
      </w:r>
      <w:r>
        <w:rPr>
          <w:rFonts w:hint="eastAsia" w:eastAsia="仿宋_GB2312" w:cs="Times New Roman"/>
          <w:lang w:val="en-US" w:eastAsia="zh-CN"/>
        </w:rPr>
        <w:t>30</w:t>
      </w:r>
      <w:r>
        <w:rPr>
          <w:rFonts w:eastAsia="仿宋_GB2312" w:cs="Times New Roman"/>
        </w:rPr>
        <w:t>%的要求。</w:t>
      </w:r>
    </w:p>
    <w:p>
      <w:pPr>
        <w:pStyle w:val="13"/>
        <w:ind w:firstLine="560"/>
        <w:rPr>
          <w:rFonts w:eastAsia="仿宋_GB2312" w:cs="Times New Roman"/>
        </w:rPr>
      </w:pPr>
      <w:r>
        <w:rPr>
          <w:rFonts w:eastAsia="仿宋_GB2312" w:cs="Times New Roman"/>
        </w:rPr>
        <w:t>4、《方案》</w:t>
      </w:r>
      <w:r>
        <w:rPr>
          <w:rFonts w:hint="eastAsia" w:eastAsia="仿宋_GB2312" w:cs="Times New Roman"/>
          <w:lang w:val="en-US" w:eastAsia="zh-CN"/>
        </w:rPr>
        <w:t>成片开发范围总面积145.2419公顷，</w:t>
      </w:r>
      <w:r>
        <w:rPr>
          <w:rFonts w:eastAsia="仿宋_GB2312" w:cs="Times New Roman"/>
        </w:rPr>
        <w:t>拟征收地块面积</w:t>
      </w:r>
      <w:r>
        <w:rPr>
          <w:rFonts w:hint="eastAsia" w:eastAsia="仿宋_GB2312" w:cs="Times New Roman"/>
          <w:lang w:val="en-US" w:eastAsia="zh-CN"/>
        </w:rPr>
        <w:t>115.4629公顷，</w:t>
      </w:r>
      <w:r>
        <w:rPr>
          <w:rFonts w:eastAsia="仿宋_GB2312" w:cs="Times New Roman"/>
        </w:rPr>
        <w:t>占土地征收成片开发范围面积的</w:t>
      </w:r>
      <w:r>
        <w:rPr>
          <w:rFonts w:hint="eastAsia" w:eastAsia="仿宋_GB2312" w:cs="Times New Roman"/>
          <w:lang w:val="en-US" w:eastAsia="zh-CN"/>
        </w:rPr>
        <w:t>79.50</w:t>
      </w:r>
      <w:r>
        <w:rPr>
          <w:rFonts w:eastAsia="仿宋_GB2312" w:cs="Times New Roman"/>
        </w:rPr>
        <w:t>%，符合整个方案拟征收地块面积不低于土地征收成片开发范围面积的60%的要求。</w:t>
      </w:r>
    </w:p>
    <w:p>
      <w:pPr>
        <w:ind w:firstLine="560"/>
        <w:rPr>
          <w:rFonts w:eastAsia="仿宋_GB2312" w:cs="Times New Roman"/>
        </w:rPr>
      </w:pPr>
      <w:r>
        <w:rPr>
          <w:rFonts w:eastAsia="仿宋_GB2312" w:cs="Times New Roman"/>
        </w:rPr>
        <w:t>5、《方案》符合国民经济和社会发展规划、</w:t>
      </w:r>
      <w:r>
        <w:rPr>
          <w:rFonts w:hint="eastAsia" w:eastAsia="仿宋_GB2312" w:cs="Times New Roman"/>
          <w:lang w:val="en-US" w:eastAsia="zh-CN"/>
        </w:rPr>
        <w:t>国土空间总体规划</w:t>
      </w:r>
      <w:r>
        <w:rPr>
          <w:rFonts w:eastAsia="仿宋_GB2312" w:cs="Times New Roman"/>
        </w:rPr>
        <w:t>，已纳入国民经济和社会发展年度计划，项目纳入了城镇开发边界集中建设区内，符合土地征收成片开发有关要求。</w:t>
      </w:r>
    </w:p>
    <w:p>
      <w:pPr>
        <w:ind w:firstLine="560"/>
        <w:rPr>
          <w:rFonts w:eastAsia="仿宋_GB2312" w:cs="Times New Roman"/>
        </w:rPr>
      </w:pPr>
      <w:r>
        <w:rPr>
          <w:rFonts w:eastAsia="仿宋_GB2312" w:cs="Times New Roman"/>
        </w:rPr>
        <w:t>6、《方案》不涉及占用永久基本农田和生态保护红线，</w:t>
      </w:r>
      <w:r>
        <w:rPr>
          <w:rFonts w:hint="eastAsia" w:eastAsia="仿宋_GB2312" w:cs="Times New Roman"/>
          <w:lang w:eastAsia="zh-CN"/>
        </w:rPr>
        <w:t>《</w:t>
      </w:r>
      <w:r>
        <w:rPr>
          <w:rFonts w:hint="eastAsia" w:eastAsia="仿宋_GB2312" w:cs="Times New Roman"/>
          <w:lang w:val="en-US" w:eastAsia="zh-CN"/>
        </w:rPr>
        <w:t>方案</w:t>
      </w:r>
      <w:r>
        <w:rPr>
          <w:rFonts w:hint="eastAsia" w:eastAsia="仿宋_GB2312" w:cs="Times New Roman"/>
          <w:lang w:eastAsia="zh-CN"/>
        </w:rPr>
        <w:t>》</w:t>
      </w:r>
      <w:r>
        <w:rPr>
          <w:rFonts w:hint="eastAsia" w:eastAsia="仿宋_GB2312" w:cs="Times New Roman"/>
          <w:lang w:val="en-US" w:eastAsia="zh-CN"/>
        </w:rPr>
        <w:t>上报前</w:t>
      </w:r>
      <w:r>
        <w:rPr>
          <w:rFonts w:eastAsia="仿宋_GB2312" w:cs="Times New Roman"/>
        </w:rPr>
        <w:t>源城区20</w:t>
      </w:r>
      <w:r>
        <w:rPr>
          <w:rFonts w:hint="eastAsia" w:eastAsia="仿宋_GB2312" w:cs="Times New Roman"/>
          <w:lang w:val="en-US" w:eastAsia="zh-CN"/>
        </w:rPr>
        <w:t>20</w:t>
      </w:r>
      <w:r>
        <w:rPr>
          <w:rFonts w:eastAsia="仿宋_GB2312" w:cs="Times New Roman"/>
        </w:rPr>
        <w:t>-202</w:t>
      </w:r>
      <w:r>
        <w:rPr>
          <w:rFonts w:hint="eastAsia" w:eastAsia="仿宋_GB2312" w:cs="Times New Roman"/>
          <w:lang w:val="en-US" w:eastAsia="zh-CN"/>
        </w:rPr>
        <w:t>4</w:t>
      </w:r>
      <w:r>
        <w:rPr>
          <w:rFonts w:eastAsia="仿宋_GB2312" w:cs="Times New Roman"/>
        </w:rPr>
        <w:t>年平均供地率大于60%、土地闲置率小于5%，不存在大量批而未供土地或者闲置土地。辖区内的省级以上开发区不存在土地利用效率低下的情形，辖区内无国家级新区；源城区不存在已批准实施的土地征收成片开发连续两年未完成年度土地征收实施计划的情况，符合土地征收成片开发方案上报审查的要求。</w:t>
      </w:r>
    </w:p>
    <w:p>
      <w:pPr>
        <w:ind w:firstLine="560"/>
        <w:rPr>
          <w:rFonts w:eastAsia="仿宋_GB2312" w:cs="Times New Roman"/>
        </w:rPr>
      </w:pPr>
      <w:r>
        <w:rPr>
          <w:rFonts w:eastAsia="仿宋_GB2312" w:cs="Times New Roman"/>
        </w:rPr>
        <w:t>7、《方案》制定了合理实施计划，计划在202</w:t>
      </w:r>
      <w:r>
        <w:rPr>
          <w:rFonts w:hint="eastAsia" w:eastAsia="仿宋_GB2312" w:cs="Times New Roman"/>
          <w:lang w:val="en-US" w:eastAsia="zh-CN"/>
        </w:rPr>
        <w:t>5</w:t>
      </w:r>
      <w:r>
        <w:rPr>
          <w:rFonts w:eastAsia="仿宋_GB2312" w:cs="Times New Roman"/>
        </w:rPr>
        <w:t>-202</w:t>
      </w:r>
      <w:r>
        <w:rPr>
          <w:rFonts w:hint="eastAsia" w:eastAsia="仿宋_GB2312" w:cs="Times New Roman"/>
          <w:lang w:val="en-US" w:eastAsia="zh-CN"/>
        </w:rPr>
        <w:t>7</w:t>
      </w:r>
      <w:r>
        <w:rPr>
          <w:rFonts w:eastAsia="仿宋_GB2312" w:cs="Times New Roman"/>
        </w:rPr>
        <w:t>年期间完成土地征收，实施计划综合考虑规划建设计划、被征地单位意愿、征地资金等情况，实施计划切实可行。</w:t>
      </w:r>
    </w:p>
    <w:p>
      <w:pPr>
        <w:ind w:firstLine="560"/>
        <w:rPr>
          <w:rFonts w:eastAsia="仿宋_GB2312" w:cs="Times New Roman"/>
        </w:rPr>
      </w:pPr>
      <w:r>
        <w:rPr>
          <w:rFonts w:eastAsia="仿宋_GB2312" w:cs="Times New Roman"/>
        </w:rPr>
        <w:t>8、《方案》实施将进一步优化建设用地空间布局，提高建设用地集约利用水平和城市化建设水平，推进园区提质增效，推动产业项目集聚集约发展，推进工业转型升级，实现工业增量。同时，为当地居民提供更多公共、商业设施与就业机会，有利于吸引大量人才，有较大的经济与社会效益。同时，开发建设不涉及生态敏感、脆弱区域，将减少原先对粗放无序发展、对生态资源的低效利用与破坏，提高人民群众对生态环境的满意度和获得感，具有较好的生态效益。</w:t>
      </w:r>
    </w:p>
    <w:p>
      <w:pPr>
        <w:ind w:firstLine="560"/>
        <w:rPr>
          <w:rFonts w:eastAsia="仿宋_GB2312" w:cs="Times New Roman"/>
        </w:rPr>
      </w:pPr>
      <w:r>
        <w:rPr>
          <w:rFonts w:eastAsia="仿宋_GB2312" w:cs="Times New Roman"/>
        </w:rPr>
        <w:t>综上所述，《方案》符合政策要求、程序规范；土地征收实施计划安排合理、可行性高；成片开发能带来较大的经济、社会、生态效益。</w:t>
      </w:r>
    </w:p>
    <w:p>
      <w:pPr>
        <w:pStyle w:val="3"/>
        <w:jc w:val="both"/>
        <w:rPr>
          <w:rFonts w:hint="eastAsia" w:eastAsia="仿宋_GB2312" w:cs="Times New Roman"/>
          <w:lang w:val="en-US" w:eastAsia="zh-CN"/>
        </w:rPr>
      </w:pPr>
      <w:bookmarkStart w:id="28" w:name="_Toc11958"/>
      <w:bookmarkStart w:id="29" w:name="_Toc25565"/>
      <w:bookmarkStart w:id="30" w:name="_Toc9956"/>
      <w:bookmarkStart w:id="31" w:name="_Toc17284"/>
      <w:bookmarkStart w:id="32" w:name="_Toc6892"/>
      <w:bookmarkStart w:id="33" w:name="_Toc23154"/>
      <w:bookmarkStart w:id="34" w:name="_Toc13755"/>
      <w:bookmarkStart w:id="35" w:name="_Toc21627"/>
      <w:bookmarkStart w:id="36" w:name="_Toc31934"/>
      <w:bookmarkStart w:id="37" w:name="_Toc26966"/>
      <w:bookmarkStart w:id="38" w:name="_Toc3474"/>
      <w:bookmarkStart w:id="39" w:name="_Toc22560"/>
      <w:bookmarkStart w:id="40" w:name="_Toc22826"/>
      <w:bookmarkStart w:id="41" w:name="_Toc25127"/>
      <w:bookmarkStart w:id="42" w:name="_Toc21315"/>
      <w:r>
        <w:rPr>
          <w:rFonts w:hint="eastAsia" w:eastAsia="仿宋_GB2312" w:cs="Times New Roman"/>
          <w:lang w:val="en-US" w:eastAsia="zh-CN"/>
        </w:rPr>
        <w:t>九、</w:t>
      </w:r>
      <w:r>
        <w:rPr>
          <w:rFonts w:eastAsia="仿宋_GB2312" w:cs="Times New Roman"/>
        </w:rPr>
        <w:t>附图</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-81915</wp:posOffset>
              </wp:positionV>
              <wp:extent cx="762000" cy="2476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6200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auto"/>
                            <w:ind w:firstLine="0" w:firstLineChars="0"/>
                            <w:jc w:val="cen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6.45pt;height:19.5pt;width:60pt;mso-position-horizontal:center;mso-position-horizontal-relative:margin;z-index:251659264;mso-width-relative:page;mso-height-relative:page;" filled="f" stroked="f" coordsize="21600,21600" o:gfxdata="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tm1GNQAAAAHAQAADwAAAAAAAAABACAA&#10;AAAiAAAAZHJzL2Rvd25yZXYueG1sUEsBAhQAFAAAAAgAh07iQAz/e4oRAgAABwQAAA4AAAAAAAAA&#10;AQAgAAAAIwEAAGRycy9lMm9Eb2MueG1sUEsFBgAAAAAGAAYAWQEAAKYFAAAAAA==&#10;">
              <v:fill on="f" focussize="0,0"/>
              <v:stroke on="f" weight="0.5pt"/>
              <v:imagedata o:title=""/>
              <o:lock v:ext="edit" aspectratio="f"/>
              <v:textbox inset="0mm,0mm,0mm,0mm">
                <w:txbxContent>
                  <w:p>
                    <w:pPr>
                      <w:pStyle w:val="15"/>
                      <w:spacing w:line="360" w:lineRule="auto"/>
                      <w:ind w:firstLine="0" w:firstLineChars="0"/>
                      <w:jc w:val="center"/>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pict>
        <v:shape id="PowerPlusWaterMarkObject38413" o:spid="_x0000_s3073" o:spt="136" type="#_x0000_t136" style="position:absolute;left:0pt;height:129.65pt;width:457.6pt;mso-position-horizontal:center;mso-position-horizontal-relative:margin;mso-position-vertical:center;mso-position-vertical-relative:margin;rotation:-2949120f;z-index:-251656192;mso-width-relative:page;mso-height-relative:page;" fillcolor="#C0C0C0" filled="t" stroked="f" coordsize="21600,21600">
          <v:path/>
          <v:fill on="t" opacity="36700f" focussize="0,0"/>
          <v:stroke on="f"/>
          <v:imagedata o:title=""/>
          <o:lock v:ext="edit" aspectratio="t"/>
          <v:textpath on="t" fitshape="t" fitpath="t" trim="t" xscale="f" string="征求意见稿" style="font-family:思源宋体;font-size:36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OWFkZWYwYzJjMjFhN2RkZWNjN2UzYjAyN2ZjNDIifQ=="/>
    <w:docVar w:name="KSO_WPS_MARK_KEY" w:val="baf1d713-1cdb-4c5f-a697-36bd335bde2e"/>
  </w:docVars>
  <w:rsids>
    <w:rsidRoot w:val="78557F17"/>
    <w:rsid w:val="00037FC1"/>
    <w:rsid w:val="000D5C1F"/>
    <w:rsid w:val="0017195E"/>
    <w:rsid w:val="00180FCB"/>
    <w:rsid w:val="0019191C"/>
    <w:rsid w:val="00193A09"/>
    <w:rsid w:val="001A058D"/>
    <w:rsid w:val="001D19A0"/>
    <w:rsid w:val="00222C65"/>
    <w:rsid w:val="00257577"/>
    <w:rsid w:val="00260F65"/>
    <w:rsid w:val="002C79E8"/>
    <w:rsid w:val="002D3A8E"/>
    <w:rsid w:val="003248ED"/>
    <w:rsid w:val="0034545C"/>
    <w:rsid w:val="00356FC3"/>
    <w:rsid w:val="003A1E69"/>
    <w:rsid w:val="003A2BB7"/>
    <w:rsid w:val="003E10F4"/>
    <w:rsid w:val="004679D1"/>
    <w:rsid w:val="00494C22"/>
    <w:rsid w:val="004A24F1"/>
    <w:rsid w:val="004C0925"/>
    <w:rsid w:val="00504CDD"/>
    <w:rsid w:val="00553C0E"/>
    <w:rsid w:val="00581C76"/>
    <w:rsid w:val="00584EAE"/>
    <w:rsid w:val="005B4F5E"/>
    <w:rsid w:val="005C610C"/>
    <w:rsid w:val="005C7D19"/>
    <w:rsid w:val="005F0139"/>
    <w:rsid w:val="005F3F73"/>
    <w:rsid w:val="00623ED2"/>
    <w:rsid w:val="00632560"/>
    <w:rsid w:val="0065032A"/>
    <w:rsid w:val="006B65DD"/>
    <w:rsid w:val="006E65F1"/>
    <w:rsid w:val="00706678"/>
    <w:rsid w:val="007A499D"/>
    <w:rsid w:val="007D1C48"/>
    <w:rsid w:val="007D240D"/>
    <w:rsid w:val="008069B8"/>
    <w:rsid w:val="00815E83"/>
    <w:rsid w:val="00831AA0"/>
    <w:rsid w:val="00840B92"/>
    <w:rsid w:val="0084346A"/>
    <w:rsid w:val="00856088"/>
    <w:rsid w:val="008B7124"/>
    <w:rsid w:val="00906370"/>
    <w:rsid w:val="00910657"/>
    <w:rsid w:val="009251A6"/>
    <w:rsid w:val="009253AF"/>
    <w:rsid w:val="00975019"/>
    <w:rsid w:val="009777D5"/>
    <w:rsid w:val="00992F96"/>
    <w:rsid w:val="009D61EC"/>
    <w:rsid w:val="00A14E9E"/>
    <w:rsid w:val="00A41987"/>
    <w:rsid w:val="00A817C1"/>
    <w:rsid w:val="00A97158"/>
    <w:rsid w:val="00B35EA2"/>
    <w:rsid w:val="00B51CEF"/>
    <w:rsid w:val="00B5227C"/>
    <w:rsid w:val="00BD151B"/>
    <w:rsid w:val="00BF737A"/>
    <w:rsid w:val="00C659F5"/>
    <w:rsid w:val="00C9321F"/>
    <w:rsid w:val="00C96D15"/>
    <w:rsid w:val="00CE6D68"/>
    <w:rsid w:val="00D1499A"/>
    <w:rsid w:val="00D51F80"/>
    <w:rsid w:val="00D62001"/>
    <w:rsid w:val="00D63361"/>
    <w:rsid w:val="00D7244C"/>
    <w:rsid w:val="00DB7B2B"/>
    <w:rsid w:val="00E47099"/>
    <w:rsid w:val="00E509E7"/>
    <w:rsid w:val="00EC1395"/>
    <w:rsid w:val="00EE6A4D"/>
    <w:rsid w:val="00EF7928"/>
    <w:rsid w:val="00F10A15"/>
    <w:rsid w:val="00F350CC"/>
    <w:rsid w:val="00F743CE"/>
    <w:rsid w:val="00F85013"/>
    <w:rsid w:val="00F9032E"/>
    <w:rsid w:val="00F950C6"/>
    <w:rsid w:val="00FB14B9"/>
    <w:rsid w:val="00FB762A"/>
    <w:rsid w:val="00FE22A5"/>
    <w:rsid w:val="00FE49DE"/>
    <w:rsid w:val="01CB31CF"/>
    <w:rsid w:val="02B65D82"/>
    <w:rsid w:val="02C0277B"/>
    <w:rsid w:val="05244DFD"/>
    <w:rsid w:val="0577254F"/>
    <w:rsid w:val="05B1257D"/>
    <w:rsid w:val="06F217E2"/>
    <w:rsid w:val="07B069B5"/>
    <w:rsid w:val="084A3E90"/>
    <w:rsid w:val="086A6E96"/>
    <w:rsid w:val="087058D5"/>
    <w:rsid w:val="089B656B"/>
    <w:rsid w:val="093E1529"/>
    <w:rsid w:val="096D1193"/>
    <w:rsid w:val="0AA23C86"/>
    <w:rsid w:val="0C535B74"/>
    <w:rsid w:val="0DE61F27"/>
    <w:rsid w:val="0EA43155"/>
    <w:rsid w:val="11100B16"/>
    <w:rsid w:val="13C1629D"/>
    <w:rsid w:val="13D16065"/>
    <w:rsid w:val="144333B2"/>
    <w:rsid w:val="1550202B"/>
    <w:rsid w:val="16E4493A"/>
    <w:rsid w:val="198A6745"/>
    <w:rsid w:val="19F7195B"/>
    <w:rsid w:val="1AAF2CD5"/>
    <w:rsid w:val="1B2644DE"/>
    <w:rsid w:val="1BC65455"/>
    <w:rsid w:val="1CE666CE"/>
    <w:rsid w:val="1E511B3A"/>
    <w:rsid w:val="1E5832F7"/>
    <w:rsid w:val="1F422AD7"/>
    <w:rsid w:val="21737DFD"/>
    <w:rsid w:val="220626C1"/>
    <w:rsid w:val="24E17390"/>
    <w:rsid w:val="25506F67"/>
    <w:rsid w:val="264F3704"/>
    <w:rsid w:val="26F5453F"/>
    <w:rsid w:val="282A00D8"/>
    <w:rsid w:val="28651A6D"/>
    <w:rsid w:val="29C5683D"/>
    <w:rsid w:val="2B4A5600"/>
    <w:rsid w:val="2CDA59AC"/>
    <w:rsid w:val="2E7518CB"/>
    <w:rsid w:val="2F704072"/>
    <w:rsid w:val="2FC947B0"/>
    <w:rsid w:val="3075735B"/>
    <w:rsid w:val="30AA5E17"/>
    <w:rsid w:val="30E107B4"/>
    <w:rsid w:val="31B21CC2"/>
    <w:rsid w:val="31DA3522"/>
    <w:rsid w:val="32922A3C"/>
    <w:rsid w:val="35020E47"/>
    <w:rsid w:val="36305700"/>
    <w:rsid w:val="3AF044A5"/>
    <w:rsid w:val="3C114FE0"/>
    <w:rsid w:val="3DD178A0"/>
    <w:rsid w:val="41665371"/>
    <w:rsid w:val="435C7CCA"/>
    <w:rsid w:val="44A51EDE"/>
    <w:rsid w:val="4595717C"/>
    <w:rsid w:val="467D1CF2"/>
    <w:rsid w:val="46E97C4D"/>
    <w:rsid w:val="475719EA"/>
    <w:rsid w:val="48C77DB0"/>
    <w:rsid w:val="4CD60F91"/>
    <w:rsid w:val="4D006DAB"/>
    <w:rsid w:val="4D2723E3"/>
    <w:rsid w:val="4DDB5102"/>
    <w:rsid w:val="4E20793F"/>
    <w:rsid w:val="4E685A5E"/>
    <w:rsid w:val="4F9D2294"/>
    <w:rsid w:val="50DF3479"/>
    <w:rsid w:val="5135633E"/>
    <w:rsid w:val="52C8775F"/>
    <w:rsid w:val="56A67E6F"/>
    <w:rsid w:val="58C058F8"/>
    <w:rsid w:val="593C7A46"/>
    <w:rsid w:val="59D02CF6"/>
    <w:rsid w:val="5A395C71"/>
    <w:rsid w:val="5A6D62C1"/>
    <w:rsid w:val="5A9547E9"/>
    <w:rsid w:val="5A9A25FF"/>
    <w:rsid w:val="5A9F3E73"/>
    <w:rsid w:val="5AAC4788"/>
    <w:rsid w:val="5B7C4EDF"/>
    <w:rsid w:val="5D1461EF"/>
    <w:rsid w:val="5D2F7CA9"/>
    <w:rsid w:val="5D562D9E"/>
    <w:rsid w:val="5D7C0D6E"/>
    <w:rsid w:val="5DA74753"/>
    <w:rsid w:val="5EB87D7C"/>
    <w:rsid w:val="5EBB452B"/>
    <w:rsid w:val="5F1640DA"/>
    <w:rsid w:val="5F496996"/>
    <w:rsid w:val="601A7336"/>
    <w:rsid w:val="60473729"/>
    <w:rsid w:val="636D641C"/>
    <w:rsid w:val="63E708FE"/>
    <w:rsid w:val="63F967BA"/>
    <w:rsid w:val="646F1658"/>
    <w:rsid w:val="65167A70"/>
    <w:rsid w:val="659E6878"/>
    <w:rsid w:val="65BD20CA"/>
    <w:rsid w:val="66681FBD"/>
    <w:rsid w:val="67336BEF"/>
    <w:rsid w:val="67527184"/>
    <w:rsid w:val="68277EBF"/>
    <w:rsid w:val="68CA03D0"/>
    <w:rsid w:val="68D11197"/>
    <w:rsid w:val="690646F3"/>
    <w:rsid w:val="699709DA"/>
    <w:rsid w:val="6AC91370"/>
    <w:rsid w:val="6B367BC8"/>
    <w:rsid w:val="6B696C8B"/>
    <w:rsid w:val="6C0A5683"/>
    <w:rsid w:val="6D5B4376"/>
    <w:rsid w:val="6D9F1811"/>
    <w:rsid w:val="6F9C07A1"/>
    <w:rsid w:val="70D5394B"/>
    <w:rsid w:val="714128EA"/>
    <w:rsid w:val="72AF1C9F"/>
    <w:rsid w:val="72BC2FAF"/>
    <w:rsid w:val="73FC5583"/>
    <w:rsid w:val="749709DC"/>
    <w:rsid w:val="74C05C05"/>
    <w:rsid w:val="7510380D"/>
    <w:rsid w:val="757E5918"/>
    <w:rsid w:val="75CF5C3D"/>
    <w:rsid w:val="75EC5C91"/>
    <w:rsid w:val="76656E66"/>
    <w:rsid w:val="76D12D44"/>
    <w:rsid w:val="78233039"/>
    <w:rsid w:val="783F4538"/>
    <w:rsid w:val="78557F17"/>
    <w:rsid w:val="798242B6"/>
    <w:rsid w:val="7985072B"/>
    <w:rsid w:val="7A61449F"/>
    <w:rsid w:val="7B540063"/>
    <w:rsid w:val="7B6B5A3F"/>
    <w:rsid w:val="7C0462F2"/>
    <w:rsid w:val="7E0C4A27"/>
    <w:rsid w:val="7F945388"/>
    <w:rsid w:val="7F9D2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宋体" w:cstheme="minorBidi"/>
      <w:kern w:val="2"/>
      <w:sz w:val="28"/>
      <w:szCs w:val="24"/>
      <w:lang w:val="en-US" w:eastAsia="zh-CN" w:bidi="ar-SA"/>
    </w:rPr>
  </w:style>
  <w:style w:type="paragraph" w:styleId="3">
    <w:name w:val="heading 1"/>
    <w:basedOn w:val="1"/>
    <w:next w:val="1"/>
    <w:qFormat/>
    <w:uiPriority w:val="0"/>
    <w:pPr>
      <w:keepNext/>
      <w:keepLines/>
      <w:ind w:firstLine="0" w:firstLineChars="0"/>
      <w:jc w:val="center"/>
      <w:outlineLvl w:val="0"/>
    </w:pPr>
    <w:rPr>
      <w:b/>
      <w:kern w:val="44"/>
      <w:sz w:val="32"/>
    </w:rPr>
  </w:style>
  <w:style w:type="paragraph" w:styleId="4">
    <w:name w:val="heading 2"/>
    <w:basedOn w:val="1"/>
    <w:next w:val="1"/>
    <w:unhideWhenUsed/>
    <w:qFormat/>
    <w:uiPriority w:val="0"/>
    <w:pPr>
      <w:keepNext/>
      <w:keepLines/>
      <w:outlineLvl w:val="1"/>
    </w:pPr>
    <w:rPr>
      <w:rFonts w:ascii="Arial" w:hAnsi="Arial"/>
      <w:b/>
    </w:rPr>
  </w:style>
  <w:style w:type="paragraph" w:styleId="5">
    <w:name w:val="heading 3"/>
    <w:basedOn w:val="1"/>
    <w:next w:val="1"/>
    <w:link w:val="36"/>
    <w:unhideWhenUsed/>
    <w:qFormat/>
    <w:uiPriority w:val="0"/>
    <w:pPr>
      <w:keepNext/>
      <w:keepLines/>
      <w:jc w:val="left"/>
      <w:outlineLvl w:val="2"/>
    </w:pPr>
    <w:rPr>
      <w:b/>
    </w:rPr>
  </w:style>
  <w:style w:type="paragraph" w:styleId="6">
    <w:name w:val="heading 4"/>
    <w:basedOn w:val="1"/>
    <w:next w:val="1"/>
    <w:unhideWhenUsed/>
    <w:qFormat/>
    <w:uiPriority w:val="0"/>
    <w:pPr>
      <w:keepNext/>
      <w:keepLines/>
      <w:outlineLvl w:val="3"/>
    </w:pPr>
  </w:style>
  <w:style w:type="paragraph" w:styleId="7">
    <w:name w:val="heading 5"/>
    <w:basedOn w:val="1"/>
    <w:next w:val="1"/>
    <w:unhideWhenUsed/>
    <w:qFormat/>
    <w:uiPriority w:val="0"/>
    <w:pPr>
      <w:keepNext/>
      <w:keepLines/>
      <w:outlineLvl w:val="4"/>
    </w:pPr>
    <w:rPr>
      <w:b/>
    </w:rPr>
  </w:style>
  <w:style w:type="paragraph" w:styleId="8">
    <w:name w:val="heading 6"/>
    <w:basedOn w:val="1"/>
    <w:next w:val="1"/>
    <w:link w:val="31"/>
    <w:unhideWhenUsed/>
    <w:qFormat/>
    <w:uiPriority w:val="0"/>
    <w:pPr>
      <w:keepNext/>
      <w:keepLines/>
      <w:spacing w:line="240" w:lineRule="auto"/>
      <w:ind w:firstLine="0" w:firstLineChars="0"/>
      <w:jc w:val="center"/>
      <w:outlineLvl w:val="5"/>
    </w:pPr>
    <w:rPr>
      <w:rFonts w:ascii="Arial" w:hAnsi="Arial"/>
      <w:sz w:val="24"/>
    </w:rPr>
  </w:style>
  <w:style w:type="paragraph" w:styleId="9">
    <w:name w:val="heading 7"/>
    <w:basedOn w:val="1"/>
    <w:next w:val="1"/>
    <w:unhideWhenUsed/>
    <w:qFormat/>
    <w:uiPriority w:val="0"/>
    <w:pPr>
      <w:keepNext/>
      <w:keepLines/>
      <w:spacing w:before="240" w:after="64" w:line="317" w:lineRule="auto"/>
      <w:outlineLvl w:val="6"/>
    </w:pPr>
    <w:rPr>
      <w:b/>
      <w:sz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unhideWhenUsed/>
    <w:qFormat/>
    <w:uiPriority w:val="99"/>
    <w:pPr>
      <w:spacing w:after="120"/>
      <w:ind w:left="420" w:leftChars="200"/>
    </w:pPr>
    <w:rPr>
      <w:rFonts w:cs="Times New Roman"/>
      <w:szCs w:val="20"/>
    </w:rPr>
  </w:style>
  <w:style w:type="paragraph" w:styleId="10">
    <w:name w:val="caption"/>
    <w:basedOn w:val="8"/>
    <w:next w:val="1"/>
    <w:link w:val="30"/>
    <w:qFormat/>
    <w:uiPriority w:val="35"/>
    <w:rPr>
      <w:rFonts w:ascii="Times New Roman" w:hAnsi="Times New Roman" w:cs="Times New Roman"/>
      <w:szCs w:val="20"/>
    </w:rPr>
  </w:style>
  <w:style w:type="paragraph" w:styleId="11">
    <w:name w:val="annotation text"/>
    <w:basedOn w:val="1"/>
    <w:link w:val="37"/>
    <w:qFormat/>
    <w:uiPriority w:val="0"/>
    <w:pPr>
      <w:jc w:val="left"/>
    </w:pPr>
  </w:style>
  <w:style w:type="paragraph" w:styleId="12">
    <w:name w:val="Body Text"/>
    <w:basedOn w:val="1"/>
    <w:qFormat/>
    <w:uiPriority w:val="1"/>
    <w:rPr>
      <w:rFonts w:ascii="仿宋" w:hAnsi="仿宋" w:eastAsia="仿宋" w:cs="仿宋"/>
      <w:szCs w:val="28"/>
    </w:rPr>
  </w:style>
  <w:style w:type="paragraph" w:styleId="13">
    <w:name w:val="Body Text Indent 2"/>
    <w:basedOn w:val="1"/>
    <w:unhideWhenUsed/>
    <w:qFormat/>
    <w:uiPriority w:val="99"/>
  </w:style>
  <w:style w:type="paragraph" w:styleId="14">
    <w:name w:val="Balloon Text"/>
    <w:basedOn w:val="1"/>
    <w:link w:val="35"/>
    <w:qFormat/>
    <w:uiPriority w:val="0"/>
    <w:pPr>
      <w:spacing w:line="240" w:lineRule="auto"/>
    </w:pPr>
    <w:rPr>
      <w:sz w:val="18"/>
      <w:szCs w:val="18"/>
    </w:rPr>
  </w:style>
  <w:style w:type="paragraph" w:styleId="15">
    <w:name w:val="footer"/>
    <w:basedOn w:val="1"/>
    <w:link w:val="34"/>
    <w:qFormat/>
    <w:uiPriority w:val="0"/>
    <w:pPr>
      <w:tabs>
        <w:tab w:val="center" w:pos="4153"/>
        <w:tab w:val="right" w:pos="8306"/>
      </w:tabs>
      <w:snapToGrid w:val="0"/>
      <w:spacing w:line="240" w:lineRule="auto"/>
      <w:jc w:val="left"/>
    </w:pPr>
    <w:rPr>
      <w:sz w:val="18"/>
      <w:szCs w:val="18"/>
    </w:rPr>
  </w:style>
  <w:style w:type="paragraph" w:styleId="16">
    <w:name w:val="header"/>
    <w:basedOn w:val="1"/>
    <w:link w:val="33"/>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qFormat/>
    <w:uiPriority w:val="39"/>
    <w:pPr>
      <w:tabs>
        <w:tab w:val="right" w:leader="dot" w:pos="8296"/>
      </w:tabs>
      <w:ind w:firstLine="0" w:firstLineChars="0"/>
    </w:pPr>
    <w:rPr>
      <w:b/>
      <w:bCs/>
      <w:sz w:val="24"/>
    </w:rPr>
  </w:style>
  <w:style w:type="paragraph" w:styleId="18">
    <w:name w:val="toc 2"/>
    <w:basedOn w:val="1"/>
    <w:next w:val="1"/>
    <w:qFormat/>
    <w:uiPriority w:val="39"/>
    <w:pPr>
      <w:tabs>
        <w:tab w:val="right" w:leader="dot" w:pos="8296"/>
      </w:tabs>
      <w:ind w:left="560" w:leftChars="200" w:firstLine="0" w:firstLineChars="0"/>
    </w:pPr>
    <w:rPr>
      <w:sz w:val="24"/>
    </w:rPr>
  </w:style>
  <w:style w:type="paragraph" w:styleId="19">
    <w:name w:val="Normal (Web)"/>
    <w:basedOn w:val="1"/>
    <w:qFormat/>
    <w:uiPriority w:val="99"/>
    <w:pPr>
      <w:spacing w:before="100" w:beforeAutospacing="1" w:after="100" w:afterAutospacing="1"/>
      <w:jc w:val="left"/>
    </w:pPr>
    <w:rPr>
      <w:rFonts w:cs="Times New Roman"/>
      <w:kern w:val="0"/>
      <w:sz w:val="24"/>
    </w:rPr>
  </w:style>
  <w:style w:type="paragraph" w:styleId="20">
    <w:name w:val="annotation subject"/>
    <w:basedOn w:val="11"/>
    <w:next w:val="11"/>
    <w:link w:val="38"/>
    <w:qFormat/>
    <w:uiPriority w:val="0"/>
    <w:rPr>
      <w:b/>
      <w:bCs/>
    </w:rPr>
  </w:style>
  <w:style w:type="paragraph" w:styleId="21">
    <w:name w:val="Body Text First Indent 2"/>
    <w:basedOn w:val="2"/>
    <w:next w:val="1"/>
    <w:qFormat/>
    <w:uiPriority w:val="0"/>
    <w:pPr>
      <w:ind w:firstLine="420"/>
    </w:pPr>
  </w:style>
  <w:style w:type="table" w:styleId="23">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5">
    <w:name w:val="Hyperlink"/>
    <w:basedOn w:val="24"/>
    <w:qFormat/>
    <w:uiPriority w:val="99"/>
    <w:rPr>
      <w:color w:val="0563C1"/>
      <w:u w:val="single"/>
    </w:rPr>
  </w:style>
  <w:style w:type="character" w:styleId="26">
    <w:name w:val="annotation reference"/>
    <w:basedOn w:val="24"/>
    <w:qFormat/>
    <w:uiPriority w:val="0"/>
    <w:rPr>
      <w:sz w:val="21"/>
      <w:szCs w:val="21"/>
    </w:rPr>
  </w:style>
  <w:style w:type="paragraph" w:styleId="27">
    <w:name w:val="No Spacing"/>
    <w:qFormat/>
    <w:uiPriority w:val="1"/>
    <w:pPr>
      <w:widowControl w:val="0"/>
      <w:jc w:val="center"/>
    </w:pPr>
    <w:rPr>
      <w:rFonts w:ascii="Times New Roman" w:hAnsi="Times New Roman" w:eastAsia="仿宋" w:cs="宋体"/>
      <w:color w:val="000000"/>
      <w:kern w:val="2"/>
      <w:sz w:val="21"/>
      <w:szCs w:val="22"/>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1"/>
    <w:qFormat/>
    <w:uiPriority w:val="0"/>
    <w:rPr>
      <w:rFonts w:asciiTheme="minorHAnsi" w:hAnsiTheme="minorHAnsi" w:eastAsiaTheme="minorEastAsia" w:cstheme="minorBidi"/>
      <w:lang w:val="en-US" w:eastAsia="zh-CN" w:bidi="ar-SA"/>
    </w:rPr>
  </w:style>
  <w:style w:type="character" w:customStyle="1" w:styleId="30">
    <w:name w:val="题注 字符"/>
    <w:link w:val="10"/>
    <w:qFormat/>
    <w:uiPriority w:val="35"/>
    <w:rPr>
      <w:rFonts w:ascii="Times New Roman" w:hAnsi="Times New Roman" w:eastAsia="宋体" w:cs="Times New Roman"/>
      <w:color w:val="auto"/>
      <w:sz w:val="24"/>
      <w:szCs w:val="20"/>
    </w:rPr>
  </w:style>
  <w:style w:type="character" w:customStyle="1" w:styleId="31">
    <w:name w:val="标题 6 字符"/>
    <w:link w:val="8"/>
    <w:qFormat/>
    <w:uiPriority w:val="0"/>
    <w:rPr>
      <w:rFonts w:ascii="Arial" w:hAnsi="Arial" w:eastAsia="宋体"/>
      <w:sz w:val="24"/>
    </w:rPr>
  </w:style>
  <w:style w:type="paragraph" w:customStyle="1" w:styleId="32">
    <w:name w:val="Table Paragraph"/>
    <w:basedOn w:val="1"/>
    <w:qFormat/>
    <w:uiPriority w:val="1"/>
    <w:rPr>
      <w:rFonts w:ascii="仿宋" w:hAnsi="仿宋" w:eastAsia="仿宋" w:cs="仿宋"/>
    </w:rPr>
  </w:style>
  <w:style w:type="character" w:customStyle="1" w:styleId="33">
    <w:name w:val="页眉 字符"/>
    <w:basedOn w:val="24"/>
    <w:link w:val="16"/>
    <w:qFormat/>
    <w:uiPriority w:val="0"/>
    <w:rPr>
      <w:rFonts w:cstheme="minorBidi"/>
      <w:kern w:val="2"/>
      <w:sz w:val="18"/>
      <w:szCs w:val="18"/>
    </w:rPr>
  </w:style>
  <w:style w:type="character" w:customStyle="1" w:styleId="34">
    <w:name w:val="页脚 字符"/>
    <w:basedOn w:val="24"/>
    <w:link w:val="15"/>
    <w:qFormat/>
    <w:uiPriority w:val="0"/>
    <w:rPr>
      <w:rFonts w:cstheme="minorBidi"/>
      <w:kern w:val="2"/>
      <w:sz w:val="18"/>
      <w:szCs w:val="18"/>
    </w:rPr>
  </w:style>
  <w:style w:type="character" w:customStyle="1" w:styleId="35">
    <w:name w:val="批注框文本 字符"/>
    <w:basedOn w:val="24"/>
    <w:link w:val="14"/>
    <w:qFormat/>
    <w:uiPriority w:val="0"/>
    <w:rPr>
      <w:rFonts w:cstheme="minorBidi"/>
      <w:kern w:val="2"/>
      <w:sz w:val="18"/>
      <w:szCs w:val="18"/>
    </w:rPr>
  </w:style>
  <w:style w:type="character" w:customStyle="1" w:styleId="36">
    <w:name w:val="标题 3 字符"/>
    <w:basedOn w:val="24"/>
    <w:link w:val="5"/>
    <w:qFormat/>
    <w:uiPriority w:val="0"/>
    <w:rPr>
      <w:rFonts w:cstheme="minorBidi"/>
      <w:b/>
      <w:kern w:val="2"/>
      <w:sz w:val="28"/>
      <w:szCs w:val="24"/>
    </w:rPr>
  </w:style>
  <w:style w:type="character" w:customStyle="1" w:styleId="37">
    <w:name w:val="批注文字 字符"/>
    <w:basedOn w:val="24"/>
    <w:link w:val="11"/>
    <w:qFormat/>
    <w:uiPriority w:val="0"/>
    <w:rPr>
      <w:rFonts w:cstheme="minorBidi"/>
      <w:kern w:val="2"/>
      <w:sz w:val="28"/>
      <w:szCs w:val="24"/>
    </w:rPr>
  </w:style>
  <w:style w:type="character" w:customStyle="1" w:styleId="38">
    <w:name w:val="批注主题 字符"/>
    <w:basedOn w:val="37"/>
    <w:link w:val="20"/>
    <w:qFormat/>
    <w:uiPriority w:val="0"/>
    <w:rPr>
      <w:rFonts w:cstheme="minorBidi"/>
      <w:b/>
      <w:bCs/>
      <w:kern w:val="2"/>
      <w:sz w:val="28"/>
      <w:szCs w:val="24"/>
    </w:rPr>
  </w:style>
  <w:style w:type="character" w:customStyle="1" w:styleId="39">
    <w:name w:val="font01"/>
    <w:basedOn w:val="24"/>
    <w:qFormat/>
    <w:uiPriority w:val="0"/>
    <w:rPr>
      <w:rFonts w:hint="default" w:ascii="Arial" w:hAnsi="Arial" w:cs="Arial"/>
      <w:color w:val="000000"/>
      <w:sz w:val="20"/>
      <w:szCs w:val="20"/>
      <w:u w:val="none"/>
    </w:rPr>
  </w:style>
  <w:style w:type="paragraph" w:customStyle="1" w:styleId="40">
    <w:name w:val="修订1"/>
    <w:hidden/>
    <w:semiHidden/>
    <w:qFormat/>
    <w:uiPriority w:val="99"/>
    <w:rPr>
      <w:rFonts w:ascii="Times New Roman" w:hAnsi="Times New Roman" w:eastAsia="宋体" w:cstheme="minorBidi"/>
      <w:kern w:val="2"/>
      <w:sz w:val="28"/>
      <w:szCs w:val="24"/>
      <w:lang w:val="en-US" w:eastAsia="zh-CN" w:bidi="ar-SA"/>
    </w:rPr>
  </w:style>
  <w:style w:type="character" w:customStyle="1" w:styleId="41">
    <w:name w:val="font11"/>
    <w:basedOn w:val="24"/>
    <w:qFormat/>
    <w:uiPriority w:val="0"/>
    <w:rPr>
      <w:rFonts w:hint="eastAsia" w:ascii="仿宋_GB2312" w:eastAsia="仿宋_GB2312" w:cs="仿宋_GB2312"/>
      <w:b/>
      <w:bCs/>
      <w:color w:val="000000"/>
      <w:sz w:val="24"/>
      <w:szCs w:val="24"/>
      <w:u w:val="none"/>
    </w:rPr>
  </w:style>
  <w:style w:type="character" w:customStyle="1" w:styleId="42">
    <w:name w:val="font21"/>
    <w:basedOn w:val="24"/>
    <w:qFormat/>
    <w:uiPriority w:val="0"/>
    <w:rPr>
      <w:rFonts w:hint="eastAsia" w:ascii="仿宋_GB2312" w:eastAsia="仿宋_GB2312" w:cs="仿宋_GB2312"/>
      <w:color w:val="000000"/>
      <w:sz w:val="24"/>
      <w:szCs w:val="24"/>
      <w:u w:val="none"/>
    </w:rPr>
  </w:style>
  <w:style w:type="character" w:customStyle="1" w:styleId="43">
    <w:name w:val="font31"/>
    <w:basedOn w:val="24"/>
    <w:qFormat/>
    <w:uiPriority w:val="0"/>
    <w:rPr>
      <w:rFonts w:hint="default" w:ascii="Times New Roman" w:hAnsi="Times New Roman" w:cs="Times New Roman"/>
      <w:color w:val="000000"/>
      <w:sz w:val="24"/>
      <w:szCs w:val="24"/>
      <w:u w:val="none"/>
    </w:rPr>
  </w:style>
  <w:style w:type="paragraph" w:customStyle="1" w:styleId="44">
    <w:name w:val="修订2"/>
    <w:hidden/>
    <w:unhideWhenUsed/>
    <w:qFormat/>
    <w:uiPriority w:val="99"/>
    <w:rPr>
      <w:rFonts w:ascii="Times New Roman" w:hAnsi="Times New Roman" w:eastAsia="宋体" w:cstheme="minorBidi"/>
      <w:kern w:val="2"/>
      <w:sz w:val="28"/>
      <w:szCs w:val="24"/>
      <w:lang w:val="en-US" w:eastAsia="zh-CN" w:bidi="ar-SA"/>
    </w:rPr>
  </w:style>
  <w:style w:type="character" w:customStyle="1" w:styleId="45">
    <w:name w:val="font71"/>
    <w:basedOn w:val="24"/>
    <w:qFormat/>
    <w:uiPriority w:val="0"/>
    <w:rPr>
      <w:rFonts w:hint="eastAsia" w:ascii="仿宋_GB2312" w:eastAsia="仿宋_GB2312" w:cs="仿宋_GB2312"/>
      <w:color w:val="000000"/>
      <w:sz w:val="24"/>
      <w:szCs w:val="24"/>
      <w:u w:val="none"/>
    </w:rPr>
  </w:style>
  <w:style w:type="character" w:customStyle="1" w:styleId="46">
    <w:name w:val="font81"/>
    <w:basedOn w:val="24"/>
    <w:qFormat/>
    <w:uiPriority w:val="0"/>
    <w:rPr>
      <w:rFonts w:hint="eastAsia" w:ascii="宋体" w:hAnsi="宋体" w:eastAsia="宋体" w:cs="宋体"/>
      <w:color w:val="000000"/>
      <w:sz w:val="24"/>
      <w:szCs w:val="24"/>
      <w:u w:val="none"/>
    </w:rPr>
  </w:style>
  <w:style w:type="character" w:customStyle="1" w:styleId="47">
    <w:name w:val="font61"/>
    <w:basedOn w:val="24"/>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8266</Words>
  <Characters>10654</Characters>
  <Lines>108</Lines>
  <Paragraphs>30</Paragraphs>
  <TotalTime>36</TotalTime>
  <ScaleCrop>false</ScaleCrop>
  <LinksUpToDate>false</LinksUpToDate>
  <CharactersWithSpaces>10850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2023-05-18T07:09:00Z</dcterms:created>
  <dc:creator>X</dc:creator>
  <cp:lastModifiedBy>长毛怪啊</cp:lastModifiedBy>
  <dcterms:modified xsi:type="dcterms:W3CDTF">2025-11-18T07:25:11Z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F14257E1DEAC4469831D2083AB5CB60D_13</vt:lpwstr>
  </property>
  <property fmtid="{D5CDD505-2E9C-101B-9397-08002B2CF9AE}" pid="4" name="KSOTemplateDocerSaveRecord">
    <vt:lpwstr>eyJoZGlkIjoiOTY4YWM5MjFmMmFhMjg4ZjU5Yjc2ZTExMDRjYjU2YTYiLCJ1c2VySWQiOiIzMDcyMzUyMTMifQ==</vt:lpwstr>
  </property>
</Properties>
</file>