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《源城区产业投资项目“双容双诺三同步”直接落地改革机制实施方案》政策解读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  <w:t>一、制定的必要性和主要依据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_GBK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深入推进“放管服”改革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，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加快转变政府职能，优化我区投资环境，落实企业投资主体责任，进一步加强项目建设全生命周期服务，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>促进产业投资项目快落地，根据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《中共中央 国务院关于深化投融资体制改革的意见》（中发〔2016〕18号）《广东省工程建设项目审批告知承诺制管理暂行办法》（粤建改办〔2019〕31号）和《中共广东省委、广东省人民政府关于深化投融资体制改革的实施意见》要求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>结合到肇庆市端州区学习交流工作经验和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实际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lang w:val="en-US" w:eastAsia="zh-CN"/>
        </w:rPr>
        <w:t>特制定《源城区产业投资项目“双容双诺三同步”直接落地改革机制实施方案》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  <w:t>二、目的及目标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积极探索产业投资项目建设审批事项改革，按照“双容双诺三同步”的原则（即容缺、容错，企业向政府承诺、政府向企业承诺，交地同步开工、竣工同步发证、预验同步试产），实行“宽进、严管”，开展以企业依法承诺，政府加强事前引导、事中辅导、事后监管为主要内容的产业投资项目直接落地改革，推动企业投资项目审批便捷化、政府监管高效化，促进项目“先建后验”，实现项目“直接落地”，加快形成项目建设审批全生命周期服务的新格局，有力促进产业项目快落地、快建成、快投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宋体" w:hAnsi="宋体" w:eastAsia="方正仿宋简体" w:cs="Times New Roman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  <w:t>《方案》主要包含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32"/>
          <w:lang w:val="en-US" w:eastAsia="zh-CN" w:bidi="ar"/>
        </w:rPr>
        <w:t>目标任务、改革范围、相关配套制度保障措施</w:t>
      </w:r>
      <w:r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  <w:t>四个方面的内容。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  <w:t>第一方面是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32"/>
          <w:lang w:val="en-US" w:eastAsia="zh-CN" w:bidi="ar"/>
        </w:rPr>
        <w:t>目标任务</w:t>
      </w:r>
      <w:r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  <w:t>，以加快转变政府职能、落实企业投资主体地位为核心，积极探索投资项目建设审批事项改革，按照“双容双承诺”原则（即容缺、容错，企业向政府承诺、政府向企业承诺），实行“宽进、严管”，开展以企业依法承诺制，政府加强事前引导、事中辅导、事后监管为主要内容的企业投资项目直接落地改革，推动企业投资项目审批便捷化和政府监管高效化，促进项目“先建后验”，实现项目“直接落地”。形成项目建设审批新格局，促进项目快落地、快建成、快投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  <w:t>第二方面是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32"/>
          <w:lang w:val="en-US" w:eastAsia="zh-CN" w:bidi="ar"/>
        </w:rPr>
        <w:t>改革范围</w:t>
      </w:r>
      <w:r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  <w:t>，已经依法取得用地（含土地招拍挂中标通知书）的产业类项目，以及“双容双承诺”产业的配套电网项目可自主申请项目直接落地建设。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  <w:t>第三方面是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32"/>
          <w:lang w:val="en-US" w:eastAsia="zh-CN" w:bidi="ar"/>
        </w:rPr>
        <w:t>相关配套制度</w:t>
      </w:r>
      <w:r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  <w:t>，共8个方面，一是明确“双容双承诺”制度项目准入负面清单；二是实施双向依法承诺制度；三是实行“一门式一网式”政府服务；四是加强区域评估成果运用；五是实行开工前报备制度；六是实施全过程监管制度；七是推动“预验即试产”科学化、高效化；八是建立严格的责任追究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  <w:t>第四方面是</w:t>
      </w:r>
      <w:r>
        <w:rPr>
          <w:rFonts w:hint="eastAsia" w:ascii="宋体" w:hAnsi="宋体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保障措施</w:t>
      </w:r>
      <w:r>
        <w:rPr>
          <w:rFonts w:hint="eastAsia" w:ascii="宋体" w:hAnsi="宋体" w:eastAsia="方正仿宋_GBK" w:cs="方正仿宋_GBK"/>
          <w:bCs w:val="0"/>
          <w:kern w:val="2"/>
          <w:sz w:val="32"/>
          <w:szCs w:val="32"/>
          <w:lang w:val="en-US" w:eastAsia="zh-CN" w:bidi="ar"/>
        </w:rPr>
        <w:t>，共6个方面，一是加强组织领导；二是构建问题反馈制度；三是明确责任分工；四是加强业务培训；五是及时总结评估；六是实施时间。</w:t>
      </w:r>
      <w:bookmarkStart w:id="0" w:name="_GoBack"/>
      <w:bookmarkEnd w:id="0"/>
    </w:p>
    <w:sectPr>
      <w:pgSz w:w="11906" w:h="16838"/>
      <w:pgMar w:top="198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g0YjllMmRiZDlhOGY4YTY5OWUwZTc3MDM5M2EifQ=="/>
  </w:docVars>
  <w:rsids>
    <w:rsidRoot w:val="00000000"/>
    <w:rsid w:val="08FD4BD5"/>
    <w:rsid w:val="21FB4C87"/>
    <w:rsid w:val="24F9689E"/>
    <w:rsid w:val="38A10A8B"/>
    <w:rsid w:val="77AF26ED"/>
    <w:rsid w:val="7FA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libri Light" w:hAnsi="Calibri Light" w:eastAsia="黑体" w:cs="黑体"/>
      <w:sz w:val="20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670</Characters>
  <Lines>0</Lines>
  <Paragraphs>0</Paragraphs>
  <TotalTime>1</TotalTime>
  <ScaleCrop>false</ScaleCrop>
  <LinksUpToDate>false</LinksUpToDate>
  <CharactersWithSpaces>671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2023-11-15T06:56:00Z</dcterms:created>
  <dc:creator>Administrator</dc:creator>
  <cp:lastModifiedBy>陈家格</cp:lastModifiedBy>
  <dcterms:modified xsi:type="dcterms:W3CDTF">2025-04-07T08:19:01Z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76569815E14D4082A2E2702C0E0ECFDA_13</vt:lpwstr>
  </property>
  <property fmtid="{D5CDD505-2E9C-101B-9397-08002B2CF9AE}" pid="4" name="KSOTemplateDocerSaveRecord">
    <vt:lpwstr>eyJoZGlkIjoiMjRkYWQ4ZmRlYWNhOWJiODI2ZDk0MmM2ODg5YzgyZjIiLCJ1c2VySWQiOiI2MDEwMTYyNDUifQ==</vt:lpwstr>
  </property>
</Properties>
</file>