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宋体" w:hAnsi="宋体" w:eastAsia="方正仿宋_GBK" w:cs="方正仿宋_GBK"/>
          <w:color w:val="auto"/>
          <w:sz w:val="32"/>
          <w:szCs w:val="32"/>
        </w:rPr>
        <w:id w:val="1612476912"/>
        <w:docPartObj>
          <w:docPartGallery w:val="autotext"/>
        </w:docPartObj>
      </w:sdtPr>
      <w:sdtEndPr>
        <w:rPr>
          <w:rFonts w:hint="eastAsia" w:ascii="宋体" w:hAnsi="宋体" w:eastAsia="方正仿宋_GBK" w:cs="方正仿宋_GBK"/>
          <w:color w:val="auto"/>
          <w:sz w:val="32"/>
          <w:szCs w:val="32"/>
        </w:rPr>
      </w:sdtEndPr>
      <w:sdtContent>
        <w:p>
          <w:pPr>
            <w:pageBreakBefore w:val="0"/>
            <w:widowControl/>
            <w:kinsoku/>
            <w:wordWrap/>
            <w:overflowPunct w:val="0"/>
            <w:topLinePunct w:val="0"/>
            <w:autoSpaceDE w:val="0"/>
            <w:autoSpaceDN w:val="0"/>
            <w:bidi w:val="0"/>
            <w:adjustRightInd w:val="0"/>
            <w:snapToGrid/>
            <w:spacing w:line="600" w:lineRule="exact"/>
            <w:ind w:firstLine="640" w:firstLineChars="200"/>
            <w:jc w:val="left"/>
            <w:textAlignment w:val="auto"/>
            <w:rPr>
              <w:rFonts w:hint="eastAsia" w:ascii="宋体" w:hAnsi="宋体" w:eastAsia="方正仿宋_GBK" w:cs="方正仿宋_GBK"/>
              <w:b/>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Style w:val="2"/>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left="0" w:leftChars="0" w:firstLine="440" w:firstLineChars="100"/>
            <w:jc w:val="both"/>
            <w:textAlignment w:val="auto"/>
            <w:rPr>
              <w:rFonts w:hint="eastAsia" w:ascii="宋体" w:hAnsi="宋体" w:eastAsia="方正小标宋_GBK" w:cs="方正小标宋_GBK"/>
              <w:bCs/>
              <w:color w:val="auto"/>
              <w:sz w:val="44"/>
              <w:szCs w:val="44"/>
            </w:rPr>
          </w:pPr>
          <w:r>
            <w:rPr>
              <w:rFonts w:hint="eastAsia" w:ascii="宋体" w:hAnsi="宋体" w:eastAsia="方正小标宋_GBK" w:cs="方正小标宋_GBK"/>
              <w:bCs/>
              <w:color w:val="auto"/>
              <w:sz w:val="44"/>
              <w:szCs w:val="44"/>
            </w:rPr>
            <w:t>河源市源城区数字政府“十四五”</w:t>
          </w:r>
          <w:r>
            <w:rPr>
              <w:rFonts w:hint="eastAsia" w:ascii="宋体" w:hAnsi="宋体" w:eastAsia="方正小标宋_GBK" w:cs="方正小标宋_GBK"/>
              <w:bCs/>
              <w:color w:val="auto"/>
              <w:sz w:val="44"/>
              <w:szCs w:val="44"/>
              <w:lang w:val="en-US" w:eastAsia="zh-CN"/>
            </w:rPr>
            <w:t>发展</w:t>
          </w:r>
          <w:r>
            <w:rPr>
              <w:rFonts w:hint="eastAsia" w:ascii="宋体" w:hAnsi="宋体" w:eastAsia="方正小标宋_GBK" w:cs="方正小标宋_GBK"/>
              <w:bCs/>
              <w:color w:val="auto"/>
              <w:sz w:val="44"/>
              <w:szCs w:val="44"/>
            </w:rPr>
            <w:t>规划</w:t>
          </w:r>
        </w:p>
        <w:p>
          <w:pPr>
            <w:pStyle w:val="2"/>
            <w:pageBreakBefore w:val="0"/>
            <w:kinsoku/>
            <w:wordWrap/>
            <w:overflowPunct w:val="0"/>
            <w:topLinePunct w:val="0"/>
            <w:autoSpaceDE w:val="0"/>
            <w:autoSpaceDN w:val="0"/>
            <w:bidi w:val="0"/>
            <w:adjustRightInd w:val="0"/>
            <w:snapToGrid/>
            <w:spacing w:line="600" w:lineRule="exact"/>
            <w:ind w:firstLine="880" w:firstLineChars="200"/>
            <w:jc w:val="center"/>
            <w:textAlignment w:val="auto"/>
            <w:rPr>
              <w:rFonts w:hint="eastAsia" w:ascii="宋体" w:hAnsi="宋体" w:eastAsia="方正小标宋_GBK" w:cs="方正小标宋_GBK"/>
              <w:color w:val="auto"/>
              <w:lang w:val="en-US" w:eastAsia="zh-CN"/>
            </w:rPr>
          </w:pPr>
          <w:r>
            <w:rPr>
              <w:rFonts w:hint="eastAsia" w:ascii="宋体" w:hAnsi="宋体" w:eastAsia="方正小标宋_GBK" w:cs="方正小标宋_GBK"/>
              <w:bCs/>
              <w:color w:val="auto"/>
              <w:sz w:val="44"/>
              <w:szCs w:val="44"/>
              <w:lang w:eastAsia="zh-CN"/>
            </w:rPr>
            <w:t>（</w:t>
          </w:r>
          <w:r>
            <w:rPr>
              <w:rFonts w:hint="eastAsia" w:ascii="宋体" w:hAnsi="宋体" w:eastAsia="方正小标宋_GBK" w:cs="方正小标宋_GBK"/>
              <w:bCs/>
              <w:color w:val="auto"/>
              <w:sz w:val="44"/>
              <w:szCs w:val="44"/>
              <w:lang w:val="en-US" w:eastAsia="zh-CN"/>
            </w:rPr>
            <w:t>征求意见稿）</w:t>
          </w: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jc w:val="center"/>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河源市源城区政务服务数据管理局</w:t>
          </w:r>
        </w:p>
        <w:p>
          <w:pPr>
            <w:pageBreakBefore w:val="0"/>
            <w:kinsoku/>
            <w:wordWrap/>
            <w:overflowPunct w:val="0"/>
            <w:topLinePunct w:val="0"/>
            <w:autoSpaceDE w:val="0"/>
            <w:autoSpaceDN w:val="0"/>
            <w:bidi w:val="0"/>
            <w:adjustRightInd w:val="0"/>
            <w:snapToGrid/>
            <w:spacing w:line="600" w:lineRule="exact"/>
            <w:ind w:firstLine="640" w:firstLineChars="200"/>
            <w:jc w:val="center"/>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2022年4月</w:t>
          </w:r>
        </w:p>
        <w:p>
          <w:pPr>
            <w:pageBreakBefore w:val="0"/>
            <w:widowControl/>
            <w:kinsoku/>
            <w:wordWrap/>
            <w:overflowPunct w:val="0"/>
            <w:topLinePunct w:val="0"/>
            <w:autoSpaceDE w:val="0"/>
            <w:autoSpaceDN w:val="0"/>
            <w:bidi w:val="0"/>
            <w:adjustRightInd w:val="0"/>
            <w:snapToGrid/>
            <w:spacing w:line="600" w:lineRule="exact"/>
            <w:ind w:firstLine="640" w:firstLineChars="200"/>
            <w:jc w:val="left"/>
            <w:textAlignment w:val="auto"/>
            <w:rPr>
              <w:rFonts w:hint="eastAsia" w:ascii="宋体" w:hAnsi="宋体" w:eastAsia="方正仿宋_GBK" w:cs="方正仿宋_GBK"/>
              <w:color w:val="auto"/>
              <w:sz w:val="32"/>
              <w:szCs w:val="32"/>
            </w:rPr>
          </w:pPr>
        </w:p>
        <w:p>
          <w:pPr>
            <w:pStyle w:val="2"/>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widowControl/>
            <w:kinsoku/>
            <w:wordWrap/>
            <w:overflowPunct w:val="0"/>
            <w:topLinePunct w:val="0"/>
            <w:autoSpaceDE w:val="0"/>
            <w:autoSpaceDN w:val="0"/>
            <w:bidi w:val="0"/>
            <w:adjustRightInd w:val="0"/>
            <w:snapToGrid/>
            <w:spacing w:line="600" w:lineRule="exact"/>
            <w:ind w:firstLine="640" w:firstLineChars="200"/>
            <w:jc w:val="left"/>
            <w:textAlignment w:val="auto"/>
            <w:rPr>
              <w:rFonts w:hint="eastAsia" w:ascii="宋体" w:hAnsi="宋体" w:eastAsia="方正仿宋_GBK" w:cs="方正仿宋_GBK"/>
              <w:b/>
              <w:bCs/>
              <w:color w:val="auto"/>
              <w:kern w:val="0"/>
              <w:sz w:val="32"/>
              <w:szCs w:val="32"/>
            </w:rPr>
          </w:pPr>
        </w:p>
      </w:sdtContent>
    </w:sdt>
    <w:sdt>
      <w:sdtPr>
        <w:rPr>
          <w:rFonts w:ascii="宋体" w:hAnsi="宋体" w:eastAsia="宋体" w:cstheme="minorBidi"/>
          <w:kern w:val="2"/>
          <w:sz w:val="21"/>
          <w:szCs w:val="28"/>
          <w:lang w:val="en-US" w:eastAsia="zh-CN" w:bidi="ar-SA"/>
        </w:rPr>
        <w:id w:val="147455485"/>
        <w15:color w:val="DBDBDB"/>
        <w:docPartObj>
          <w:docPartGallery w:val="Table of Contents"/>
          <w:docPartUnique/>
        </w:docPartObj>
      </w:sdtPr>
      <w:sdtEndPr>
        <w:rPr>
          <w:rFonts w:ascii="宋体" w:hAnsi="宋体" w:eastAsia="宋体" w:cstheme="minorBidi"/>
          <w:b/>
          <w:kern w:val="2"/>
          <w:sz w:val="21"/>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pPr>
            <w:pStyle w:val="215"/>
            <w:tabs>
              <w:tab w:val="right" w:leader="middleDot" w:pos="8958"/>
            </w:tabs>
            <w:rPr>
              <w:sz w:val="32"/>
              <w:szCs w:val="32"/>
            </w:rPr>
          </w:pPr>
        </w:p>
        <w:p>
          <w:pPr>
            <w:pStyle w:val="215"/>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b/>
              <w:sz w:val="32"/>
              <w:szCs w:val="32"/>
            </w:rPr>
          </w:pPr>
          <w:r>
            <w:rPr>
              <w:sz w:val="32"/>
              <w:szCs w:val="32"/>
            </w:rPr>
            <w:fldChar w:fldCharType="begin"/>
          </w:r>
          <w:r>
            <w:rPr>
              <w:sz w:val="32"/>
              <w:szCs w:val="32"/>
            </w:rPr>
            <w:instrText xml:space="preserve">TOC \o "1-2" \h \u </w:instrText>
          </w:r>
          <w:r>
            <w:rPr>
              <w:sz w:val="32"/>
              <w:szCs w:val="32"/>
            </w:rPr>
            <w:fldChar w:fldCharType="separate"/>
          </w:r>
          <w:r>
            <w:rPr>
              <w:b/>
              <w:sz w:val="32"/>
              <w:szCs w:val="32"/>
            </w:rPr>
            <w:fldChar w:fldCharType="begin"/>
          </w:r>
          <w:r>
            <w:rPr>
              <w:b/>
              <w:sz w:val="32"/>
              <w:szCs w:val="32"/>
            </w:rPr>
            <w:instrText xml:space="preserve"> HYPERLINK \l _Toc15558 </w:instrText>
          </w:r>
          <w:r>
            <w:rPr>
              <w:b/>
              <w:sz w:val="32"/>
              <w:szCs w:val="32"/>
            </w:rPr>
            <w:fldChar w:fldCharType="separate"/>
          </w:r>
          <w:r>
            <w:rPr>
              <w:rFonts w:hint="eastAsia" w:ascii="宋体" w:hAnsi="宋体" w:eastAsia="黑体" w:cs="黑体"/>
              <w:b/>
              <w:sz w:val="32"/>
              <w:szCs w:val="32"/>
            </w:rPr>
            <w:t>引  言</w:t>
          </w:r>
          <w:r>
            <w:rPr>
              <w:b/>
              <w:sz w:val="32"/>
              <w:szCs w:val="32"/>
            </w:rPr>
            <w:tab/>
          </w:r>
          <w:r>
            <w:rPr>
              <w:b/>
              <w:sz w:val="32"/>
              <w:szCs w:val="32"/>
            </w:rPr>
            <w:fldChar w:fldCharType="begin"/>
          </w:r>
          <w:r>
            <w:rPr>
              <w:b/>
              <w:sz w:val="32"/>
              <w:szCs w:val="32"/>
            </w:rPr>
            <w:instrText xml:space="preserve"> PAGEREF _Toc15558 \h </w:instrText>
          </w:r>
          <w:r>
            <w:rPr>
              <w:b/>
              <w:sz w:val="32"/>
              <w:szCs w:val="32"/>
            </w:rPr>
            <w:fldChar w:fldCharType="separate"/>
          </w:r>
          <w:r>
            <w:rPr>
              <w:b/>
              <w:sz w:val="32"/>
              <w:szCs w:val="32"/>
            </w:rPr>
            <w:t>5</w:t>
          </w:r>
          <w:r>
            <w:rPr>
              <w:b/>
              <w:sz w:val="32"/>
              <w:szCs w:val="32"/>
            </w:rPr>
            <w:fldChar w:fldCharType="end"/>
          </w:r>
          <w:r>
            <w:rPr>
              <w:b/>
              <w:sz w:val="32"/>
              <w:szCs w:val="32"/>
            </w:rPr>
            <w:fldChar w:fldCharType="end"/>
          </w:r>
        </w:p>
        <w:p>
          <w:pPr>
            <w:pStyle w:val="215"/>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b/>
              <w:sz w:val="32"/>
              <w:szCs w:val="32"/>
            </w:rPr>
          </w:pPr>
          <w:r>
            <w:rPr>
              <w:b/>
              <w:sz w:val="32"/>
              <w:szCs w:val="32"/>
            </w:rPr>
            <w:fldChar w:fldCharType="begin"/>
          </w:r>
          <w:r>
            <w:rPr>
              <w:b/>
              <w:sz w:val="32"/>
              <w:szCs w:val="32"/>
            </w:rPr>
            <w:instrText xml:space="preserve"> HYPERLINK \l _Toc23207 </w:instrText>
          </w:r>
          <w:r>
            <w:rPr>
              <w:b/>
              <w:sz w:val="32"/>
              <w:szCs w:val="32"/>
            </w:rPr>
            <w:fldChar w:fldCharType="separate"/>
          </w:r>
          <w:r>
            <w:rPr>
              <w:rFonts w:hint="eastAsia" w:ascii="宋体" w:hAnsi="宋体" w:eastAsia="黑体" w:cs="宋体"/>
              <w:b/>
              <w:i w:val="0"/>
              <w:sz w:val="32"/>
              <w:szCs w:val="32"/>
            </w:rPr>
            <w:t xml:space="preserve">一、 </w:t>
          </w:r>
          <w:r>
            <w:rPr>
              <w:rFonts w:hint="eastAsia" w:ascii="宋体" w:hAnsi="宋体"/>
              <w:b/>
              <w:sz w:val="32"/>
              <w:szCs w:val="32"/>
            </w:rPr>
            <w:t>规划概述</w:t>
          </w:r>
          <w:r>
            <w:rPr>
              <w:b/>
              <w:sz w:val="32"/>
              <w:szCs w:val="32"/>
            </w:rPr>
            <w:tab/>
          </w:r>
          <w:r>
            <w:rPr>
              <w:b/>
              <w:sz w:val="32"/>
              <w:szCs w:val="32"/>
            </w:rPr>
            <w:fldChar w:fldCharType="begin"/>
          </w:r>
          <w:r>
            <w:rPr>
              <w:b/>
              <w:sz w:val="32"/>
              <w:szCs w:val="32"/>
            </w:rPr>
            <w:instrText xml:space="preserve"> PAGEREF _Toc23207 \h </w:instrText>
          </w:r>
          <w:r>
            <w:rPr>
              <w:b/>
              <w:sz w:val="32"/>
              <w:szCs w:val="32"/>
            </w:rPr>
            <w:fldChar w:fldCharType="separate"/>
          </w:r>
          <w:r>
            <w:rPr>
              <w:b/>
              <w:sz w:val="32"/>
              <w:szCs w:val="32"/>
            </w:rPr>
            <w:t>7</w:t>
          </w:r>
          <w:r>
            <w:rPr>
              <w:b/>
              <w:sz w:val="32"/>
              <w:szCs w:val="32"/>
            </w:rPr>
            <w:fldChar w:fldCharType="end"/>
          </w:r>
          <w:r>
            <w:rPr>
              <w:b/>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_Toc21324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（一） </w:t>
          </w:r>
          <w:r>
            <w:rPr>
              <w:rFonts w:hint="eastAsia" w:ascii="宋体" w:hAnsi="宋体"/>
              <w:sz w:val="32"/>
              <w:szCs w:val="32"/>
            </w:rPr>
            <w:t>规划背景</w:t>
          </w:r>
          <w:r>
            <w:rPr>
              <w:sz w:val="32"/>
              <w:szCs w:val="32"/>
            </w:rPr>
            <w:tab/>
          </w:r>
          <w:r>
            <w:rPr>
              <w:sz w:val="32"/>
              <w:szCs w:val="32"/>
            </w:rPr>
            <w:fldChar w:fldCharType="begin"/>
          </w:r>
          <w:r>
            <w:rPr>
              <w:sz w:val="32"/>
              <w:szCs w:val="32"/>
            </w:rPr>
            <w:instrText xml:space="preserve"> PAGEREF _Toc21324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_Toc52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（二） </w:t>
          </w:r>
          <w:r>
            <w:rPr>
              <w:rFonts w:hint="eastAsia" w:ascii="宋体" w:hAnsi="宋体"/>
              <w:sz w:val="32"/>
              <w:szCs w:val="32"/>
            </w:rPr>
            <w:t>规划范围</w:t>
          </w:r>
          <w:r>
            <w:rPr>
              <w:sz w:val="32"/>
              <w:szCs w:val="32"/>
            </w:rPr>
            <w:tab/>
          </w:r>
          <w:r>
            <w:rPr>
              <w:sz w:val="32"/>
              <w:szCs w:val="32"/>
            </w:rPr>
            <w:fldChar w:fldCharType="begin"/>
          </w:r>
          <w:r>
            <w:rPr>
              <w:sz w:val="32"/>
              <w:szCs w:val="32"/>
            </w:rPr>
            <w:instrText xml:space="preserve"> PAGEREF _Toc52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_Toc19424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（三） </w:t>
          </w:r>
          <w:r>
            <w:rPr>
              <w:rFonts w:hint="eastAsia" w:ascii="宋体" w:hAnsi="宋体"/>
              <w:sz w:val="32"/>
              <w:szCs w:val="32"/>
            </w:rPr>
            <w:t>规划年限</w:t>
          </w:r>
          <w:r>
            <w:rPr>
              <w:sz w:val="32"/>
              <w:szCs w:val="32"/>
            </w:rPr>
            <w:tab/>
          </w:r>
          <w:r>
            <w:rPr>
              <w:sz w:val="32"/>
              <w:szCs w:val="32"/>
            </w:rPr>
            <w:fldChar w:fldCharType="begin"/>
          </w:r>
          <w:r>
            <w:rPr>
              <w:sz w:val="32"/>
              <w:szCs w:val="32"/>
            </w:rPr>
            <w:instrText xml:space="preserve"> PAGEREF _Toc19424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_Toc27869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（四） </w:t>
          </w:r>
          <w:r>
            <w:rPr>
              <w:rFonts w:hint="eastAsia" w:ascii="宋体" w:hAnsi="宋体"/>
              <w:sz w:val="32"/>
              <w:szCs w:val="32"/>
            </w:rPr>
            <w:t>规划依据</w:t>
          </w:r>
          <w:r>
            <w:rPr>
              <w:sz w:val="32"/>
              <w:szCs w:val="32"/>
            </w:rPr>
            <w:tab/>
          </w:r>
          <w:r>
            <w:rPr>
              <w:sz w:val="32"/>
              <w:szCs w:val="32"/>
            </w:rPr>
            <w:fldChar w:fldCharType="begin"/>
          </w:r>
          <w:r>
            <w:rPr>
              <w:sz w:val="32"/>
              <w:szCs w:val="32"/>
            </w:rPr>
            <w:instrText xml:space="preserve"> PAGEREF _Toc27869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215"/>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b/>
              <w:sz w:val="32"/>
              <w:szCs w:val="32"/>
            </w:rPr>
          </w:pPr>
          <w:r>
            <w:rPr>
              <w:b/>
              <w:sz w:val="32"/>
              <w:szCs w:val="32"/>
            </w:rPr>
            <w:fldChar w:fldCharType="begin"/>
          </w:r>
          <w:r>
            <w:rPr>
              <w:b/>
              <w:sz w:val="32"/>
              <w:szCs w:val="32"/>
            </w:rPr>
            <w:instrText xml:space="preserve"> HYPERLINK \l _Toc19540 </w:instrText>
          </w:r>
          <w:r>
            <w:rPr>
              <w:b/>
              <w:sz w:val="32"/>
              <w:szCs w:val="32"/>
            </w:rPr>
            <w:fldChar w:fldCharType="separate"/>
          </w:r>
          <w:r>
            <w:rPr>
              <w:rFonts w:hint="eastAsia" w:ascii="宋体" w:hAnsi="宋体" w:eastAsia="黑体" w:cs="宋体"/>
              <w:b/>
              <w:i w:val="0"/>
              <w:sz w:val="32"/>
              <w:szCs w:val="32"/>
            </w:rPr>
            <w:t xml:space="preserve">二、 </w:t>
          </w:r>
          <w:r>
            <w:rPr>
              <w:rFonts w:hint="eastAsia" w:ascii="宋体" w:hAnsi="宋体"/>
              <w:b/>
              <w:sz w:val="32"/>
              <w:szCs w:val="32"/>
            </w:rPr>
            <w:t>发展现状</w:t>
          </w:r>
          <w:r>
            <w:rPr>
              <w:b/>
              <w:sz w:val="32"/>
              <w:szCs w:val="32"/>
            </w:rPr>
            <w:tab/>
          </w:r>
          <w:r>
            <w:rPr>
              <w:b/>
              <w:sz w:val="32"/>
              <w:szCs w:val="32"/>
            </w:rPr>
            <w:fldChar w:fldCharType="begin"/>
          </w:r>
          <w:r>
            <w:rPr>
              <w:b/>
              <w:sz w:val="32"/>
              <w:szCs w:val="32"/>
            </w:rPr>
            <w:instrText xml:space="preserve"> PAGEREF _Toc19540 \h </w:instrText>
          </w:r>
          <w:r>
            <w:rPr>
              <w:b/>
              <w:sz w:val="32"/>
              <w:szCs w:val="32"/>
            </w:rPr>
            <w:fldChar w:fldCharType="separate"/>
          </w:r>
          <w:r>
            <w:rPr>
              <w:b/>
              <w:sz w:val="32"/>
              <w:szCs w:val="32"/>
            </w:rPr>
            <w:t>14</w:t>
          </w:r>
          <w:r>
            <w:rPr>
              <w:b/>
              <w:sz w:val="32"/>
              <w:szCs w:val="32"/>
            </w:rPr>
            <w:fldChar w:fldCharType="end"/>
          </w:r>
          <w:r>
            <w:rPr>
              <w:b/>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_Toc15192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（一） </w:t>
          </w:r>
          <w:r>
            <w:rPr>
              <w:rFonts w:hint="eastAsia" w:ascii="宋体" w:hAnsi="宋体"/>
              <w:sz w:val="32"/>
              <w:szCs w:val="32"/>
            </w:rPr>
            <w:t>源城区政务信息化“十三五”建设成就</w:t>
          </w:r>
          <w:r>
            <w:rPr>
              <w:sz w:val="32"/>
              <w:szCs w:val="32"/>
            </w:rPr>
            <w:tab/>
          </w:r>
          <w:r>
            <w:rPr>
              <w:sz w:val="32"/>
              <w:szCs w:val="32"/>
            </w:rPr>
            <w:fldChar w:fldCharType="begin"/>
          </w:r>
          <w:r>
            <w:rPr>
              <w:sz w:val="32"/>
              <w:szCs w:val="32"/>
            </w:rPr>
            <w:instrText xml:space="preserve"> PAGEREF _Toc15192 \h </w:instrText>
          </w:r>
          <w:r>
            <w:rPr>
              <w:sz w:val="32"/>
              <w:szCs w:val="32"/>
            </w:rPr>
            <w:fldChar w:fldCharType="separate"/>
          </w:r>
          <w:r>
            <w:rPr>
              <w:sz w:val="32"/>
              <w:szCs w:val="32"/>
            </w:rPr>
            <w:t>14</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_Toc2051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（二） </w:t>
          </w:r>
          <w:r>
            <w:rPr>
              <w:rFonts w:hint="eastAsia" w:ascii="宋体" w:hAnsi="宋体"/>
              <w:sz w:val="32"/>
              <w:szCs w:val="32"/>
            </w:rPr>
            <w:t>发展机遇</w:t>
          </w:r>
          <w:r>
            <w:rPr>
              <w:sz w:val="32"/>
              <w:szCs w:val="32"/>
            </w:rPr>
            <w:tab/>
          </w:r>
          <w:r>
            <w:rPr>
              <w:sz w:val="32"/>
              <w:szCs w:val="32"/>
            </w:rPr>
            <w:fldChar w:fldCharType="begin"/>
          </w:r>
          <w:r>
            <w:rPr>
              <w:sz w:val="32"/>
              <w:szCs w:val="32"/>
            </w:rPr>
            <w:instrText xml:space="preserve"> PAGEREF _Toc2051 \h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215"/>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b/>
              <w:sz w:val="32"/>
              <w:szCs w:val="32"/>
            </w:rPr>
          </w:pPr>
          <w:r>
            <w:rPr>
              <w:b/>
              <w:sz w:val="32"/>
              <w:szCs w:val="32"/>
            </w:rPr>
            <w:fldChar w:fldCharType="begin"/>
          </w:r>
          <w:r>
            <w:rPr>
              <w:b/>
              <w:sz w:val="32"/>
              <w:szCs w:val="32"/>
            </w:rPr>
            <w:instrText xml:space="preserve"> HYPERLINK \l _Toc20232 </w:instrText>
          </w:r>
          <w:r>
            <w:rPr>
              <w:b/>
              <w:sz w:val="32"/>
              <w:szCs w:val="32"/>
            </w:rPr>
            <w:fldChar w:fldCharType="separate"/>
          </w:r>
          <w:r>
            <w:rPr>
              <w:rFonts w:hint="eastAsia" w:ascii="宋体" w:hAnsi="宋体" w:eastAsia="黑体" w:cs="宋体"/>
              <w:b/>
              <w:i w:val="0"/>
              <w:sz w:val="32"/>
              <w:szCs w:val="32"/>
            </w:rPr>
            <w:t xml:space="preserve">三、 </w:t>
          </w:r>
          <w:r>
            <w:rPr>
              <w:rFonts w:hint="eastAsia" w:ascii="宋体" w:hAnsi="宋体"/>
              <w:b/>
              <w:sz w:val="32"/>
              <w:szCs w:val="32"/>
            </w:rPr>
            <w:t>总体要求</w:t>
          </w:r>
          <w:r>
            <w:rPr>
              <w:b/>
              <w:sz w:val="32"/>
              <w:szCs w:val="32"/>
            </w:rPr>
            <w:tab/>
          </w:r>
          <w:r>
            <w:rPr>
              <w:b/>
              <w:sz w:val="32"/>
              <w:szCs w:val="32"/>
            </w:rPr>
            <w:fldChar w:fldCharType="begin"/>
          </w:r>
          <w:r>
            <w:rPr>
              <w:b/>
              <w:sz w:val="32"/>
              <w:szCs w:val="32"/>
            </w:rPr>
            <w:instrText xml:space="preserve"> PAGEREF _Toc20232 \h </w:instrText>
          </w:r>
          <w:r>
            <w:rPr>
              <w:b/>
              <w:sz w:val="32"/>
              <w:szCs w:val="32"/>
            </w:rPr>
            <w:fldChar w:fldCharType="separate"/>
          </w:r>
          <w:r>
            <w:rPr>
              <w:b/>
              <w:sz w:val="32"/>
              <w:szCs w:val="32"/>
            </w:rPr>
            <w:t>20</w:t>
          </w:r>
          <w:r>
            <w:rPr>
              <w:b/>
              <w:sz w:val="32"/>
              <w:szCs w:val="32"/>
            </w:rPr>
            <w:fldChar w:fldCharType="end"/>
          </w:r>
          <w:r>
            <w:rPr>
              <w:b/>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_Toc17497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（一） </w:t>
          </w:r>
          <w:r>
            <w:rPr>
              <w:rFonts w:hint="eastAsia" w:ascii="宋体" w:hAnsi="宋体"/>
              <w:sz w:val="32"/>
              <w:szCs w:val="32"/>
            </w:rPr>
            <w:t>指导思想</w:t>
          </w:r>
          <w:r>
            <w:rPr>
              <w:sz w:val="32"/>
              <w:szCs w:val="32"/>
            </w:rPr>
            <w:tab/>
          </w:r>
          <w:r>
            <w:rPr>
              <w:sz w:val="32"/>
              <w:szCs w:val="32"/>
            </w:rPr>
            <w:fldChar w:fldCharType="begin"/>
          </w:r>
          <w:r>
            <w:rPr>
              <w:sz w:val="32"/>
              <w:szCs w:val="32"/>
            </w:rPr>
            <w:instrText xml:space="preserve"> PAGEREF _Toc17497 \h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_Toc20729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（二） </w:t>
          </w:r>
          <w:r>
            <w:rPr>
              <w:rFonts w:hint="eastAsia" w:ascii="宋体" w:hAnsi="宋体"/>
              <w:sz w:val="32"/>
              <w:szCs w:val="32"/>
              <w:lang w:val="en-US" w:eastAsia="zh-CN"/>
            </w:rPr>
            <w:t>主要原则</w:t>
          </w:r>
          <w:r>
            <w:rPr>
              <w:sz w:val="32"/>
              <w:szCs w:val="32"/>
            </w:rPr>
            <w:tab/>
          </w:r>
          <w:r>
            <w:rPr>
              <w:sz w:val="32"/>
              <w:szCs w:val="32"/>
            </w:rPr>
            <w:fldChar w:fldCharType="begin"/>
          </w:r>
          <w:r>
            <w:rPr>
              <w:sz w:val="32"/>
              <w:szCs w:val="32"/>
            </w:rPr>
            <w:instrText xml:space="preserve"> PAGEREF _Toc20729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_Toc16976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（三） </w:t>
          </w:r>
          <w:r>
            <w:rPr>
              <w:rFonts w:hint="eastAsia" w:ascii="宋体" w:hAnsi="宋体"/>
              <w:sz w:val="32"/>
              <w:szCs w:val="32"/>
            </w:rPr>
            <w:t>发展目标</w:t>
          </w:r>
          <w:r>
            <w:rPr>
              <w:sz w:val="32"/>
              <w:szCs w:val="32"/>
            </w:rPr>
            <w:tab/>
          </w:r>
          <w:r>
            <w:rPr>
              <w:sz w:val="32"/>
              <w:szCs w:val="32"/>
            </w:rPr>
            <w:fldChar w:fldCharType="begin"/>
          </w:r>
          <w:r>
            <w:rPr>
              <w:sz w:val="32"/>
              <w:szCs w:val="32"/>
            </w:rPr>
            <w:instrText xml:space="preserve"> PAGEREF _Toc16976 \h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_Toc20945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（四） </w:t>
          </w:r>
          <w:r>
            <w:rPr>
              <w:rFonts w:hint="eastAsia" w:ascii="宋体" w:hAnsi="宋体"/>
              <w:sz w:val="32"/>
              <w:szCs w:val="32"/>
            </w:rPr>
            <w:t>规划布局</w:t>
          </w:r>
          <w:r>
            <w:rPr>
              <w:sz w:val="32"/>
              <w:szCs w:val="32"/>
            </w:rPr>
            <w:tab/>
          </w:r>
          <w:r>
            <w:rPr>
              <w:sz w:val="32"/>
              <w:szCs w:val="32"/>
            </w:rPr>
            <w:fldChar w:fldCharType="begin"/>
          </w:r>
          <w:r>
            <w:rPr>
              <w:sz w:val="32"/>
              <w:szCs w:val="32"/>
            </w:rPr>
            <w:instrText xml:space="preserve"> PAGEREF _Toc20945 \h </w:instrText>
          </w:r>
          <w:r>
            <w:rPr>
              <w:sz w:val="32"/>
              <w:szCs w:val="32"/>
            </w:rPr>
            <w:fldChar w:fldCharType="separate"/>
          </w:r>
          <w:r>
            <w:rPr>
              <w:sz w:val="32"/>
              <w:szCs w:val="32"/>
            </w:rPr>
            <w:t>27</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_Toc15659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（五） </w:t>
          </w:r>
          <w:r>
            <w:rPr>
              <w:rFonts w:hint="eastAsia" w:ascii="宋体" w:hAnsi="宋体"/>
              <w:sz w:val="32"/>
              <w:szCs w:val="32"/>
            </w:rPr>
            <w:t>实施策略</w:t>
          </w:r>
          <w:r>
            <w:rPr>
              <w:sz w:val="32"/>
              <w:szCs w:val="32"/>
            </w:rPr>
            <w:tab/>
          </w:r>
          <w:r>
            <w:rPr>
              <w:sz w:val="32"/>
              <w:szCs w:val="32"/>
            </w:rPr>
            <w:fldChar w:fldCharType="begin"/>
          </w:r>
          <w:r>
            <w:rPr>
              <w:sz w:val="32"/>
              <w:szCs w:val="32"/>
            </w:rPr>
            <w:instrText xml:space="preserve"> PAGEREF _Toc15659 \h </w:instrText>
          </w:r>
          <w:r>
            <w:rPr>
              <w:sz w:val="32"/>
              <w:szCs w:val="32"/>
            </w:rPr>
            <w:fldChar w:fldCharType="separate"/>
          </w:r>
          <w:r>
            <w:rPr>
              <w:sz w:val="32"/>
              <w:szCs w:val="32"/>
            </w:rPr>
            <w:t>27</w:t>
          </w:r>
          <w:r>
            <w:rPr>
              <w:sz w:val="32"/>
              <w:szCs w:val="32"/>
            </w:rPr>
            <w:fldChar w:fldCharType="end"/>
          </w:r>
          <w:r>
            <w:rPr>
              <w:sz w:val="32"/>
              <w:szCs w:val="32"/>
            </w:rPr>
            <w:fldChar w:fldCharType="end"/>
          </w:r>
        </w:p>
        <w:p>
          <w:pPr>
            <w:pStyle w:val="215"/>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b/>
              <w:sz w:val="32"/>
              <w:szCs w:val="32"/>
            </w:rPr>
          </w:pPr>
          <w:r>
            <w:rPr>
              <w:b/>
              <w:sz w:val="32"/>
              <w:szCs w:val="32"/>
            </w:rPr>
            <w:fldChar w:fldCharType="begin"/>
          </w:r>
          <w:r>
            <w:rPr>
              <w:b/>
              <w:sz w:val="32"/>
              <w:szCs w:val="32"/>
            </w:rPr>
            <w:instrText xml:space="preserve"> HYPERLINK \l _Toc8247 </w:instrText>
          </w:r>
          <w:r>
            <w:rPr>
              <w:b/>
              <w:sz w:val="32"/>
              <w:szCs w:val="32"/>
            </w:rPr>
            <w:fldChar w:fldCharType="separate"/>
          </w:r>
          <w:r>
            <w:rPr>
              <w:rFonts w:hint="eastAsia" w:ascii="宋体" w:hAnsi="宋体" w:eastAsia="黑体" w:cs="宋体"/>
              <w:b/>
              <w:i w:val="0"/>
              <w:sz w:val="32"/>
              <w:szCs w:val="32"/>
            </w:rPr>
            <w:t xml:space="preserve">四、 </w:t>
          </w:r>
          <w:r>
            <w:rPr>
              <w:rFonts w:hint="eastAsia" w:ascii="宋体" w:hAnsi="宋体"/>
              <w:b/>
              <w:sz w:val="32"/>
              <w:szCs w:val="32"/>
              <w:lang w:val="en-US" w:eastAsia="zh-CN"/>
            </w:rPr>
            <w:t>总体架</w:t>
          </w:r>
          <w:r>
            <w:rPr>
              <w:rFonts w:hint="eastAsia" w:ascii="宋体" w:hAnsi="宋体"/>
              <w:b/>
              <w:sz w:val="32"/>
              <w:szCs w:val="32"/>
            </w:rPr>
            <w:t>构</w:t>
          </w:r>
          <w:r>
            <w:rPr>
              <w:b/>
              <w:sz w:val="32"/>
              <w:szCs w:val="32"/>
            </w:rPr>
            <w:tab/>
          </w:r>
          <w:r>
            <w:rPr>
              <w:b/>
              <w:sz w:val="32"/>
              <w:szCs w:val="32"/>
            </w:rPr>
            <w:fldChar w:fldCharType="begin"/>
          </w:r>
          <w:r>
            <w:rPr>
              <w:b/>
              <w:sz w:val="32"/>
              <w:szCs w:val="32"/>
            </w:rPr>
            <w:instrText xml:space="preserve"> PAGEREF _Toc8247 \h </w:instrText>
          </w:r>
          <w:r>
            <w:rPr>
              <w:b/>
              <w:sz w:val="32"/>
              <w:szCs w:val="32"/>
            </w:rPr>
            <w:fldChar w:fldCharType="separate"/>
          </w:r>
          <w:r>
            <w:rPr>
              <w:b/>
              <w:sz w:val="32"/>
              <w:szCs w:val="32"/>
            </w:rPr>
            <w:t>29</w:t>
          </w:r>
          <w:r>
            <w:rPr>
              <w:b/>
              <w:sz w:val="32"/>
              <w:szCs w:val="32"/>
            </w:rPr>
            <w:fldChar w:fldCharType="end"/>
          </w:r>
          <w:r>
            <w:rPr>
              <w:b/>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_Toc28599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（一） </w:t>
          </w:r>
          <w:r>
            <w:rPr>
              <w:rFonts w:hint="eastAsia" w:ascii="宋体" w:hAnsi="宋体"/>
              <w:sz w:val="32"/>
              <w:szCs w:val="32"/>
            </w:rPr>
            <w:t>管理架构</w:t>
          </w:r>
          <w:r>
            <w:rPr>
              <w:sz w:val="32"/>
              <w:szCs w:val="32"/>
            </w:rPr>
            <w:tab/>
          </w:r>
          <w:r>
            <w:rPr>
              <w:sz w:val="32"/>
              <w:szCs w:val="32"/>
            </w:rPr>
            <w:fldChar w:fldCharType="begin"/>
          </w:r>
          <w:r>
            <w:rPr>
              <w:sz w:val="32"/>
              <w:szCs w:val="32"/>
            </w:rPr>
            <w:instrText xml:space="preserve"> PAGEREF _Toc28599 \h </w:instrText>
          </w:r>
          <w:r>
            <w:rPr>
              <w:sz w:val="32"/>
              <w:szCs w:val="32"/>
            </w:rPr>
            <w:fldChar w:fldCharType="separate"/>
          </w:r>
          <w:r>
            <w:rPr>
              <w:sz w:val="32"/>
              <w:szCs w:val="32"/>
            </w:rPr>
            <w:t>30</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_Toc8060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（二） </w:t>
          </w:r>
          <w:r>
            <w:rPr>
              <w:rFonts w:hint="eastAsia" w:ascii="宋体" w:hAnsi="宋体"/>
              <w:sz w:val="32"/>
              <w:szCs w:val="32"/>
            </w:rPr>
            <w:t>业务架构</w:t>
          </w:r>
          <w:r>
            <w:rPr>
              <w:sz w:val="32"/>
              <w:szCs w:val="32"/>
            </w:rPr>
            <w:tab/>
          </w:r>
          <w:r>
            <w:rPr>
              <w:sz w:val="32"/>
              <w:szCs w:val="32"/>
            </w:rPr>
            <w:fldChar w:fldCharType="begin"/>
          </w:r>
          <w:r>
            <w:rPr>
              <w:sz w:val="32"/>
              <w:szCs w:val="32"/>
            </w:rPr>
            <w:instrText xml:space="preserve"> PAGEREF _Toc8060 \h </w:instrText>
          </w:r>
          <w:r>
            <w:rPr>
              <w:sz w:val="32"/>
              <w:szCs w:val="32"/>
            </w:rPr>
            <w:fldChar w:fldCharType="separate"/>
          </w:r>
          <w:r>
            <w:rPr>
              <w:sz w:val="32"/>
              <w:szCs w:val="32"/>
            </w:rPr>
            <w:t>32</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_Toc23762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（三） </w:t>
          </w:r>
          <w:r>
            <w:rPr>
              <w:rFonts w:hint="eastAsia" w:ascii="宋体" w:hAnsi="宋体"/>
              <w:sz w:val="32"/>
              <w:szCs w:val="32"/>
            </w:rPr>
            <w:t>技术架构</w:t>
          </w:r>
          <w:r>
            <w:rPr>
              <w:sz w:val="32"/>
              <w:szCs w:val="32"/>
            </w:rPr>
            <w:tab/>
          </w:r>
          <w:r>
            <w:rPr>
              <w:sz w:val="32"/>
              <w:szCs w:val="32"/>
            </w:rPr>
            <w:fldChar w:fldCharType="begin"/>
          </w:r>
          <w:r>
            <w:rPr>
              <w:sz w:val="32"/>
              <w:szCs w:val="32"/>
            </w:rPr>
            <w:instrText xml:space="preserve"> PAGEREF _Toc23762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_Toc2190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（四） </w:t>
          </w:r>
          <w:r>
            <w:rPr>
              <w:rFonts w:hint="eastAsia" w:ascii="宋体" w:hAnsi="宋体"/>
              <w:sz w:val="32"/>
              <w:szCs w:val="32"/>
            </w:rPr>
            <w:t>数据架构</w:t>
          </w:r>
          <w:r>
            <w:rPr>
              <w:sz w:val="32"/>
              <w:szCs w:val="32"/>
            </w:rPr>
            <w:tab/>
          </w:r>
          <w:r>
            <w:rPr>
              <w:sz w:val="32"/>
              <w:szCs w:val="32"/>
            </w:rPr>
            <w:fldChar w:fldCharType="begin"/>
          </w:r>
          <w:r>
            <w:rPr>
              <w:sz w:val="32"/>
              <w:szCs w:val="32"/>
            </w:rPr>
            <w:instrText xml:space="preserve"> PAGEREF _Toc2190 \h </w:instrText>
          </w:r>
          <w:r>
            <w:rPr>
              <w:sz w:val="32"/>
              <w:szCs w:val="32"/>
            </w:rPr>
            <w:fldChar w:fldCharType="separate"/>
          </w:r>
          <w:r>
            <w:rPr>
              <w:sz w:val="32"/>
              <w:szCs w:val="32"/>
            </w:rPr>
            <w:t>38</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_Toc15638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（五） </w:t>
          </w:r>
          <w:r>
            <w:rPr>
              <w:rFonts w:hint="eastAsia" w:ascii="宋体" w:hAnsi="宋体"/>
              <w:sz w:val="32"/>
              <w:szCs w:val="32"/>
            </w:rPr>
            <w:t>安全架构</w:t>
          </w:r>
          <w:r>
            <w:rPr>
              <w:sz w:val="32"/>
              <w:szCs w:val="32"/>
            </w:rPr>
            <w:tab/>
          </w:r>
          <w:r>
            <w:rPr>
              <w:sz w:val="32"/>
              <w:szCs w:val="32"/>
            </w:rPr>
            <w:fldChar w:fldCharType="begin"/>
          </w:r>
          <w:r>
            <w:rPr>
              <w:sz w:val="32"/>
              <w:szCs w:val="32"/>
            </w:rPr>
            <w:instrText xml:space="preserve"> PAGEREF _Toc15638 \h </w:instrText>
          </w:r>
          <w:r>
            <w:rPr>
              <w:sz w:val="32"/>
              <w:szCs w:val="32"/>
            </w:rPr>
            <w:fldChar w:fldCharType="separate"/>
          </w:r>
          <w:r>
            <w:rPr>
              <w:sz w:val="32"/>
              <w:szCs w:val="32"/>
            </w:rPr>
            <w:t>39</w:t>
          </w:r>
          <w:r>
            <w:rPr>
              <w:sz w:val="32"/>
              <w:szCs w:val="32"/>
            </w:rPr>
            <w:fldChar w:fldCharType="end"/>
          </w:r>
          <w:r>
            <w:rPr>
              <w:sz w:val="32"/>
              <w:szCs w:val="32"/>
            </w:rPr>
            <w:fldChar w:fldCharType="end"/>
          </w:r>
        </w:p>
        <w:p>
          <w:pPr>
            <w:pStyle w:val="215"/>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b/>
              <w:sz w:val="32"/>
              <w:szCs w:val="32"/>
            </w:rPr>
          </w:pPr>
          <w:r>
            <w:rPr>
              <w:b/>
              <w:sz w:val="32"/>
              <w:szCs w:val="32"/>
            </w:rPr>
            <w:fldChar w:fldCharType="begin"/>
          </w:r>
          <w:r>
            <w:rPr>
              <w:b/>
              <w:sz w:val="32"/>
              <w:szCs w:val="32"/>
            </w:rPr>
            <w:instrText xml:space="preserve"> HYPERLINK \l _Toc3960 </w:instrText>
          </w:r>
          <w:r>
            <w:rPr>
              <w:b/>
              <w:sz w:val="32"/>
              <w:szCs w:val="32"/>
            </w:rPr>
            <w:fldChar w:fldCharType="separate"/>
          </w:r>
          <w:r>
            <w:rPr>
              <w:rFonts w:hint="eastAsia" w:ascii="宋体" w:hAnsi="宋体" w:eastAsia="黑体" w:cs="宋体"/>
              <w:b/>
              <w:i w:val="0"/>
              <w:sz w:val="32"/>
              <w:szCs w:val="32"/>
            </w:rPr>
            <w:t xml:space="preserve">五、 </w:t>
          </w:r>
          <w:r>
            <w:rPr>
              <w:rFonts w:hint="eastAsia" w:ascii="宋体" w:hAnsi="宋体"/>
              <w:b/>
              <w:sz w:val="32"/>
              <w:szCs w:val="32"/>
            </w:rPr>
            <w:t>主要任务</w:t>
          </w:r>
          <w:r>
            <w:rPr>
              <w:b/>
              <w:sz w:val="32"/>
              <w:szCs w:val="32"/>
            </w:rPr>
            <w:tab/>
          </w:r>
          <w:r>
            <w:rPr>
              <w:b/>
              <w:sz w:val="32"/>
              <w:szCs w:val="32"/>
            </w:rPr>
            <w:fldChar w:fldCharType="begin"/>
          </w:r>
          <w:r>
            <w:rPr>
              <w:b/>
              <w:sz w:val="32"/>
              <w:szCs w:val="32"/>
            </w:rPr>
            <w:instrText xml:space="preserve"> PAGEREF _Toc3960 \h </w:instrText>
          </w:r>
          <w:r>
            <w:rPr>
              <w:b/>
              <w:sz w:val="32"/>
              <w:szCs w:val="32"/>
            </w:rPr>
            <w:fldChar w:fldCharType="separate"/>
          </w:r>
          <w:r>
            <w:rPr>
              <w:b/>
              <w:sz w:val="32"/>
              <w:szCs w:val="32"/>
            </w:rPr>
            <w:t>40</w:t>
          </w:r>
          <w:r>
            <w:rPr>
              <w:b/>
              <w:sz w:val="32"/>
              <w:szCs w:val="32"/>
            </w:rPr>
            <w:fldChar w:fldCharType="end"/>
          </w:r>
          <w:r>
            <w:rPr>
              <w:b/>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_Toc17103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（一） </w:t>
          </w:r>
          <w:r>
            <w:rPr>
              <w:rFonts w:hint="eastAsia" w:ascii="宋体" w:hAnsi="宋体"/>
              <w:sz w:val="32"/>
              <w:szCs w:val="32"/>
            </w:rPr>
            <w:t>落实推进治理“一网统管”</w:t>
          </w:r>
          <w:r>
            <w:rPr>
              <w:sz w:val="32"/>
              <w:szCs w:val="32"/>
            </w:rPr>
            <w:tab/>
          </w:r>
          <w:r>
            <w:rPr>
              <w:sz w:val="32"/>
              <w:szCs w:val="32"/>
            </w:rPr>
            <w:fldChar w:fldCharType="begin"/>
          </w:r>
          <w:r>
            <w:rPr>
              <w:sz w:val="32"/>
              <w:szCs w:val="32"/>
            </w:rPr>
            <w:instrText xml:space="preserve"> PAGEREF _Toc17103 \h </w:instrText>
          </w:r>
          <w:r>
            <w:rPr>
              <w:sz w:val="32"/>
              <w:szCs w:val="32"/>
            </w:rPr>
            <w:fldChar w:fldCharType="separate"/>
          </w:r>
          <w:r>
            <w:rPr>
              <w:sz w:val="32"/>
              <w:szCs w:val="32"/>
            </w:rPr>
            <w:t>40</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_Toc31236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（二） </w:t>
          </w:r>
          <w:r>
            <w:rPr>
              <w:rFonts w:hint="eastAsia" w:ascii="宋体" w:hAnsi="宋体"/>
              <w:sz w:val="32"/>
              <w:szCs w:val="32"/>
            </w:rPr>
            <w:t>整合电子政务基础设施资源</w:t>
          </w:r>
          <w:r>
            <w:rPr>
              <w:sz w:val="32"/>
              <w:szCs w:val="32"/>
            </w:rPr>
            <w:tab/>
          </w:r>
          <w:r>
            <w:rPr>
              <w:sz w:val="32"/>
              <w:szCs w:val="32"/>
            </w:rPr>
            <w:fldChar w:fldCharType="begin"/>
          </w:r>
          <w:r>
            <w:rPr>
              <w:sz w:val="32"/>
              <w:szCs w:val="32"/>
            </w:rPr>
            <w:instrText xml:space="preserve"> PAGEREF _Toc31236 \h </w:instrText>
          </w:r>
          <w:r>
            <w:rPr>
              <w:sz w:val="32"/>
              <w:szCs w:val="32"/>
            </w:rPr>
            <w:fldChar w:fldCharType="separate"/>
          </w:r>
          <w:r>
            <w:rPr>
              <w:sz w:val="32"/>
              <w:szCs w:val="32"/>
            </w:rPr>
            <w:t>42</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_Toc11941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（三） </w:t>
          </w:r>
          <w:r>
            <w:rPr>
              <w:rFonts w:hint="eastAsia" w:ascii="宋体" w:hAnsi="宋体"/>
              <w:sz w:val="32"/>
              <w:szCs w:val="32"/>
            </w:rPr>
            <w:t>推动电子政务大数据应用</w:t>
          </w:r>
          <w:r>
            <w:rPr>
              <w:sz w:val="32"/>
              <w:szCs w:val="32"/>
            </w:rPr>
            <w:tab/>
          </w:r>
          <w:r>
            <w:rPr>
              <w:sz w:val="32"/>
              <w:szCs w:val="32"/>
            </w:rPr>
            <w:fldChar w:fldCharType="begin"/>
          </w:r>
          <w:r>
            <w:rPr>
              <w:sz w:val="32"/>
              <w:szCs w:val="32"/>
            </w:rPr>
            <w:instrText xml:space="preserve"> PAGEREF _Toc11941 \h </w:instrText>
          </w:r>
          <w:r>
            <w:rPr>
              <w:sz w:val="32"/>
              <w:szCs w:val="32"/>
            </w:rPr>
            <w:fldChar w:fldCharType="separate"/>
          </w:r>
          <w:r>
            <w:rPr>
              <w:sz w:val="32"/>
              <w:szCs w:val="32"/>
            </w:rPr>
            <w:t>43</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_Toc22580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（四） </w:t>
          </w:r>
          <w:r>
            <w:rPr>
              <w:rFonts w:hint="eastAsia" w:ascii="宋体" w:hAnsi="宋体"/>
              <w:sz w:val="32"/>
              <w:szCs w:val="32"/>
            </w:rPr>
            <w:t>提升政府的决策和管理水平</w:t>
          </w:r>
          <w:r>
            <w:rPr>
              <w:sz w:val="32"/>
              <w:szCs w:val="32"/>
            </w:rPr>
            <w:tab/>
          </w:r>
          <w:r>
            <w:rPr>
              <w:sz w:val="32"/>
              <w:szCs w:val="32"/>
            </w:rPr>
            <w:fldChar w:fldCharType="begin"/>
          </w:r>
          <w:r>
            <w:rPr>
              <w:sz w:val="32"/>
              <w:szCs w:val="32"/>
            </w:rPr>
            <w:instrText xml:space="preserve"> PAGEREF _Toc22580 \h </w:instrText>
          </w:r>
          <w:r>
            <w:rPr>
              <w:sz w:val="32"/>
              <w:szCs w:val="32"/>
            </w:rPr>
            <w:fldChar w:fldCharType="separate"/>
          </w:r>
          <w:r>
            <w:rPr>
              <w:sz w:val="32"/>
              <w:szCs w:val="32"/>
            </w:rPr>
            <w:t>44</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_Toc17061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（五） </w:t>
          </w:r>
          <w:r>
            <w:rPr>
              <w:rFonts w:hint="eastAsia" w:ascii="宋体" w:hAnsi="宋体"/>
              <w:sz w:val="32"/>
              <w:szCs w:val="32"/>
            </w:rPr>
            <w:t>推进数据要素市场化配置改革</w:t>
          </w:r>
          <w:r>
            <w:rPr>
              <w:sz w:val="32"/>
              <w:szCs w:val="32"/>
            </w:rPr>
            <w:tab/>
          </w:r>
          <w:r>
            <w:rPr>
              <w:sz w:val="32"/>
              <w:szCs w:val="32"/>
            </w:rPr>
            <w:fldChar w:fldCharType="begin"/>
          </w:r>
          <w:r>
            <w:rPr>
              <w:sz w:val="32"/>
              <w:szCs w:val="32"/>
            </w:rPr>
            <w:instrText xml:space="preserve"> PAGEREF _Toc17061 \h </w:instrText>
          </w:r>
          <w:r>
            <w:rPr>
              <w:sz w:val="32"/>
              <w:szCs w:val="32"/>
            </w:rPr>
            <w:fldChar w:fldCharType="separate"/>
          </w:r>
          <w:r>
            <w:rPr>
              <w:sz w:val="32"/>
              <w:szCs w:val="32"/>
            </w:rPr>
            <w:t>47</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_Toc21927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（六） </w:t>
          </w:r>
          <w:r>
            <w:rPr>
              <w:rFonts w:hint="eastAsia" w:ascii="宋体" w:hAnsi="宋体"/>
              <w:sz w:val="32"/>
              <w:szCs w:val="32"/>
            </w:rPr>
            <w:t>提升政府的公共服务能力</w:t>
          </w:r>
          <w:r>
            <w:rPr>
              <w:sz w:val="32"/>
              <w:szCs w:val="32"/>
            </w:rPr>
            <w:tab/>
          </w:r>
          <w:r>
            <w:rPr>
              <w:sz w:val="32"/>
              <w:szCs w:val="32"/>
            </w:rPr>
            <w:fldChar w:fldCharType="begin"/>
          </w:r>
          <w:r>
            <w:rPr>
              <w:sz w:val="32"/>
              <w:szCs w:val="32"/>
            </w:rPr>
            <w:instrText xml:space="preserve"> PAGEREF _Toc21927 \h </w:instrText>
          </w:r>
          <w:r>
            <w:rPr>
              <w:sz w:val="32"/>
              <w:szCs w:val="32"/>
            </w:rPr>
            <w:fldChar w:fldCharType="separate"/>
          </w:r>
          <w:r>
            <w:rPr>
              <w:sz w:val="32"/>
              <w:szCs w:val="32"/>
            </w:rPr>
            <w:t>48</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_Toc20113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eastAsia="zh-CN"/>
              <w14:shadow w14:blurRad="0" w14:dist="0" w14:dir="0" w14:sx="0" w14:sy="0" w14:kx="0" w14:ky="0" w14:algn="none">
                <w14:srgbClr w14:val="000000"/>
              </w14:shadow>
              <w14:ligatures w14:val="none"/>
              <w14:numForm w14:val="default"/>
              <w14:numSpacing w14:val="default"/>
            </w:rPr>
            <w:t xml:space="preserve">（七） </w:t>
          </w:r>
          <w:r>
            <w:rPr>
              <w:rFonts w:hint="eastAsia" w:ascii="宋体" w:hAnsi="宋体"/>
              <w:sz w:val="32"/>
              <w:szCs w:val="32"/>
              <w:lang w:val="en-US" w:eastAsia="zh-CN"/>
            </w:rPr>
            <w:t>不断提</w:t>
          </w:r>
          <w:r>
            <w:rPr>
              <w:rFonts w:hint="eastAsia" w:ascii="宋体" w:hAnsi="宋体"/>
              <w:sz w:val="32"/>
              <w:szCs w:val="32"/>
              <w:lang w:eastAsia="zh-CN"/>
            </w:rPr>
            <w:t>升政务服务监管效能</w:t>
          </w:r>
          <w:r>
            <w:rPr>
              <w:sz w:val="32"/>
              <w:szCs w:val="32"/>
            </w:rPr>
            <w:tab/>
          </w:r>
          <w:r>
            <w:rPr>
              <w:sz w:val="32"/>
              <w:szCs w:val="32"/>
            </w:rPr>
            <w:fldChar w:fldCharType="begin"/>
          </w:r>
          <w:r>
            <w:rPr>
              <w:sz w:val="32"/>
              <w:szCs w:val="32"/>
            </w:rPr>
            <w:instrText xml:space="preserve"> PAGEREF _Toc20113 \h </w:instrText>
          </w:r>
          <w:r>
            <w:rPr>
              <w:sz w:val="32"/>
              <w:szCs w:val="32"/>
            </w:rPr>
            <w:fldChar w:fldCharType="separate"/>
          </w:r>
          <w:r>
            <w:rPr>
              <w:sz w:val="32"/>
              <w:szCs w:val="32"/>
            </w:rPr>
            <w:t>50</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_Toc4916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（八） </w:t>
          </w:r>
          <w:r>
            <w:rPr>
              <w:rFonts w:hint="eastAsia" w:ascii="宋体" w:hAnsi="宋体"/>
              <w:sz w:val="32"/>
              <w:szCs w:val="32"/>
              <w:lang w:val="en-US" w:eastAsia="zh-CN"/>
            </w:rPr>
            <w:t>完善安全体系</w:t>
          </w:r>
          <w:r>
            <w:rPr>
              <w:sz w:val="32"/>
              <w:szCs w:val="32"/>
            </w:rPr>
            <w:tab/>
          </w:r>
          <w:r>
            <w:rPr>
              <w:sz w:val="32"/>
              <w:szCs w:val="32"/>
            </w:rPr>
            <w:fldChar w:fldCharType="begin"/>
          </w:r>
          <w:r>
            <w:rPr>
              <w:sz w:val="32"/>
              <w:szCs w:val="32"/>
            </w:rPr>
            <w:instrText xml:space="preserve"> PAGEREF _Toc4916 \h </w:instrText>
          </w:r>
          <w:r>
            <w:rPr>
              <w:sz w:val="32"/>
              <w:szCs w:val="32"/>
            </w:rPr>
            <w:fldChar w:fldCharType="separate"/>
          </w:r>
          <w:r>
            <w:rPr>
              <w:sz w:val="32"/>
              <w:szCs w:val="32"/>
            </w:rPr>
            <w:t>50</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_Toc10136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（九） </w:t>
          </w:r>
          <w:r>
            <w:rPr>
              <w:rFonts w:hint="eastAsia" w:ascii="宋体" w:hAnsi="宋体"/>
              <w:sz w:val="32"/>
              <w:szCs w:val="32"/>
              <w:lang w:val="en-US" w:eastAsia="zh-CN"/>
            </w:rPr>
            <w:t>贯彻标准体系</w:t>
          </w:r>
          <w:r>
            <w:rPr>
              <w:sz w:val="32"/>
              <w:szCs w:val="32"/>
            </w:rPr>
            <w:tab/>
          </w:r>
          <w:r>
            <w:rPr>
              <w:sz w:val="32"/>
              <w:szCs w:val="32"/>
            </w:rPr>
            <w:fldChar w:fldCharType="begin"/>
          </w:r>
          <w:r>
            <w:rPr>
              <w:sz w:val="32"/>
              <w:szCs w:val="32"/>
            </w:rPr>
            <w:instrText xml:space="preserve"> PAGEREF _Toc10136 \h </w:instrText>
          </w:r>
          <w:r>
            <w:rPr>
              <w:sz w:val="32"/>
              <w:szCs w:val="32"/>
            </w:rPr>
            <w:fldChar w:fldCharType="separate"/>
          </w:r>
          <w:r>
            <w:rPr>
              <w:sz w:val="32"/>
              <w:szCs w:val="32"/>
            </w:rPr>
            <w:t>53</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_Toc12854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（十） </w:t>
          </w:r>
          <w:r>
            <w:rPr>
              <w:rFonts w:hint="eastAsia" w:ascii="宋体" w:hAnsi="宋体"/>
              <w:sz w:val="32"/>
              <w:szCs w:val="32"/>
              <w:lang w:val="en-US" w:eastAsia="zh-CN"/>
            </w:rPr>
            <w:t>完善基础支撑</w:t>
          </w:r>
          <w:r>
            <w:rPr>
              <w:sz w:val="32"/>
              <w:szCs w:val="32"/>
            </w:rPr>
            <w:tab/>
          </w:r>
          <w:r>
            <w:rPr>
              <w:sz w:val="32"/>
              <w:szCs w:val="32"/>
            </w:rPr>
            <w:fldChar w:fldCharType="begin"/>
          </w:r>
          <w:r>
            <w:rPr>
              <w:sz w:val="32"/>
              <w:szCs w:val="32"/>
            </w:rPr>
            <w:instrText xml:space="preserve"> PAGEREF _Toc12854 \h </w:instrText>
          </w:r>
          <w:r>
            <w:rPr>
              <w:sz w:val="32"/>
              <w:szCs w:val="32"/>
            </w:rPr>
            <w:fldChar w:fldCharType="separate"/>
          </w:r>
          <w:r>
            <w:rPr>
              <w:sz w:val="32"/>
              <w:szCs w:val="32"/>
            </w:rPr>
            <w:t>54</w:t>
          </w:r>
          <w:r>
            <w:rPr>
              <w:sz w:val="32"/>
              <w:szCs w:val="32"/>
            </w:rPr>
            <w:fldChar w:fldCharType="end"/>
          </w:r>
          <w:r>
            <w:rPr>
              <w:sz w:val="32"/>
              <w:szCs w:val="32"/>
            </w:rPr>
            <w:fldChar w:fldCharType="end"/>
          </w:r>
        </w:p>
        <w:p>
          <w:pPr>
            <w:pStyle w:val="215"/>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b/>
              <w:sz w:val="32"/>
              <w:szCs w:val="32"/>
            </w:rPr>
          </w:pPr>
          <w:r>
            <w:rPr>
              <w:b/>
              <w:sz w:val="32"/>
              <w:szCs w:val="32"/>
            </w:rPr>
            <w:fldChar w:fldCharType="begin"/>
          </w:r>
          <w:r>
            <w:rPr>
              <w:b/>
              <w:sz w:val="32"/>
              <w:szCs w:val="32"/>
            </w:rPr>
            <w:instrText xml:space="preserve"> HYPERLINK \l _Toc12007 </w:instrText>
          </w:r>
          <w:r>
            <w:rPr>
              <w:b/>
              <w:sz w:val="32"/>
              <w:szCs w:val="32"/>
            </w:rPr>
            <w:fldChar w:fldCharType="separate"/>
          </w:r>
          <w:r>
            <w:rPr>
              <w:rFonts w:hint="eastAsia" w:ascii="宋体" w:hAnsi="宋体" w:eastAsia="黑体" w:cs="宋体"/>
              <w:b/>
              <w:i w:val="0"/>
              <w:sz w:val="32"/>
              <w:szCs w:val="32"/>
              <w:lang w:val="en-US" w:eastAsia="zh-CN"/>
            </w:rPr>
            <w:t xml:space="preserve">六、 </w:t>
          </w:r>
          <w:r>
            <w:rPr>
              <w:rFonts w:hint="eastAsia" w:ascii="宋体" w:hAnsi="宋体"/>
              <w:b/>
              <w:sz w:val="32"/>
              <w:szCs w:val="32"/>
              <w:lang w:val="en-US" w:eastAsia="zh-CN"/>
            </w:rPr>
            <w:t>智慧应用</w:t>
          </w:r>
          <w:r>
            <w:rPr>
              <w:b/>
              <w:sz w:val="32"/>
              <w:szCs w:val="32"/>
            </w:rPr>
            <w:tab/>
          </w:r>
          <w:r>
            <w:rPr>
              <w:b/>
              <w:sz w:val="32"/>
              <w:szCs w:val="32"/>
            </w:rPr>
            <w:fldChar w:fldCharType="begin"/>
          </w:r>
          <w:r>
            <w:rPr>
              <w:b/>
              <w:sz w:val="32"/>
              <w:szCs w:val="32"/>
            </w:rPr>
            <w:instrText xml:space="preserve"> PAGEREF _Toc12007 \h </w:instrText>
          </w:r>
          <w:r>
            <w:rPr>
              <w:b/>
              <w:sz w:val="32"/>
              <w:szCs w:val="32"/>
            </w:rPr>
            <w:fldChar w:fldCharType="separate"/>
          </w:r>
          <w:r>
            <w:rPr>
              <w:b/>
              <w:sz w:val="32"/>
              <w:szCs w:val="32"/>
            </w:rPr>
            <w:t>57</w:t>
          </w:r>
          <w:r>
            <w:rPr>
              <w:b/>
              <w:sz w:val="32"/>
              <w:szCs w:val="32"/>
            </w:rPr>
            <w:fldChar w:fldCharType="end"/>
          </w:r>
          <w:r>
            <w:rPr>
              <w:b/>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_Toc18275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（一） </w:t>
          </w:r>
          <w:r>
            <w:rPr>
              <w:rFonts w:hint="eastAsia" w:ascii="宋体" w:hAnsi="宋体"/>
              <w:sz w:val="32"/>
              <w:szCs w:val="32"/>
              <w:lang w:val="en-US" w:eastAsia="zh-CN"/>
            </w:rPr>
            <w:t>建设源城数字教育管理云平台</w:t>
          </w:r>
          <w:r>
            <w:rPr>
              <w:sz w:val="32"/>
              <w:szCs w:val="32"/>
            </w:rPr>
            <w:tab/>
          </w:r>
          <w:r>
            <w:rPr>
              <w:sz w:val="32"/>
              <w:szCs w:val="32"/>
            </w:rPr>
            <w:fldChar w:fldCharType="begin"/>
          </w:r>
          <w:r>
            <w:rPr>
              <w:sz w:val="32"/>
              <w:szCs w:val="32"/>
            </w:rPr>
            <w:instrText xml:space="preserve"> PAGEREF _Toc18275 \h </w:instrText>
          </w:r>
          <w:r>
            <w:rPr>
              <w:sz w:val="32"/>
              <w:szCs w:val="32"/>
            </w:rPr>
            <w:fldChar w:fldCharType="separate"/>
          </w:r>
          <w:r>
            <w:rPr>
              <w:sz w:val="32"/>
              <w:szCs w:val="32"/>
            </w:rPr>
            <w:t>57</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_Toc26037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（二） </w:t>
          </w:r>
          <w:r>
            <w:rPr>
              <w:rFonts w:hint="eastAsia" w:ascii="宋体" w:hAnsi="宋体"/>
              <w:sz w:val="32"/>
              <w:szCs w:val="32"/>
              <w:lang w:val="en-US" w:eastAsia="zh-CN"/>
            </w:rPr>
            <w:t>探索构建智慧政务决策支撑系统</w:t>
          </w:r>
          <w:r>
            <w:rPr>
              <w:sz w:val="32"/>
              <w:szCs w:val="32"/>
            </w:rPr>
            <w:tab/>
          </w:r>
          <w:r>
            <w:rPr>
              <w:sz w:val="32"/>
              <w:szCs w:val="32"/>
            </w:rPr>
            <w:fldChar w:fldCharType="begin"/>
          </w:r>
          <w:r>
            <w:rPr>
              <w:sz w:val="32"/>
              <w:szCs w:val="32"/>
            </w:rPr>
            <w:instrText xml:space="preserve"> PAGEREF _Toc26037 \h </w:instrText>
          </w:r>
          <w:r>
            <w:rPr>
              <w:sz w:val="32"/>
              <w:szCs w:val="32"/>
            </w:rPr>
            <w:fldChar w:fldCharType="separate"/>
          </w:r>
          <w:r>
            <w:rPr>
              <w:sz w:val="32"/>
              <w:szCs w:val="32"/>
            </w:rPr>
            <w:t>58</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_Toc22815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（三） </w:t>
          </w:r>
          <w:r>
            <w:rPr>
              <w:rFonts w:hint="eastAsia" w:ascii="宋体" w:hAnsi="宋体"/>
              <w:sz w:val="32"/>
              <w:szCs w:val="32"/>
              <w:lang w:val="en-US" w:eastAsia="zh-CN"/>
            </w:rPr>
            <w:t>探索“互联网+政务服务”新模式</w:t>
          </w:r>
          <w:r>
            <w:rPr>
              <w:sz w:val="32"/>
              <w:szCs w:val="32"/>
            </w:rPr>
            <w:tab/>
          </w:r>
          <w:r>
            <w:rPr>
              <w:sz w:val="32"/>
              <w:szCs w:val="32"/>
            </w:rPr>
            <w:fldChar w:fldCharType="begin"/>
          </w:r>
          <w:r>
            <w:rPr>
              <w:sz w:val="32"/>
              <w:szCs w:val="32"/>
            </w:rPr>
            <w:instrText xml:space="preserve"> PAGEREF _Toc22815 \h </w:instrText>
          </w:r>
          <w:r>
            <w:rPr>
              <w:sz w:val="32"/>
              <w:szCs w:val="32"/>
            </w:rPr>
            <w:fldChar w:fldCharType="separate"/>
          </w:r>
          <w:r>
            <w:rPr>
              <w:sz w:val="32"/>
              <w:szCs w:val="32"/>
            </w:rPr>
            <w:t>58</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_Toc17076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（四） </w:t>
          </w:r>
          <w:r>
            <w:rPr>
              <w:rFonts w:hint="eastAsia" w:ascii="宋体" w:hAnsi="宋体"/>
              <w:sz w:val="32"/>
              <w:szCs w:val="32"/>
              <w:lang w:val="en-US" w:eastAsia="zh-CN"/>
            </w:rPr>
            <w:t>稳步推动“数字财政”建设</w:t>
          </w:r>
          <w:r>
            <w:rPr>
              <w:sz w:val="32"/>
              <w:szCs w:val="32"/>
            </w:rPr>
            <w:tab/>
          </w:r>
          <w:r>
            <w:rPr>
              <w:sz w:val="32"/>
              <w:szCs w:val="32"/>
            </w:rPr>
            <w:fldChar w:fldCharType="begin"/>
          </w:r>
          <w:r>
            <w:rPr>
              <w:sz w:val="32"/>
              <w:szCs w:val="32"/>
            </w:rPr>
            <w:instrText xml:space="preserve"> PAGEREF _Toc17076 \h </w:instrText>
          </w:r>
          <w:r>
            <w:rPr>
              <w:sz w:val="32"/>
              <w:szCs w:val="32"/>
            </w:rPr>
            <w:fldChar w:fldCharType="separate"/>
          </w:r>
          <w:r>
            <w:rPr>
              <w:sz w:val="32"/>
              <w:szCs w:val="32"/>
            </w:rPr>
            <w:t>58</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_Toc28075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（五） </w:t>
          </w:r>
          <w:r>
            <w:rPr>
              <w:rFonts w:hint="eastAsia" w:ascii="宋体" w:hAnsi="宋体"/>
              <w:sz w:val="32"/>
              <w:szCs w:val="32"/>
              <w:lang w:val="en-US" w:eastAsia="zh-CN"/>
            </w:rPr>
            <w:t>加快推进“互联网+医疗健康”</w:t>
          </w:r>
          <w:r>
            <w:rPr>
              <w:sz w:val="32"/>
              <w:szCs w:val="32"/>
            </w:rPr>
            <w:tab/>
          </w:r>
          <w:r>
            <w:rPr>
              <w:sz w:val="32"/>
              <w:szCs w:val="32"/>
            </w:rPr>
            <w:fldChar w:fldCharType="begin"/>
          </w:r>
          <w:r>
            <w:rPr>
              <w:sz w:val="32"/>
              <w:szCs w:val="32"/>
            </w:rPr>
            <w:instrText xml:space="preserve"> PAGEREF _Toc28075 \h </w:instrText>
          </w:r>
          <w:r>
            <w:rPr>
              <w:sz w:val="32"/>
              <w:szCs w:val="32"/>
            </w:rPr>
            <w:fldChar w:fldCharType="separate"/>
          </w:r>
          <w:r>
            <w:rPr>
              <w:sz w:val="32"/>
              <w:szCs w:val="32"/>
            </w:rPr>
            <w:t>59</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_Toc23570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（六） </w:t>
          </w:r>
          <w:r>
            <w:rPr>
              <w:rFonts w:hint="eastAsia" w:ascii="宋体" w:hAnsi="宋体"/>
              <w:sz w:val="32"/>
              <w:szCs w:val="32"/>
              <w:lang w:val="en-US" w:eastAsia="zh-CN"/>
            </w:rPr>
            <w:t>深入实施“互联网+人社”行动计划</w:t>
          </w:r>
          <w:r>
            <w:rPr>
              <w:sz w:val="32"/>
              <w:szCs w:val="32"/>
            </w:rPr>
            <w:tab/>
          </w:r>
          <w:r>
            <w:rPr>
              <w:sz w:val="32"/>
              <w:szCs w:val="32"/>
            </w:rPr>
            <w:fldChar w:fldCharType="begin"/>
          </w:r>
          <w:r>
            <w:rPr>
              <w:sz w:val="32"/>
              <w:szCs w:val="32"/>
            </w:rPr>
            <w:instrText xml:space="preserve"> PAGEREF _Toc23570 \h </w:instrText>
          </w:r>
          <w:r>
            <w:rPr>
              <w:sz w:val="32"/>
              <w:szCs w:val="32"/>
            </w:rPr>
            <w:fldChar w:fldCharType="separate"/>
          </w:r>
          <w:r>
            <w:rPr>
              <w:sz w:val="32"/>
              <w:szCs w:val="32"/>
            </w:rPr>
            <w:t>59</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_Toc4009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（七） </w:t>
          </w:r>
          <w:r>
            <w:rPr>
              <w:rFonts w:hint="eastAsia" w:ascii="宋体" w:hAnsi="宋体"/>
              <w:sz w:val="32"/>
              <w:szCs w:val="32"/>
              <w:lang w:val="en-US" w:eastAsia="zh-CN"/>
            </w:rPr>
            <w:t>持续推进“智慧水利”建设</w:t>
          </w:r>
          <w:r>
            <w:rPr>
              <w:sz w:val="32"/>
              <w:szCs w:val="32"/>
            </w:rPr>
            <w:tab/>
          </w:r>
          <w:r>
            <w:rPr>
              <w:sz w:val="32"/>
              <w:szCs w:val="32"/>
            </w:rPr>
            <w:fldChar w:fldCharType="begin"/>
          </w:r>
          <w:r>
            <w:rPr>
              <w:sz w:val="32"/>
              <w:szCs w:val="32"/>
            </w:rPr>
            <w:instrText xml:space="preserve"> PAGEREF _Toc4009 \h </w:instrText>
          </w:r>
          <w:r>
            <w:rPr>
              <w:sz w:val="32"/>
              <w:szCs w:val="32"/>
            </w:rPr>
            <w:fldChar w:fldCharType="separate"/>
          </w:r>
          <w:r>
            <w:rPr>
              <w:sz w:val="32"/>
              <w:szCs w:val="32"/>
            </w:rPr>
            <w:t>60</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_Toc21099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（八） </w:t>
          </w:r>
          <w:r>
            <w:rPr>
              <w:rFonts w:hint="eastAsia" w:ascii="宋体" w:hAnsi="宋体"/>
              <w:sz w:val="32"/>
              <w:szCs w:val="32"/>
              <w:lang w:val="en-US" w:eastAsia="zh-CN"/>
            </w:rPr>
            <w:t>推动构建智慧农业新模式</w:t>
          </w:r>
          <w:r>
            <w:rPr>
              <w:sz w:val="32"/>
              <w:szCs w:val="32"/>
            </w:rPr>
            <w:tab/>
          </w:r>
          <w:r>
            <w:rPr>
              <w:sz w:val="32"/>
              <w:szCs w:val="32"/>
            </w:rPr>
            <w:fldChar w:fldCharType="begin"/>
          </w:r>
          <w:r>
            <w:rPr>
              <w:sz w:val="32"/>
              <w:szCs w:val="32"/>
            </w:rPr>
            <w:instrText xml:space="preserve"> PAGEREF _Toc21099 \h </w:instrText>
          </w:r>
          <w:r>
            <w:rPr>
              <w:sz w:val="32"/>
              <w:szCs w:val="32"/>
            </w:rPr>
            <w:fldChar w:fldCharType="separate"/>
          </w:r>
          <w:r>
            <w:rPr>
              <w:sz w:val="32"/>
              <w:szCs w:val="32"/>
            </w:rPr>
            <w:t>60</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_Toc9155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（九） </w:t>
          </w:r>
          <w:r>
            <w:rPr>
              <w:rFonts w:hint="eastAsia" w:ascii="宋体" w:hAnsi="宋体"/>
              <w:sz w:val="32"/>
              <w:szCs w:val="32"/>
              <w:lang w:val="en-US" w:eastAsia="zh-CN"/>
            </w:rPr>
            <w:t>加强智慧司法应用</w:t>
          </w:r>
          <w:r>
            <w:rPr>
              <w:sz w:val="32"/>
              <w:szCs w:val="32"/>
            </w:rPr>
            <w:tab/>
          </w:r>
          <w:r>
            <w:rPr>
              <w:sz w:val="32"/>
              <w:szCs w:val="32"/>
            </w:rPr>
            <w:fldChar w:fldCharType="begin"/>
          </w:r>
          <w:r>
            <w:rPr>
              <w:sz w:val="32"/>
              <w:szCs w:val="32"/>
            </w:rPr>
            <w:instrText xml:space="preserve"> PAGEREF _Toc9155 \h </w:instrText>
          </w:r>
          <w:r>
            <w:rPr>
              <w:sz w:val="32"/>
              <w:szCs w:val="32"/>
            </w:rPr>
            <w:fldChar w:fldCharType="separate"/>
          </w:r>
          <w:r>
            <w:rPr>
              <w:sz w:val="32"/>
              <w:szCs w:val="32"/>
            </w:rPr>
            <w:t>60</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_Toc3159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（十） </w:t>
          </w:r>
          <w:r>
            <w:rPr>
              <w:rFonts w:hint="eastAsia" w:ascii="宋体" w:hAnsi="宋体"/>
              <w:sz w:val="32"/>
              <w:szCs w:val="32"/>
              <w:lang w:val="en-US" w:eastAsia="zh-CN"/>
            </w:rPr>
            <w:t>提升城市管理智慧化水平</w:t>
          </w:r>
          <w:r>
            <w:rPr>
              <w:sz w:val="32"/>
              <w:szCs w:val="32"/>
            </w:rPr>
            <w:tab/>
          </w:r>
          <w:r>
            <w:rPr>
              <w:sz w:val="32"/>
              <w:szCs w:val="32"/>
            </w:rPr>
            <w:fldChar w:fldCharType="begin"/>
          </w:r>
          <w:r>
            <w:rPr>
              <w:sz w:val="32"/>
              <w:szCs w:val="32"/>
            </w:rPr>
            <w:instrText xml:space="preserve"> PAGEREF _Toc3159 \h </w:instrText>
          </w:r>
          <w:r>
            <w:rPr>
              <w:sz w:val="32"/>
              <w:szCs w:val="32"/>
            </w:rPr>
            <w:fldChar w:fldCharType="separate"/>
          </w:r>
          <w:r>
            <w:rPr>
              <w:sz w:val="32"/>
              <w:szCs w:val="32"/>
            </w:rPr>
            <w:t>61</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_Toc115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（十一） </w:t>
          </w:r>
          <w:r>
            <w:rPr>
              <w:rFonts w:hint="eastAsia" w:ascii="宋体" w:hAnsi="宋体"/>
              <w:sz w:val="32"/>
              <w:szCs w:val="32"/>
              <w:lang w:val="en-US" w:eastAsia="zh-CN"/>
            </w:rPr>
            <w:t>继续深化“智慧应急”体系建设</w:t>
          </w:r>
          <w:r>
            <w:rPr>
              <w:sz w:val="32"/>
              <w:szCs w:val="32"/>
            </w:rPr>
            <w:tab/>
          </w:r>
          <w:r>
            <w:rPr>
              <w:sz w:val="32"/>
              <w:szCs w:val="32"/>
            </w:rPr>
            <w:fldChar w:fldCharType="begin"/>
          </w:r>
          <w:r>
            <w:rPr>
              <w:sz w:val="32"/>
              <w:szCs w:val="32"/>
            </w:rPr>
            <w:instrText xml:space="preserve"> PAGEREF _Toc115 \h </w:instrText>
          </w:r>
          <w:r>
            <w:rPr>
              <w:sz w:val="32"/>
              <w:szCs w:val="32"/>
            </w:rPr>
            <w:fldChar w:fldCharType="separate"/>
          </w:r>
          <w:r>
            <w:rPr>
              <w:sz w:val="32"/>
              <w:szCs w:val="32"/>
            </w:rPr>
            <w:t>61</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_Toc3974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（十二） </w:t>
          </w:r>
          <w:r>
            <w:rPr>
              <w:rFonts w:hint="eastAsia" w:ascii="宋体" w:hAnsi="宋体"/>
              <w:sz w:val="32"/>
              <w:szCs w:val="32"/>
              <w:lang w:val="en-US" w:eastAsia="zh-CN"/>
            </w:rPr>
            <w:t>提升社会治理智能化水平</w:t>
          </w:r>
          <w:r>
            <w:rPr>
              <w:sz w:val="32"/>
              <w:szCs w:val="32"/>
            </w:rPr>
            <w:tab/>
          </w:r>
          <w:r>
            <w:rPr>
              <w:sz w:val="32"/>
              <w:szCs w:val="32"/>
            </w:rPr>
            <w:fldChar w:fldCharType="begin"/>
          </w:r>
          <w:r>
            <w:rPr>
              <w:sz w:val="32"/>
              <w:szCs w:val="32"/>
            </w:rPr>
            <w:instrText xml:space="preserve"> PAGEREF _Toc3974 \h </w:instrText>
          </w:r>
          <w:r>
            <w:rPr>
              <w:sz w:val="32"/>
              <w:szCs w:val="32"/>
            </w:rPr>
            <w:fldChar w:fldCharType="separate"/>
          </w:r>
          <w:r>
            <w:rPr>
              <w:sz w:val="32"/>
              <w:szCs w:val="32"/>
            </w:rPr>
            <w:t>61</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_Toc328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（十三） </w:t>
          </w:r>
          <w:r>
            <w:rPr>
              <w:rFonts w:hint="eastAsia" w:ascii="宋体" w:hAnsi="宋体"/>
              <w:sz w:val="32"/>
              <w:szCs w:val="32"/>
              <w:lang w:val="en-US" w:eastAsia="zh-CN"/>
            </w:rPr>
            <w:t>加强智慧消防应用</w:t>
          </w:r>
          <w:r>
            <w:rPr>
              <w:sz w:val="32"/>
              <w:szCs w:val="32"/>
            </w:rPr>
            <w:tab/>
          </w:r>
          <w:r>
            <w:rPr>
              <w:sz w:val="32"/>
              <w:szCs w:val="32"/>
            </w:rPr>
            <w:fldChar w:fldCharType="begin"/>
          </w:r>
          <w:r>
            <w:rPr>
              <w:sz w:val="32"/>
              <w:szCs w:val="32"/>
            </w:rPr>
            <w:instrText xml:space="preserve"> PAGEREF _Toc328 \h </w:instrText>
          </w:r>
          <w:r>
            <w:rPr>
              <w:sz w:val="32"/>
              <w:szCs w:val="32"/>
            </w:rPr>
            <w:fldChar w:fldCharType="separate"/>
          </w:r>
          <w:r>
            <w:rPr>
              <w:sz w:val="32"/>
              <w:szCs w:val="32"/>
            </w:rPr>
            <w:t>62</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_Toc27517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（十四） </w:t>
          </w:r>
          <w:r>
            <w:rPr>
              <w:rFonts w:hint="eastAsia" w:ascii="宋体" w:hAnsi="宋体"/>
              <w:sz w:val="32"/>
              <w:szCs w:val="32"/>
              <w:lang w:val="en-US" w:eastAsia="zh-CN"/>
            </w:rPr>
            <w:t>构建智慧旅游</w:t>
          </w:r>
          <w:r>
            <w:rPr>
              <w:sz w:val="32"/>
              <w:szCs w:val="32"/>
            </w:rPr>
            <w:tab/>
          </w:r>
          <w:r>
            <w:rPr>
              <w:sz w:val="32"/>
              <w:szCs w:val="32"/>
            </w:rPr>
            <w:fldChar w:fldCharType="begin"/>
          </w:r>
          <w:r>
            <w:rPr>
              <w:sz w:val="32"/>
              <w:szCs w:val="32"/>
            </w:rPr>
            <w:instrText xml:space="preserve"> PAGEREF _Toc27517 \h </w:instrText>
          </w:r>
          <w:r>
            <w:rPr>
              <w:sz w:val="32"/>
              <w:szCs w:val="32"/>
            </w:rPr>
            <w:fldChar w:fldCharType="separate"/>
          </w:r>
          <w:r>
            <w:rPr>
              <w:sz w:val="32"/>
              <w:szCs w:val="32"/>
            </w:rPr>
            <w:t>62</w:t>
          </w:r>
          <w:r>
            <w:rPr>
              <w:sz w:val="32"/>
              <w:szCs w:val="32"/>
            </w:rPr>
            <w:fldChar w:fldCharType="end"/>
          </w:r>
          <w:r>
            <w:rPr>
              <w:sz w:val="32"/>
              <w:szCs w:val="32"/>
            </w:rPr>
            <w:fldChar w:fldCharType="end"/>
          </w:r>
        </w:p>
        <w:p>
          <w:pPr>
            <w:pStyle w:val="215"/>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b/>
              <w:sz w:val="32"/>
              <w:szCs w:val="32"/>
            </w:rPr>
          </w:pPr>
          <w:r>
            <w:rPr>
              <w:b/>
              <w:sz w:val="32"/>
              <w:szCs w:val="32"/>
            </w:rPr>
            <w:fldChar w:fldCharType="begin"/>
          </w:r>
          <w:r>
            <w:rPr>
              <w:b/>
              <w:sz w:val="32"/>
              <w:szCs w:val="32"/>
            </w:rPr>
            <w:instrText xml:space="preserve"> HYPERLINK \l _Toc22813 </w:instrText>
          </w:r>
          <w:r>
            <w:rPr>
              <w:b/>
              <w:sz w:val="32"/>
              <w:szCs w:val="32"/>
            </w:rPr>
            <w:fldChar w:fldCharType="separate"/>
          </w:r>
          <w:r>
            <w:rPr>
              <w:rFonts w:hint="eastAsia" w:ascii="宋体" w:hAnsi="宋体" w:eastAsia="黑体" w:cs="宋体"/>
              <w:b/>
              <w:i w:val="0"/>
              <w:sz w:val="32"/>
              <w:szCs w:val="32"/>
              <w:lang w:val="en-US" w:eastAsia="zh-CN"/>
            </w:rPr>
            <w:t xml:space="preserve">七、 </w:t>
          </w:r>
          <w:r>
            <w:rPr>
              <w:rFonts w:hint="eastAsia" w:ascii="宋体" w:hAnsi="宋体"/>
              <w:b/>
              <w:sz w:val="32"/>
              <w:szCs w:val="32"/>
              <w:lang w:val="en-US" w:eastAsia="zh-CN"/>
            </w:rPr>
            <w:t>保障措施</w:t>
          </w:r>
          <w:r>
            <w:rPr>
              <w:b/>
              <w:sz w:val="32"/>
              <w:szCs w:val="32"/>
            </w:rPr>
            <w:tab/>
          </w:r>
          <w:r>
            <w:rPr>
              <w:b/>
              <w:sz w:val="32"/>
              <w:szCs w:val="32"/>
            </w:rPr>
            <w:fldChar w:fldCharType="begin"/>
          </w:r>
          <w:r>
            <w:rPr>
              <w:b/>
              <w:sz w:val="32"/>
              <w:szCs w:val="32"/>
            </w:rPr>
            <w:instrText xml:space="preserve"> PAGEREF _Toc22813 \h </w:instrText>
          </w:r>
          <w:r>
            <w:rPr>
              <w:b/>
              <w:sz w:val="32"/>
              <w:szCs w:val="32"/>
            </w:rPr>
            <w:fldChar w:fldCharType="separate"/>
          </w:r>
          <w:r>
            <w:rPr>
              <w:b/>
              <w:sz w:val="32"/>
              <w:szCs w:val="32"/>
            </w:rPr>
            <w:t>63</w:t>
          </w:r>
          <w:r>
            <w:rPr>
              <w:b/>
              <w:sz w:val="32"/>
              <w:szCs w:val="32"/>
            </w:rPr>
            <w:fldChar w:fldCharType="end"/>
          </w:r>
          <w:r>
            <w:rPr>
              <w:b/>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_Toc2928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（一） </w:t>
          </w:r>
          <w:r>
            <w:rPr>
              <w:rFonts w:hint="eastAsia" w:ascii="宋体" w:hAnsi="宋体"/>
              <w:sz w:val="32"/>
              <w:szCs w:val="32"/>
              <w:lang w:val="en-US" w:eastAsia="zh-CN"/>
            </w:rPr>
            <w:t>加强组织管理</w:t>
          </w:r>
          <w:r>
            <w:rPr>
              <w:sz w:val="32"/>
              <w:szCs w:val="32"/>
            </w:rPr>
            <w:tab/>
          </w:r>
          <w:r>
            <w:rPr>
              <w:sz w:val="32"/>
              <w:szCs w:val="32"/>
            </w:rPr>
            <w:fldChar w:fldCharType="begin"/>
          </w:r>
          <w:r>
            <w:rPr>
              <w:sz w:val="32"/>
              <w:szCs w:val="32"/>
            </w:rPr>
            <w:instrText xml:space="preserve"> PAGEREF _Toc2928 \h </w:instrText>
          </w:r>
          <w:r>
            <w:rPr>
              <w:sz w:val="32"/>
              <w:szCs w:val="32"/>
            </w:rPr>
            <w:fldChar w:fldCharType="separate"/>
          </w:r>
          <w:r>
            <w:rPr>
              <w:sz w:val="32"/>
              <w:szCs w:val="32"/>
            </w:rPr>
            <w:t>63</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_Toc17168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（二） </w:t>
          </w:r>
          <w:r>
            <w:rPr>
              <w:rFonts w:hint="eastAsia" w:ascii="宋体" w:hAnsi="宋体"/>
              <w:sz w:val="32"/>
              <w:szCs w:val="32"/>
              <w:lang w:val="en-US" w:eastAsia="zh-CN"/>
            </w:rPr>
            <w:t>完善政策保障</w:t>
          </w:r>
          <w:r>
            <w:rPr>
              <w:sz w:val="32"/>
              <w:szCs w:val="32"/>
            </w:rPr>
            <w:tab/>
          </w:r>
          <w:r>
            <w:rPr>
              <w:sz w:val="32"/>
              <w:szCs w:val="32"/>
            </w:rPr>
            <w:fldChar w:fldCharType="begin"/>
          </w:r>
          <w:r>
            <w:rPr>
              <w:sz w:val="32"/>
              <w:szCs w:val="32"/>
            </w:rPr>
            <w:instrText xml:space="preserve"> PAGEREF _Toc17168 \h </w:instrText>
          </w:r>
          <w:r>
            <w:rPr>
              <w:sz w:val="32"/>
              <w:szCs w:val="32"/>
            </w:rPr>
            <w:fldChar w:fldCharType="separate"/>
          </w:r>
          <w:r>
            <w:rPr>
              <w:sz w:val="32"/>
              <w:szCs w:val="32"/>
            </w:rPr>
            <w:t>63</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_Toc12246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（三） </w:t>
          </w:r>
          <w:r>
            <w:rPr>
              <w:rFonts w:hint="eastAsia" w:ascii="宋体" w:hAnsi="宋体"/>
              <w:sz w:val="32"/>
              <w:szCs w:val="32"/>
              <w:lang w:val="en-US" w:eastAsia="zh-CN"/>
            </w:rPr>
            <w:t>落实财政资金</w:t>
          </w:r>
          <w:r>
            <w:rPr>
              <w:sz w:val="32"/>
              <w:szCs w:val="32"/>
            </w:rPr>
            <w:tab/>
          </w:r>
          <w:r>
            <w:rPr>
              <w:sz w:val="32"/>
              <w:szCs w:val="32"/>
            </w:rPr>
            <w:fldChar w:fldCharType="begin"/>
          </w:r>
          <w:r>
            <w:rPr>
              <w:sz w:val="32"/>
              <w:szCs w:val="32"/>
            </w:rPr>
            <w:instrText xml:space="preserve"> PAGEREF _Toc12246 \h </w:instrText>
          </w:r>
          <w:r>
            <w:rPr>
              <w:sz w:val="32"/>
              <w:szCs w:val="32"/>
            </w:rPr>
            <w:fldChar w:fldCharType="separate"/>
          </w:r>
          <w:r>
            <w:rPr>
              <w:sz w:val="32"/>
              <w:szCs w:val="32"/>
            </w:rPr>
            <w:t>63</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_Toc28741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（四） </w:t>
          </w:r>
          <w:r>
            <w:rPr>
              <w:rFonts w:hint="eastAsia" w:ascii="宋体" w:hAnsi="宋体"/>
              <w:sz w:val="32"/>
              <w:szCs w:val="32"/>
              <w:lang w:val="en-US" w:eastAsia="zh-CN"/>
            </w:rPr>
            <w:t>加强人才队伍建设</w:t>
          </w:r>
          <w:r>
            <w:rPr>
              <w:sz w:val="32"/>
              <w:szCs w:val="32"/>
            </w:rPr>
            <w:tab/>
          </w:r>
          <w:r>
            <w:rPr>
              <w:sz w:val="32"/>
              <w:szCs w:val="32"/>
            </w:rPr>
            <w:fldChar w:fldCharType="begin"/>
          </w:r>
          <w:r>
            <w:rPr>
              <w:sz w:val="32"/>
              <w:szCs w:val="32"/>
            </w:rPr>
            <w:instrText xml:space="preserve"> PAGEREF _Toc28741 \h </w:instrText>
          </w:r>
          <w:r>
            <w:rPr>
              <w:sz w:val="32"/>
              <w:szCs w:val="32"/>
            </w:rPr>
            <w:fldChar w:fldCharType="separate"/>
          </w:r>
          <w:r>
            <w:rPr>
              <w:sz w:val="32"/>
              <w:szCs w:val="32"/>
            </w:rPr>
            <w:t>63</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_Toc5539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（五） </w:t>
          </w:r>
          <w:r>
            <w:rPr>
              <w:rFonts w:hint="eastAsia" w:ascii="宋体" w:hAnsi="宋体"/>
              <w:sz w:val="32"/>
              <w:szCs w:val="32"/>
              <w:lang w:val="en-US" w:eastAsia="zh-CN"/>
            </w:rPr>
            <w:t>强化目标考核</w:t>
          </w:r>
          <w:r>
            <w:rPr>
              <w:sz w:val="32"/>
              <w:szCs w:val="32"/>
            </w:rPr>
            <w:tab/>
          </w:r>
          <w:r>
            <w:rPr>
              <w:sz w:val="32"/>
              <w:szCs w:val="32"/>
            </w:rPr>
            <w:fldChar w:fldCharType="begin"/>
          </w:r>
          <w:r>
            <w:rPr>
              <w:sz w:val="32"/>
              <w:szCs w:val="32"/>
            </w:rPr>
            <w:instrText xml:space="preserve"> PAGEREF _Toc5539 \h </w:instrText>
          </w:r>
          <w:r>
            <w:rPr>
              <w:sz w:val="32"/>
              <w:szCs w:val="32"/>
            </w:rPr>
            <w:fldChar w:fldCharType="separate"/>
          </w:r>
          <w:r>
            <w:rPr>
              <w:sz w:val="32"/>
              <w:szCs w:val="32"/>
            </w:rPr>
            <w:t>64</w:t>
          </w:r>
          <w:r>
            <w:rPr>
              <w:sz w:val="32"/>
              <w:szCs w:val="32"/>
            </w:rPr>
            <w:fldChar w:fldCharType="end"/>
          </w:r>
          <w:r>
            <w:rPr>
              <w:sz w:val="32"/>
              <w:szCs w:val="32"/>
            </w:rPr>
            <w:fldChar w:fldCharType="end"/>
          </w:r>
        </w:p>
        <w:p>
          <w:pPr>
            <w:pStyle w:val="215"/>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b/>
              <w:sz w:val="32"/>
              <w:szCs w:val="32"/>
            </w:rPr>
          </w:pPr>
          <w:r>
            <w:rPr>
              <w:b/>
              <w:sz w:val="32"/>
              <w:szCs w:val="32"/>
            </w:rPr>
            <w:fldChar w:fldCharType="begin"/>
          </w:r>
          <w:r>
            <w:rPr>
              <w:b/>
              <w:sz w:val="32"/>
              <w:szCs w:val="32"/>
            </w:rPr>
            <w:instrText xml:space="preserve"> HYPERLINK \l _Toc16571 </w:instrText>
          </w:r>
          <w:r>
            <w:rPr>
              <w:b/>
              <w:sz w:val="32"/>
              <w:szCs w:val="32"/>
            </w:rPr>
            <w:fldChar w:fldCharType="separate"/>
          </w:r>
          <w:r>
            <w:rPr>
              <w:rFonts w:hint="eastAsia" w:ascii="宋体" w:hAnsi="宋体" w:eastAsia="方正仿宋_GBK" w:cs="方正仿宋_GBK"/>
              <w:b/>
              <w:sz w:val="32"/>
              <w:szCs w:val="32"/>
            </w:rPr>
            <w:t>附件1</w:t>
          </w:r>
          <w:r>
            <w:rPr>
              <w:b/>
              <w:sz w:val="32"/>
              <w:szCs w:val="32"/>
            </w:rPr>
            <w:tab/>
          </w:r>
          <w:r>
            <w:rPr>
              <w:b/>
              <w:sz w:val="32"/>
              <w:szCs w:val="32"/>
            </w:rPr>
            <w:fldChar w:fldCharType="begin"/>
          </w:r>
          <w:r>
            <w:rPr>
              <w:b/>
              <w:sz w:val="32"/>
              <w:szCs w:val="32"/>
            </w:rPr>
            <w:instrText xml:space="preserve"> PAGEREF _Toc16571 \h </w:instrText>
          </w:r>
          <w:r>
            <w:rPr>
              <w:b/>
              <w:sz w:val="32"/>
              <w:szCs w:val="32"/>
            </w:rPr>
            <w:fldChar w:fldCharType="separate"/>
          </w:r>
          <w:r>
            <w:rPr>
              <w:b/>
              <w:sz w:val="32"/>
              <w:szCs w:val="32"/>
            </w:rPr>
            <w:t>65</w:t>
          </w:r>
          <w:r>
            <w:rPr>
              <w:b/>
              <w:sz w:val="32"/>
              <w:szCs w:val="32"/>
            </w:rPr>
            <w:fldChar w:fldCharType="end"/>
          </w:r>
          <w:r>
            <w:rPr>
              <w:b/>
              <w:sz w:val="32"/>
              <w:szCs w:val="32"/>
            </w:rPr>
            <w:fldChar w:fldCharType="end"/>
          </w:r>
        </w:p>
        <w:p>
          <w:pPr>
            <w:pStyle w:val="215"/>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b/>
              <w:sz w:val="32"/>
              <w:szCs w:val="32"/>
            </w:rPr>
          </w:pPr>
          <w:r>
            <w:rPr>
              <w:b/>
              <w:sz w:val="32"/>
              <w:szCs w:val="32"/>
            </w:rPr>
            <w:fldChar w:fldCharType="begin"/>
          </w:r>
          <w:r>
            <w:rPr>
              <w:b/>
              <w:sz w:val="32"/>
              <w:szCs w:val="32"/>
            </w:rPr>
            <w:instrText xml:space="preserve"> HYPERLINK \l _Toc16462 </w:instrText>
          </w:r>
          <w:r>
            <w:rPr>
              <w:b/>
              <w:sz w:val="32"/>
              <w:szCs w:val="32"/>
            </w:rPr>
            <w:fldChar w:fldCharType="separate"/>
          </w:r>
          <w:r>
            <w:rPr>
              <w:rFonts w:hint="eastAsia" w:ascii="宋体" w:hAnsi="宋体"/>
              <w:b/>
              <w:sz w:val="32"/>
              <w:szCs w:val="32"/>
              <w:lang w:val="en-US" w:eastAsia="zh-CN"/>
            </w:rPr>
            <w:t>指标计算方法</w:t>
          </w:r>
          <w:r>
            <w:rPr>
              <w:b/>
              <w:sz w:val="32"/>
              <w:szCs w:val="32"/>
            </w:rPr>
            <w:tab/>
          </w:r>
          <w:r>
            <w:rPr>
              <w:b/>
              <w:sz w:val="32"/>
              <w:szCs w:val="32"/>
            </w:rPr>
            <w:fldChar w:fldCharType="begin"/>
          </w:r>
          <w:r>
            <w:rPr>
              <w:b/>
              <w:sz w:val="32"/>
              <w:szCs w:val="32"/>
            </w:rPr>
            <w:instrText xml:space="preserve"> PAGEREF _Toc16462 \h </w:instrText>
          </w:r>
          <w:r>
            <w:rPr>
              <w:b/>
              <w:sz w:val="32"/>
              <w:szCs w:val="32"/>
            </w:rPr>
            <w:fldChar w:fldCharType="separate"/>
          </w:r>
          <w:r>
            <w:rPr>
              <w:b/>
              <w:sz w:val="32"/>
              <w:szCs w:val="32"/>
            </w:rPr>
            <w:t>65</w:t>
          </w:r>
          <w:r>
            <w:rPr>
              <w:b/>
              <w:sz w:val="32"/>
              <w:szCs w:val="32"/>
            </w:rPr>
            <w:fldChar w:fldCharType="end"/>
          </w:r>
          <w:r>
            <w:rPr>
              <w:b/>
              <w:sz w:val="32"/>
              <w:szCs w:val="32"/>
            </w:rPr>
            <w:fldChar w:fldCharType="end"/>
          </w:r>
        </w:p>
        <w:p>
          <w:pPr>
            <w:pStyle w:val="215"/>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b/>
              <w:sz w:val="32"/>
              <w:szCs w:val="32"/>
            </w:rPr>
          </w:pPr>
          <w:r>
            <w:rPr>
              <w:b/>
              <w:sz w:val="32"/>
              <w:szCs w:val="32"/>
            </w:rPr>
            <w:fldChar w:fldCharType="begin"/>
          </w:r>
          <w:r>
            <w:rPr>
              <w:b/>
              <w:sz w:val="32"/>
              <w:szCs w:val="32"/>
            </w:rPr>
            <w:instrText xml:space="preserve"> HYPERLINK \l _Toc1973 </w:instrText>
          </w:r>
          <w:r>
            <w:rPr>
              <w:b/>
              <w:sz w:val="32"/>
              <w:szCs w:val="32"/>
            </w:rPr>
            <w:fldChar w:fldCharType="separate"/>
          </w:r>
          <w:r>
            <w:rPr>
              <w:rFonts w:hint="eastAsia" w:ascii="宋体" w:hAnsi="宋体" w:eastAsia="方正仿宋_GBK" w:cs="方正仿宋_GBK"/>
              <w:b/>
              <w:sz w:val="32"/>
              <w:szCs w:val="32"/>
            </w:rPr>
            <w:t>附件2</w:t>
          </w:r>
          <w:r>
            <w:rPr>
              <w:b/>
              <w:sz w:val="32"/>
              <w:szCs w:val="32"/>
            </w:rPr>
            <w:tab/>
          </w:r>
          <w:r>
            <w:rPr>
              <w:b/>
              <w:sz w:val="32"/>
              <w:szCs w:val="32"/>
            </w:rPr>
            <w:fldChar w:fldCharType="begin"/>
          </w:r>
          <w:r>
            <w:rPr>
              <w:b/>
              <w:sz w:val="32"/>
              <w:szCs w:val="32"/>
            </w:rPr>
            <w:instrText xml:space="preserve"> PAGEREF _Toc1973 \h </w:instrText>
          </w:r>
          <w:r>
            <w:rPr>
              <w:b/>
              <w:sz w:val="32"/>
              <w:szCs w:val="32"/>
            </w:rPr>
            <w:fldChar w:fldCharType="separate"/>
          </w:r>
          <w:r>
            <w:rPr>
              <w:b/>
              <w:sz w:val="32"/>
              <w:szCs w:val="32"/>
            </w:rPr>
            <w:t>67</w:t>
          </w:r>
          <w:r>
            <w:rPr>
              <w:b/>
              <w:sz w:val="32"/>
              <w:szCs w:val="32"/>
            </w:rPr>
            <w:fldChar w:fldCharType="end"/>
          </w:r>
          <w:r>
            <w:rPr>
              <w:b/>
              <w:sz w:val="32"/>
              <w:szCs w:val="32"/>
            </w:rPr>
            <w:fldChar w:fldCharType="end"/>
          </w:r>
        </w:p>
        <w:p>
          <w:pPr>
            <w:pStyle w:val="215"/>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b/>
              <w:sz w:val="32"/>
              <w:szCs w:val="32"/>
            </w:rPr>
          </w:pPr>
          <w:r>
            <w:rPr>
              <w:b/>
              <w:sz w:val="32"/>
              <w:szCs w:val="32"/>
            </w:rPr>
            <w:fldChar w:fldCharType="begin"/>
          </w:r>
          <w:r>
            <w:rPr>
              <w:b/>
              <w:sz w:val="32"/>
              <w:szCs w:val="32"/>
            </w:rPr>
            <w:instrText xml:space="preserve"> HYPERLINK \l _Toc17677 </w:instrText>
          </w:r>
          <w:r>
            <w:rPr>
              <w:b/>
              <w:sz w:val="32"/>
              <w:szCs w:val="32"/>
            </w:rPr>
            <w:fldChar w:fldCharType="separate"/>
          </w:r>
          <w:r>
            <w:rPr>
              <w:rFonts w:hint="eastAsia" w:ascii="宋体" w:hAnsi="宋体"/>
              <w:b/>
              <w:sz w:val="32"/>
              <w:szCs w:val="32"/>
              <w:lang w:val="en-US" w:eastAsia="zh-CN"/>
            </w:rPr>
            <w:t>相关名词解释</w:t>
          </w:r>
          <w:r>
            <w:rPr>
              <w:b/>
              <w:sz w:val="32"/>
              <w:szCs w:val="32"/>
            </w:rPr>
            <w:tab/>
          </w:r>
          <w:r>
            <w:rPr>
              <w:b/>
              <w:sz w:val="32"/>
              <w:szCs w:val="32"/>
            </w:rPr>
            <w:fldChar w:fldCharType="begin"/>
          </w:r>
          <w:r>
            <w:rPr>
              <w:b/>
              <w:sz w:val="32"/>
              <w:szCs w:val="32"/>
            </w:rPr>
            <w:instrText xml:space="preserve"> PAGEREF _Toc17677 \h </w:instrText>
          </w:r>
          <w:r>
            <w:rPr>
              <w:b/>
              <w:sz w:val="32"/>
              <w:szCs w:val="32"/>
            </w:rPr>
            <w:fldChar w:fldCharType="separate"/>
          </w:r>
          <w:r>
            <w:rPr>
              <w:b/>
              <w:sz w:val="32"/>
              <w:szCs w:val="32"/>
            </w:rPr>
            <w:t>67</w:t>
          </w:r>
          <w:r>
            <w:rPr>
              <w:b/>
              <w:sz w:val="32"/>
              <w:szCs w:val="32"/>
            </w:rPr>
            <w:fldChar w:fldCharType="end"/>
          </w:r>
          <w:r>
            <w:rPr>
              <w:b/>
              <w:sz w:val="32"/>
              <w:szCs w:val="32"/>
            </w:rPr>
            <w:fldChar w:fldCharType="end"/>
          </w:r>
        </w:p>
        <w:p>
          <w:pPr>
            <w:keepNext w:val="0"/>
            <w:keepLines w:val="0"/>
            <w:pageBreakBefore w:val="0"/>
            <w:widowControl/>
            <w:kinsoku/>
            <w:wordWrap/>
            <w:overflowPunct/>
            <w:topLinePunct w:val="0"/>
            <w:autoSpaceDE/>
            <w:autoSpaceDN/>
            <w:bidi w:val="0"/>
            <w:adjustRightInd/>
            <w:snapToGrid/>
            <w:spacing w:line="600" w:lineRule="exact"/>
            <w:textAlignment w:val="auto"/>
          </w:pPr>
          <w:r>
            <w:rPr>
              <w:b/>
              <w:sz w:val="32"/>
              <w:szCs w:val="32"/>
            </w:rPr>
            <w:fldChar w:fldCharType="end"/>
          </w:r>
        </w:p>
      </w:sdtContent>
    </w:sdt>
    <w:p>
      <w:pPr>
        <w:rPr>
          <w:rFonts w:hint="eastAsia" w:ascii="宋体" w:hAnsi="宋体" w:eastAsia="黑体" w:cs="黑体"/>
          <w:color w:val="auto"/>
          <w:sz w:val="32"/>
          <w:szCs w:val="32"/>
        </w:rPr>
      </w:pPr>
      <w:r>
        <w:rPr>
          <w:rFonts w:hint="eastAsia" w:ascii="宋体" w:hAnsi="宋体" w:eastAsia="黑体" w:cs="黑体"/>
          <w:color w:val="auto"/>
          <w:sz w:val="32"/>
          <w:szCs w:val="32"/>
        </w:rPr>
        <w:br w:type="page"/>
      </w:r>
    </w:p>
    <w:p>
      <w:pPr>
        <w:pStyle w:val="3"/>
        <w:pageBreakBefore w:val="0"/>
        <w:widowControl w:val="0"/>
        <w:numPr>
          <w:ilvl w:val="0"/>
          <w:numId w:val="0"/>
        </w:numPr>
        <w:kinsoku/>
        <w:wordWrap/>
        <w:overflowPunct w:val="0"/>
        <w:topLinePunct w:val="0"/>
        <w:autoSpaceDE w:val="0"/>
        <w:autoSpaceDN w:val="0"/>
        <w:bidi w:val="0"/>
        <w:adjustRightInd w:val="0"/>
        <w:snapToGrid/>
        <w:spacing w:before="0" w:after="0" w:line="600" w:lineRule="exact"/>
        <w:jc w:val="center"/>
        <w:textAlignment w:val="auto"/>
        <w:rPr>
          <w:rFonts w:hint="eastAsia" w:ascii="宋体" w:hAnsi="宋体" w:eastAsia="黑体" w:cs="黑体"/>
          <w:color w:val="auto"/>
          <w:sz w:val="36"/>
          <w:szCs w:val="36"/>
        </w:rPr>
      </w:pPr>
      <w:bookmarkStart w:id="0" w:name="_Toc15558"/>
      <w:r>
        <w:rPr>
          <w:rFonts w:hint="eastAsia" w:ascii="宋体" w:hAnsi="宋体" w:eastAsia="黑体" w:cs="黑体"/>
          <w:color w:val="auto"/>
          <w:sz w:val="32"/>
          <w:szCs w:val="32"/>
        </w:rPr>
        <w:t>引  言</w:t>
      </w:r>
      <w:bookmarkEnd w:id="0"/>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坚持以习近平新时代中国特色社会主义思想为指导</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深刻把握电子政务发展趋势</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推动政府数字化转型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建设数字政府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引领经济社会高质量发展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是落实网络强国战略、加快建设数字中国的必然要求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是全面深化改革、以信息化推进国家治理体系和治理能力现代化的关键抉择。党的十九届五中全会明确指出</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要“加快数字化发展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建设数字中国”。《中华人民共和国国民经济和社会发展第十四个五年规划和2035年远景目标纲要》提出</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“迎接数字时代</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激活数据要素潜能</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推进网络强国建设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加快建设数字经济、数字社会、数字政府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以数字化转型整体驱动生产方式、生活方式和治理方式变革”。</w:t>
      </w: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数字政府是数字中国体系的有机组成部分</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是推动数字中国建设、实现经济高质量发展、持续优化营商环境的重要抓手和重要引擎</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也是对电子政务发展模式的改革和创新。广东省于2018年10月印发了《广东省数字政府建设总体规划（2018-2020年）》和《广东省数字政府建设总体规划（2018-2020年）实施方案》</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建成省级统筹、整体联动、部门协同、“一网通办”的“互联网+政务服务”体系</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以“制度创新+技术创新”推动广东省“放管服”改革向纵深发展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推动广东省政府治理体系和治理能力现代化走在全国前列。</w:t>
      </w: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“十三五”期间</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源城区</w:t>
      </w:r>
      <w:r>
        <w:rPr>
          <w:rFonts w:hint="eastAsia" w:ascii="宋体" w:hAnsi="宋体" w:eastAsia="方正仿宋_GBK" w:cs="方正仿宋_GBK"/>
          <w:color w:val="auto"/>
          <w:sz w:val="32"/>
          <w:szCs w:val="32"/>
        </w:rPr>
        <w:t>大力推进</w:t>
      </w:r>
      <w:r>
        <w:rPr>
          <w:rFonts w:hint="eastAsia" w:ascii="宋体" w:hAnsi="宋体" w:eastAsia="方正仿宋_GBK" w:cs="方正仿宋_GBK"/>
          <w:color w:val="auto"/>
          <w:sz w:val="32"/>
          <w:szCs w:val="32"/>
          <w:lang w:val="en-US" w:eastAsia="zh-CN"/>
        </w:rPr>
        <w:t>政务信息化</w:t>
      </w:r>
      <w:r>
        <w:rPr>
          <w:rFonts w:hint="eastAsia" w:ascii="宋体" w:hAnsi="宋体" w:eastAsia="方正仿宋_GBK" w:cs="方正仿宋_GBK"/>
          <w:color w:val="auto"/>
          <w:sz w:val="32"/>
          <w:szCs w:val="32"/>
        </w:rPr>
        <w:t>改革建设工作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全面提高政府数字化履职能力</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政务信息化建设</w:t>
      </w:r>
      <w:r>
        <w:rPr>
          <w:rFonts w:hint="eastAsia" w:ascii="宋体" w:hAnsi="宋体" w:eastAsia="方正仿宋_GBK" w:cs="方正仿宋_GBK"/>
          <w:color w:val="auto"/>
          <w:sz w:val="32"/>
          <w:szCs w:val="32"/>
        </w:rPr>
        <w:t>为广大人民群众带来了实实在在的获得感</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为河源市“示范区”“排头兵”和“两个河源”建设全面提效破局、努力开启新局提供了数字化支撑。</w:t>
      </w: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“十四五”期间</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源城区</w:t>
      </w:r>
      <w:r>
        <w:rPr>
          <w:rFonts w:hint="eastAsia" w:ascii="宋体" w:hAnsi="宋体" w:eastAsia="方正仿宋_GBK" w:cs="方正仿宋_GBK"/>
          <w:color w:val="auto"/>
          <w:sz w:val="32"/>
          <w:szCs w:val="32"/>
        </w:rPr>
        <w:t>数字政府发展建设要继续向纵深发展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依托省</w:t>
      </w:r>
      <w:r>
        <w:rPr>
          <w:rFonts w:hint="eastAsia" w:ascii="宋体" w:hAnsi="宋体" w:eastAsia="方正仿宋_GBK" w:cs="方正仿宋_GBK"/>
          <w:color w:val="auto"/>
          <w:sz w:val="32"/>
          <w:szCs w:val="32"/>
          <w:lang w:val="en-US" w:eastAsia="zh-CN"/>
        </w:rPr>
        <w:t>市</w:t>
      </w:r>
      <w:r>
        <w:rPr>
          <w:rFonts w:hint="eastAsia" w:ascii="宋体" w:hAnsi="宋体" w:eastAsia="方正仿宋_GBK" w:cs="方正仿宋_GBK"/>
          <w:color w:val="auto"/>
          <w:sz w:val="32"/>
          <w:szCs w:val="32"/>
        </w:rPr>
        <w:t>数字政府平台能力</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借鉴珠三角数字政府改革建设成功经验</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结合</w:t>
      </w:r>
      <w:r>
        <w:rPr>
          <w:rFonts w:hint="eastAsia" w:ascii="宋体" w:hAnsi="宋体" w:eastAsia="方正仿宋_GBK" w:cs="方正仿宋_GBK"/>
          <w:color w:val="auto"/>
          <w:sz w:val="32"/>
          <w:szCs w:val="32"/>
          <w:lang w:val="en-US" w:eastAsia="zh-CN"/>
        </w:rPr>
        <w:t>源城</w:t>
      </w:r>
      <w:r>
        <w:rPr>
          <w:rFonts w:hint="eastAsia" w:ascii="宋体" w:hAnsi="宋体" w:eastAsia="方正仿宋_GBK" w:cs="方正仿宋_GBK"/>
          <w:color w:val="auto"/>
          <w:sz w:val="32"/>
          <w:szCs w:val="32"/>
        </w:rPr>
        <w:t>山区特点</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提前布局</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以“融深”“融湾”为牵引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以数据整合、应用集成和服务融合为目标</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深化“统一领导、上下衔接、运作高效、统筹有力、整体推进”的“全市一盘棋”的组织管理体系</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完善“集约共享、数据赋能”技术架构</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推进数据要素市场化配置改革试点工作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不断推进“一网通办”“一网统管”“一网协同”</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发挥河源区域优势</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开展河源数字政府改革建设。</w:t>
      </w: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为深入贯彻落实省市关于数字政府改革建设的决策部署</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加快推进河源市源城区数字政府改革建设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结合河源市数字政府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建设的相关要求和源城区实际</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制定本规划。</w:t>
      </w:r>
    </w:p>
    <w:p>
      <w:pPr>
        <w:pStyle w:val="2"/>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kern w:val="0"/>
          <w:sz w:val="32"/>
          <w:szCs w:val="32"/>
          <w:lang w:val="zh-CN"/>
        </w:rPr>
      </w:pPr>
      <w:r>
        <w:rPr>
          <w:rFonts w:hint="eastAsia" w:ascii="宋体" w:hAnsi="宋体" w:eastAsia="方正仿宋_GBK" w:cs="方正仿宋_GBK"/>
          <w:color w:val="auto"/>
          <w:sz w:val="32"/>
          <w:szCs w:val="32"/>
        </w:rPr>
        <w:br w:type="page"/>
      </w:r>
    </w:p>
    <w:p>
      <w:pPr>
        <w:pStyle w:val="3"/>
        <w:pageBreakBefore w:val="0"/>
        <w:widowControl w:val="0"/>
        <w:kinsoku/>
        <w:wordWrap/>
        <w:overflowPunct w:val="0"/>
        <w:topLinePunct w:val="0"/>
        <w:autoSpaceDE w:val="0"/>
        <w:autoSpaceDN w:val="0"/>
        <w:bidi w:val="0"/>
        <w:snapToGrid/>
        <w:spacing w:before="0" w:after="0" w:line="600" w:lineRule="exact"/>
        <w:ind w:left="0" w:leftChars="0" w:firstLine="640" w:firstLineChars="200"/>
        <w:jc w:val="both"/>
        <w:textAlignment w:val="auto"/>
        <w:rPr>
          <w:rFonts w:hint="eastAsia" w:ascii="宋体" w:hAnsi="宋体"/>
          <w:color w:val="auto"/>
        </w:rPr>
      </w:pPr>
      <w:bookmarkStart w:id="1" w:name="_Toc23207"/>
      <w:bookmarkStart w:id="2" w:name="_Toc13691"/>
      <w:r>
        <w:rPr>
          <w:rFonts w:hint="eastAsia" w:ascii="宋体" w:hAnsi="宋体"/>
          <w:color w:val="auto"/>
        </w:rPr>
        <w:t>规划概述</w:t>
      </w:r>
      <w:bookmarkEnd w:id="1"/>
      <w:bookmarkEnd w:id="2"/>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3" w:name="_Toc21324"/>
      <w:bookmarkStart w:id="4" w:name="_Toc32322"/>
      <w:r>
        <w:rPr>
          <w:rFonts w:hint="eastAsia" w:ascii="宋体" w:hAnsi="宋体"/>
          <w:color w:val="auto"/>
        </w:rPr>
        <w:t>规划背景</w:t>
      </w:r>
      <w:bookmarkEnd w:id="3"/>
      <w:bookmarkEnd w:id="4"/>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党的十九届五中全会提出“加强数字社会、数字政府建设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提升公共服务、社会治理等数字化智能化水平”</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表明“十四五”我国数字政府建设将进入新的发展阶段</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推进数字政府建设是适应新技术与经济社会深度融合的必然要求；是转变政府职能</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创新行政管理和服务方式</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提高行政效能</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建设人民满意的服务型政府的重要途径；是推动国家“数字蝶变”、加快网络强国、数字中国和智慧社会建设的基础性工程。</w:t>
      </w:r>
      <w:r>
        <w:rPr>
          <w:rFonts w:hint="eastAsia" w:ascii="宋体" w:hAnsi="宋体" w:eastAsia="方正仿宋_GBK" w:cs="方正仿宋_GBK"/>
          <w:color w:val="auto"/>
          <w:sz w:val="32"/>
          <w:szCs w:val="32"/>
          <w:lang w:val="en-US"/>
        </w:rPr>
        <w:t>2020年10月</w:t>
      </w:r>
      <w:r>
        <w:rPr>
          <w:rFonts w:hint="eastAsia" w:ascii="宋体" w:hAnsi="宋体" w:eastAsia="方正仿宋_GBK" w:cs="方正仿宋_GBK"/>
          <w:color w:val="auto"/>
          <w:sz w:val="32"/>
          <w:szCs w:val="32"/>
          <w:lang w:val="en-US" w:eastAsia="zh-CN"/>
        </w:rPr>
        <w:t>，</w:t>
      </w:r>
      <w:r>
        <w:rPr>
          <w:rFonts w:hint="eastAsia" w:ascii="宋体" w:hAnsi="宋体" w:eastAsia="方正仿宋_GBK" w:cs="方正仿宋_GBK"/>
          <w:color w:val="auto"/>
          <w:sz w:val="32"/>
          <w:szCs w:val="32"/>
        </w:rPr>
        <w:t>习近平</w:t>
      </w:r>
      <w:r>
        <w:rPr>
          <w:rFonts w:hint="eastAsia" w:ascii="宋体" w:hAnsi="宋体" w:eastAsia="方正仿宋_GBK" w:cs="方正仿宋_GBK"/>
          <w:color w:val="auto"/>
          <w:sz w:val="32"/>
          <w:szCs w:val="32"/>
          <w:lang w:val="en-US"/>
        </w:rPr>
        <w:t>总书记</w:t>
      </w:r>
      <w:r>
        <w:rPr>
          <w:rFonts w:hint="eastAsia" w:ascii="宋体" w:hAnsi="宋体" w:eastAsia="方正仿宋_GBK" w:cs="方正仿宋_GBK"/>
          <w:color w:val="auto"/>
          <w:sz w:val="32"/>
          <w:szCs w:val="32"/>
        </w:rPr>
        <w:t>在广东考察时强调</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要坚决贯彻党中央战略部署</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坚持新发展理念</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坚持高质量发展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进一步解放思想、大胆创新、真抓实干、奋发进取</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以更大魄力、在更高起点上推进改革开放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在推进粤港澳大湾区建设、推动更高水平对外开放、推动形成现代化经济体系、加强精神文明建设、抓好生态文明建设、保障和改善民生等方面展现新的更大作为</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努力在全面建设社会主义现代化国家新征程上走在全国前列、创造新的辉煌。</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近年来</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广东省持续推进简政放权、放管结合、优化服务</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不断提高政府效能</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开展一系列实践探索。省政府印发《广东数字政府改革建设方案》（粤府〔2017〕133号）《广东省数字政府建设总体规划（2018-2020年）》（粤府〔2018〕105号）</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率先在全国部署数字政府改革建设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指引广东省数字政府总体建设方向。目前广东省数字政府建设已经取得了显著</w:t>
      </w:r>
      <w:r>
        <w:rPr>
          <w:rFonts w:hint="eastAsia" w:ascii="宋体" w:hAnsi="宋体" w:eastAsia="方正仿宋_GBK" w:cs="方正仿宋_GBK"/>
          <w:color w:val="auto"/>
          <w:sz w:val="32"/>
          <w:szCs w:val="32"/>
          <w:lang w:val="en-US"/>
        </w:rPr>
        <w:t>成效</w:t>
      </w:r>
      <w:r>
        <w:rPr>
          <w:rFonts w:hint="eastAsia" w:ascii="宋体" w:hAnsi="宋体" w:eastAsia="方正仿宋_GBK" w:cs="方正仿宋_GBK"/>
          <w:color w:val="auto"/>
          <w:sz w:val="32"/>
          <w:szCs w:val="32"/>
          <w:lang w:val="en-US" w:eastAsia="zh-CN"/>
        </w:rPr>
        <w:t>，</w:t>
      </w:r>
      <w:r>
        <w:rPr>
          <w:rFonts w:hint="eastAsia" w:ascii="宋体" w:hAnsi="宋体" w:eastAsia="方正仿宋_GBK" w:cs="方正仿宋_GBK"/>
          <w:color w:val="auto"/>
          <w:sz w:val="32"/>
          <w:szCs w:val="32"/>
          <w:lang w:val="en-US"/>
        </w:rPr>
        <w:t>打造了数字政府“广东样本”</w:t>
      </w:r>
      <w:r>
        <w:rPr>
          <w:rFonts w:hint="eastAsia" w:ascii="宋体" w:hAnsi="宋体" w:eastAsia="方正仿宋_GBK" w:cs="方正仿宋_GBK"/>
          <w:color w:val="auto"/>
          <w:sz w:val="32"/>
          <w:szCs w:val="32"/>
          <w:lang w:val="en-US" w:eastAsia="zh-CN"/>
        </w:rPr>
        <w:t>，</w:t>
      </w:r>
      <w:r>
        <w:rPr>
          <w:rFonts w:hint="eastAsia" w:ascii="宋体" w:hAnsi="宋体" w:eastAsia="方正仿宋_GBK" w:cs="方正仿宋_GBK"/>
          <w:color w:val="auto"/>
          <w:sz w:val="32"/>
          <w:szCs w:val="32"/>
          <w:lang w:val="en-US"/>
        </w:rPr>
        <w:t>推出了“粤省事”、粤商通”、“粤政易”等粤系列移动服务平台等。</w:t>
      </w:r>
      <w:r>
        <w:rPr>
          <w:rFonts w:hint="eastAsia" w:ascii="宋体" w:hAnsi="宋体" w:eastAsia="方正仿宋_GBK" w:cs="方正仿宋_GBK"/>
          <w:color w:val="auto"/>
          <w:sz w:val="32"/>
          <w:szCs w:val="32"/>
        </w:rPr>
        <w:t>当前广东数字政府改革建设进入攻坚克难的新阶段</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rPr>
        <w:t>要</w:t>
      </w:r>
      <w:r>
        <w:rPr>
          <w:rFonts w:hint="eastAsia" w:ascii="宋体" w:hAnsi="宋体" w:eastAsia="方正仿宋_GBK" w:cs="方正仿宋_GBK"/>
          <w:color w:val="auto"/>
          <w:sz w:val="32"/>
          <w:szCs w:val="32"/>
        </w:rPr>
        <w:t>以扩大应用为导向加快推进数字政府建设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以粤系列平台型应用建设为重点全面打造广东政务服务品牌</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全力推动数字政府应用全覆盖</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在支撑疫情防控和服务经济社会发展中发挥出特有作用。</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当前</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政府治理正面临诸多挑战</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迫切需要以创新手段有效提升政府治理能力。随着信息化的深入发展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电子政务正由服务办公的支撑工具</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逐步成为促进重大改革措施贯彻实施、支撑重大问题决策研判、推动重点工作督查落实、提高服务人民群众水平的有效抓手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是政府平稳运转、高效履职、不断提升治理能力不可或缺的重要手段。然而</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随着物联网、云计算、移动互联网等新一代信息技术的涌现</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电子政务模式必然会随信息变革而升级换代。</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数字政府改革建设作为政府提升治理能力和高效履职的重要手段</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愈来愈凸显出其重要性。“十四五”期间</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源城区将以数字政府为引领</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通过政务信息化转型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着力构建“智慧源城”</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以充分释放大数据应用的巨大潜能</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助推法治政府、创新政府、廉洁政府和服务型政府建设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不断提升政府治理能力。</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在改革全面深化、信息经济蓬勃发展的背景下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源城数字政府改革建设发展的驱动力既来自于外部的影响</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也源于自身变革的需要。</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5" w:name="_Toc24793"/>
      <w:r>
        <w:rPr>
          <w:rFonts w:hint="eastAsia" w:ascii="宋体" w:hAnsi="宋体"/>
          <w:color w:val="auto"/>
        </w:rPr>
        <w:t>来自于科技进步的技术变革驱动力</w:t>
      </w:r>
      <w:bookmarkEnd w:id="5"/>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在“互联网+”时代</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信息技术和信息经济领域的持续、高速发展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为政务信息化发展提供了有效的技术支撑、人才储备和建设经验。当前</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大数据、云计算、物联网、人工智能等技术正引领新一轮科技创新</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技术变革所产生的驱动力促使政府利用“互联网+”的思维重新定义和定位“政务”</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推动数字政府改革建设向纵深发展。</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6" w:name="_Toc18882"/>
      <w:r>
        <w:rPr>
          <w:rFonts w:hint="eastAsia" w:ascii="宋体" w:hAnsi="宋体"/>
          <w:color w:val="auto"/>
        </w:rPr>
        <w:t>来自于全球化区域竞争的外部压力</w:t>
      </w:r>
      <w:bookmarkEnd w:id="6"/>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数字政府改革建设作为信息经济的公共服务基础和重要组成部分</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相当大程度上决定了地区的综合竞争力</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发达国家政府在社会治理中已积极运用新的互联网应用设施和工具来鼓励公民参与、互动、合作、创新。当前</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源城正面临千载难逢的发展机遇</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也迎来前所未有的区域竞争压力</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促使政府把自身发展放到全国、全世界的格局中去考量</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在数字政府改革建设技术水平、应用能力、服务质量等方面以先进城市为标杆。</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7" w:name="_Toc18090"/>
      <w:r>
        <w:rPr>
          <w:rFonts w:hint="eastAsia" w:ascii="宋体" w:hAnsi="宋体"/>
          <w:color w:val="auto"/>
        </w:rPr>
        <w:t>来自于政务管理复杂化的内部压力</w:t>
      </w:r>
      <w:bookmarkEnd w:id="7"/>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改革开放以来特别是党的十八大以来</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源城经济社会飞速发展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经济社会运行出现了高度网络化、数字化的重大变革</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行政管理的难度和复杂度与日俱增</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促使政府必须大力推进数字政府改革建设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以构建方便快捷、公平普惠、优质高效的政务服务体系</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优化政务管理环节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提升政府治理能力。</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8" w:name="_Toc11254"/>
      <w:r>
        <w:rPr>
          <w:rFonts w:hint="eastAsia" w:ascii="宋体" w:hAnsi="宋体"/>
          <w:color w:val="auto"/>
        </w:rPr>
        <w:t>来自于自我创新发展的驱动力</w:t>
      </w:r>
      <w:bookmarkEnd w:id="8"/>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源城一直倡导创新精神</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以激发创新意识、鼓励创新行为、提升创新能力。提高电子政务的信息化程度</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促进电子政务向智慧政务的转型升级</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努力实现一体化、协同化的管理</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扁平化、开放化的组织</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以及一站式、精细化的服务</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是数字政府改革建设实现自我创新发展的重要途径。</w:t>
      </w:r>
      <w:bookmarkStart w:id="9" w:name="_Toc24746"/>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10" w:name="_Toc52"/>
      <w:bookmarkStart w:id="11" w:name="_Toc7991"/>
      <w:r>
        <w:rPr>
          <w:rFonts w:hint="eastAsia" w:ascii="宋体" w:hAnsi="宋体"/>
          <w:color w:val="auto"/>
        </w:rPr>
        <w:t>规划范围</w:t>
      </w:r>
      <w:bookmarkEnd w:id="10"/>
      <w:bookmarkEnd w:id="11"/>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规划范围涵盖</w:t>
      </w:r>
      <w:r>
        <w:rPr>
          <w:rFonts w:hint="eastAsia" w:ascii="宋体" w:hAnsi="宋体" w:eastAsia="方正仿宋_GBK" w:cs="方正仿宋_GBK"/>
          <w:color w:val="auto"/>
          <w:sz w:val="32"/>
          <w:szCs w:val="32"/>
          <w:lang w:val="en-US"/>
        </w:rPr>
        <w:t>河源市源城区</w:t>
      </w:r>
      <w:r>
        <w:rPr>
          <w:rFonts w:hint="eastAsia" w:ascii="宋体" w:hAnsi="宋体" w:eastAsia="方正仿宋_GBK" w:cs="方正仿宋_GBK"/>
          <w:color w:val="auto"/>
          <w:sz w:val="32"/>
          <w:szCs w:val="32"/>
        </w:rPr>
        <w:t>行政辖区全域</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包括下辖上城街道、东埔街道、新江街道、源西街道、高埔岗街道、源南镇、埔前镇。规划重点内容涵盖落实推进治理“一网统管”、整合电子政务基础资源、推动电子政务大数据应用、提升政府的决策和管理水平、提升政府的公共服务能力、完善政务督察考评体系、完善安全体系、贯彻标准体系、完善基础支撑、智慧应用、保障措施等内容。</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12" w:name="_Toc30327"/>
      <w:bookmarkStart w:id="13" w:name="_Toc19424"/>
      <w:r>
        <w:rPr>
          <w:rFonts w:hint="eastAsia" w:ascii="宋体" w:hAnsi="宋体"/>
          <w:color w:val="auto"/>
        </w:rPr>
        <w:t>规划年限</w:t>
      </w:r>
      <w:bookmarkEnd w:id="12"/>
      <w:bookmarkEnd w:id="13"/>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本规划是河源市源城区数字政府改革</w:t>
      </w:r>
      <w:r>
        <w:rPr>
          <w:rFonts w:hint="eastAsia" w:ascii="宋体" w:hAnsi="宋体" w:eastAsia="方正仿宋_GBK" w:cs="方正仿宋_GBK"/>
          <w:color w:val="auto"/>
          <w:sz w:val="32"/>
          <w:szCs w:val="32"/>
          <w:lang w:val="en-US"/>
        </w:rPr>
        <w:t>建设</w:t>
      </w:r>
      <w:r>
        <w:rPr>
          <w:rFonts w:hint="eastAsia" w:ascii="宋体" w:hAnsi="宋体" w:eastAsia="方正仿宋_GBK" w:cs="方正仿宋_GBK"/>
          <w:color w:val="auto"/>
          <w:sz w:val="32"/>
          <w:szCs w:val="32"/>
        </w:rPr>
        <w:t>的指导性文件</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规划期为 20</w:t>
      </w:r>
      <w:r>
        <w:rPr>
          <w:rFonts w:hint="eastAsia" w:ascii="宋体" w:hAnsi="宋体" w:eastAsia="方正仿宋_GBK" w:cs="方正仿宋_GBK"/>
          <w:color w:val="auto"/>
          <w:sz w:val="32"/>
          <w:szCs w:val="32"/>
          <w:lang w:val="en-US"/>
        </w:rPr>
        <w:t>21</w:t>
      </w:r>
      <w:r>
        <w:rPr>
          <w:rFonts w:hint="eastAsia" w:ascii="宋体" w:hAnsi="宋体" w:eastAsia="方正仿宋_GBK" w:cs="方正仿宋_GBK"/>
          <w:color w:val="auto"/>
          <w:sz w:val="32"/>
          <w:szCs w:val="32"/>
        </w:rPr>
        <w:t>-202</w:t>
      </w:r>
      <w:r>
        <w:rPr>
          <w:rFonts w:hint="eastAsia" w:ascii="宋体" w:hAnsi="宋体" w:eastAsia="方正仿宋_GBK" w:cs="方正仿宋_GBK"/>
          <w:color w:val="auto"/>
          <w:sz w:val="32"/>
          <w:szCs w:val="32"/>
          <w:lang w:val="en-US"/>
        </w:rPr>
        <w:t>5</w:t>
      </w:r>
      <w:r>
        <w:rPr>
          <w:rFonts w:hint="eastAsia" w:ascii="宋体" w:hAnsi="宋体" w:eastAsia="方正仿宋_GBK" w:cs="方正仿宋_GBK"/>
          <w:color w:val="auto"/>
          <w:sz w:val="32"/>
          <w:szCs w:val="32"/>
        </w:rPr>
        <w:t>年。</w:t>
      </w:r>
      <w:bookmarkStart w:id="14" w:name="_Toc3747"/>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15" w:name="_Toc27869"/>
      <w:bookmarkStart w:id="16" w:name="_Toc20060"/>
      <w:r>
        <w:rPr>
          <w:rFonts w:hint="eastAsia" w:ascii="宋体" w:hAnsi="宋体"/>
          <w:color w:val="auto"/>
        </w:rPr>
        <w:t>规划依据</w:t>
      </w:r>
      <w:bookmarkEnd w:id="14"/>
      <w:bookmarkEnd w:id="15"/>
      <w:bookmarkEnd w:id="16"/>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《中华人民共和国国民经济和社会发展第十四个五年规划和2035年远景目标纲要》</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《国家信息化发展战略纲要》</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《中共中央关于深化党和国家机构改革的决定》</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《深化党和国家机构改革方案》</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《关于深入推进审批服务便民化的指导意见》</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《关于加强数字政府建设的指导意见》</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《关于推进基层整合审批服务执法力量的实施意见》</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《中共中央、国务院关于实施乡村振兴战略的意见》</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《乡村振兴战略规划（2018-2022年）》</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《国务院办公厅关于印发进一步深化 “互联网+政务服务”推进政务服务“一网、一门、一次”改革实施方案的通知》（国办发〔2018〕45 号）</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《国务院关于加快推进全国一体化在线政务服务平台建设的指导意见》（国发〔2018〕27 号）</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《国务院办公厅关于进一步优化地方政务服务便民热线的指导意见》（国办发〔2020〕53号）</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《国务院办公厅关于加快推进政务服务“跨省通办”的指导意见》（国办发〔2020〕35号）</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《中共广东省委关于制定广东省国民经济和社会发展第十四个五年规划和二〇三五年远景目标的建议》</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《广东省人民政府关于印发广东省数字政府改革建设“十四五”规划的通知》（粤府〔2021〕44号）</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《广东省人民政府办公厅关于印发广东数字政府改革建设工作推进方案的通知》（粤府办〔2018〕9号）</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《广东省人民政府关于印发广东省数字政府建设总体规划（2018-2020 年）》（粤府〔2018〕105 号）</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 xml:space="preserve">《广东省人民政府办公厅关于印发广东省数字政府建设总体规划（2018-2020 年）实施方案的通知》（粤府办〔2018〕48号） </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 xml:space="preserve">《广东省人民政府办公厅关于印发广东省数字政府改革建设2020年工作要点的通知》（粤办函〔2020〕20号） </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 xml:space="preserve">《广东省人民政府办公厅关于印发广东省数字政府网络安全体系建设总体规划（2019-2021 年）的通知》（粤办函〔2019〕93 号） </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 xml:space="preserve">《广东省人民政府办公厅关于印发广东省政务数据治理专项规划（2019-2020 年）的通知》（粤办函〔2019〕295 号） </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 xml:space="preserve">《河源市2021年政府工作报告》（2021 年2月） </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 xml:space="preserve">《河源市数字政府改革建设工作推进方案》（河府办〔2018〕49 号） </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《河源市人民政府办公室关于印发河源市市级政务信息化项目管理办法的通知》（河府办〔20</w:t>
      </w:r>
      <w:r>
        <w:rPr>
          <w:rFonts w:hint="eastAsia" w:ascii="宋体" w:hAnsi="宋体" w:eastAsia="方正仿宋_GBK" w:cs="方正仿宋_GBK"/>
          <w:color w:val="auto"/>
          <w:sz w:val="32"/>
          <w:szCs w:val="32"/>
          <w:lang w:val="en-US" w:eastAsia="zh-CN"/>
        </w:rPr>
        <w:t>21</w:t>
      </w: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val="en-US" w:eastAsia="zh-CN"/>
        </w:rPr>
        <w:t>30</w:t>
      </w:r>
      <w:r>
        <w:rPr>
          <w:rFonts w:hint="eastAsia" w:ascii="宋体" w:hAnsi="宋体" w:eastAsia="方正仿宋_GBK" w:cs="方正仿宋_GBK"/>
          <w:color w:val="auto"/>
          <w:sz w:val="32"/>
          <w:szCs w:val="32"/>
        </w:rPr>
        <w:t xml:space="preserve">号） </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 xml:space="preserve">《河源市人民政府办公室关于印发河源市数字政府改革建设2019年工作要点的通知》（河府办函〔2019〕37号） </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《河源市人民政府关于印发河源市全面开展工程建设项目审批制度改革实施方案的通知》（河府〔2019〕48号）</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《河源市人民政府办公室关于印发河源市压缩不动产登记办理时间实施方案的通知》（河府办〔2019〕42号）</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《关于加强数字政府建设的指导意见》（2022年4月19日中央全面深化改革委员会第二十五次会议审议通过）</w:t>
      </w:r>
    </w:p>
    <w:p>
      <w:pPr>
        <w:pStyle w:val="2"/>
        <w:pageBreakBefore w:val="0"/>
        <w:kinsoku/>
        <w:wordWrap/>
        <w:topLinePunct w:val="0"/>
        <w:bidi w:val="0"/>
        <w:snapToGrid/>
        <w:spacing w:line="600" w:lineRule="exact"/>
        <w:ind w:firstLine="480" w:firstLineChars="200"/>
        <w:textAlignment w:val="auto"/>
        <w:rPr>
          <w:rFonts w:hint="default" w:ascii="宋体" w:hAnsi="宋体" w:eastAsia="方正仿宋_GBK"/>
          <w:color w:val="auto"/>
          <w:lang w:val="en-US" w:eastAsia="zh-CN"/>
        </w:rPr>
      </w:pPr>
    </w:p>
    <w:p>
      <w:pPr>
        <w:pageBreakBefore w:val="0"/>
        <w:numPr>
          <w:ilvl w:val="0"/>
          <w:numId w:val="9"/>
        </w:numPr>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br w:type="page"/>
      </w:r>
    </w:p>
    <w:p>
      <w:pPr>
        <w:pStyle w:val="3"/>
        <w:pageBreakBefore w:val="0"/>
        <w:widowControl w:val="0"/>
        <w:kinsoku/>
        <w:wordWrap/>
        <w:overflowPunct w:val="0"/>
        <w:topLinePunct w:val="0"/>
        <w:autoSpaceDE w:val="0"/>
        <w:autoSpaceDN w:val="0"/>
        <w:bidi w:val="0"/>
        <w:snapToGrid/>
        <w:spacing w:before="0" w:after="0" w:line="600" w:lineRule="exact"/>
        <w:ind w:left="0" w:leftChars="0" w:firstLine="640" w:firstLineChars="200"/>
        <w:jc w:val="both"/>
        <w:textAlignment w:val="auto"/>
        <w:rPr>
          <w:rFonts w:hint="eastAsia" w:ascii="宋体" w:hAnsi="宋体"/>
          <w:color w:val="auto"/>
        </w:rPr>
      </w:pPr>
      <w:bookmarkStart w:id="17" w:name="_Toc7092"/>
      <w:bookmarkStart w:id="18" w:name="_Toc19540"/>
      <w:r>
        <w:rPr>
          <w:rFonts w:hint="eastAsia" w:ascii="宋体" w:hAnsi="宋体"/>
          <w:color w:val="auto"/>
        </w:rPr>
        <w:t>发展现状</w:t>
      </w:r>
      <w:bookmarkEnd w:id="9"/>
      <w:bookmarkEnd w:id="17"/>
      <w:bookmarkEnd w:id="18"/>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19" w:name="_Toc16496"/>
      <w:bookmarkStart w:id="20" w:name="_Toc15192"/>
      <w:bookmarkStart w:id="21" w:name="_Toc10948"/>
      <w:r>
        <w:rPr>
          <w:rFonts w:hint="eastAsia" w:ascii="宋体" w:hAnsi="宋体"/>
          <w:color w:val="auto"/>
        </w:rPr>
        <w:t>源城区政务信息化“十三五”建设成就</w:t>
      </w:r>
      <w:bookmarkEnd w:id="19"/>
      <w:bookmarkEnd w:id="20"/>
      <w:bookmarkEnd w:id="21"/>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rPr>
        <w:t>“十三五”以来</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在区委、区政府的正确领导下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源城区大力支持数字政府改革建设工作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进一步深化简政放权、放管结合、优化服务改革</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稳步推进经济社会各领域政务信息化建设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全区政务信息化整体水平得到了较大的提升。</w:t>
      </w:r>
      <w:r>
        <w:rPr>
          <w:rFonts w:hint="eastAsia" w:ascii="宋体" w:hAnsi="宋体" w:eastAsia="方正仿宋_GBK" w:cs="方正仿宋_GBK"/>
          <w:color w:val="auto"/>
          <w:sz w:val="32"/>
          <w:szCs w:val="32"/>
          <w:shd w:val="clear" w:color="auto" w:fill="FFFFFF"/>
        </w:rPr>
        <w:t>目前</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全区统一的电子政务网络规范、高效运行</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政务数据资源目录体系和交换体系初步建成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业务协同能力稳步提升；广东政务服务网应用成效不断提升</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对各类政府服务进行充分整合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建成了一站式服务的总窗口；配合省、市做好人口、法人、社会信用信息、自然资源和空间地理信息等基础数据库</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各类专业数据库建设有序推进；电子政务云平台、电子政务外网、政务信息共享平台、广东政务服务网源城站点基本建成。全区各级各部门主要业务系统信息化覆盖率、协同办公系统普及率、政府门户网站服务绩效等指标不断提升。</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22" w:name="_Toc30139"/>
      <w:r>
        <w:rPr>
          <w:rFonts w:hint="eastAsia" w:ascii="宋体" w:hAnsi="宋体"/>
          <w:color w:val="auto"/>
        </w:rPr>
        <w:t>基础设施稳步建设</w:t>
      </w:r>
      <w:r>
        <w:rPr>
          <w:rFonts w:hint="eastAsia" w:ascii="宋体" w:hAnsi="宋体"/>
          <w:color w:val="auto"/>
          <w:lang w:eastAsia="zh-CN"/>
        </w:rPr>
        <w:t>，</w:t>
      </w:r>
      <w:r>
        <w:rPr>
          <w:rFonts w:hint="eastAsia" w:ascii="宋体" w:hAnsi="宋体"/>
          <w:color w:val="auto"/>
        </w:rPr>
        <w:t>集约建设初见成效</w:t>
      </w:r>
      <w:bookmarkEnd w:id="22"/>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高标准建设了源城区电子政务云平台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为政务公开、协同办公、村居治理、财政管理、社会治理等方面工作提供有力支撑。</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十三五”期间</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lang w:val="en-US" w:eastAsia="zh-CN"/>
        </w:rPr>
        <w:t>共有7</w:t>
      </w:r>
      <w:r>
        <w:rPr>
          <w:rFonts w:hint="eastAsia" w:ascii="宋体" w:hAnsi="宋体" w:eastAsia="方正仿宋_GBK" w:cs="方正仿宋_GBK"/>
          <w:color w:val="auto"/>
          <w:sz w:val="32"/>
          <w:szCs w:val="32"/>
          <w:shd w:val="clear" w:color="auto" w:fill="FFFFFF"/>
        </w:rPr>
        <w:t>个部门</w:t>
      </w:r>
      <w:r>
        <w:rPr>
          <w:rFonts w:hint="eastAsia" w:ascii="宋体" w:hAnsi="宋体" w:eastAsia="方正仿宋_GBK" w:cs="方正仿宋_GBK"/>
          <w:color w:val="auto"/>
          <w:sz w:val="32"/>
          <w:szCs w:val="32"/>
          <w:shd w:val="clear" w:color="auto" w:fill="FFFFFF"/>
          <w:lang w:val="en-US" w:eastAsia="zh-CN"/>
        </w:rPr>
        <w:t>7</w:t>
      </w:r>
      <w:r>
        <w:rPr>
          <w:rFonts w:hint="eastAsia" w:ascii="宋体" w:hAnsi="宋体" w:eastAsia="方正仿宋_GBK" w:cs="方正仿宋_GBK"/>
          <w:color w:val="auto"/>
          <w:sz w:val="32"/>
          <w:szCs w:val="32"/>
          <w:shd w:val="clear" w:color="auto" w:fill="FFFFFF"/>
        </w:rPr>
        <w:t>个系统（源城区协同办公系统、源城区数字档案馆、</w:t>
      </w:r>
      <w:r>
        <w:rPr>
          <w:rFonts w:hint="eastAsia" w:ascii="宋体" w:hAnsi="宋体" w:eastAsia="方正仿宋_GBK" w:cs="方正仿宋_GBK"/>
          <w:color w:val="auto"/>
          <w:sz w:val="32"/>
          <w:szCs w:val="32"/>
          <w:shd w:val="clear" w:color="auto" w:fill="FFFFFF"/>
          <w:lang w:val="en-US" w:eastAsia="zh-CN"/>
        </w:rPr>
        <w:t>源城区智慧物业服务平台、源城区</w:t>
      </w:r>
      <w:r>
        <w:rPr>
          <w:rFonts w:hint="eastAsia" w:ascii="宋体" w:hAnsi="宋体" w:eastAsia="方正仿宋_GBK" w:cs="方正仿宋_GBK"/>
          <w:color w:val="auto"/>
          <w:sz w:val="32"/>
          <w:szCs w:val="32"/>
          <w:shd w:val="clear" w:color="auto" w:fill="FFFFFF"/>
        </w:rPr>
        <w:t>村居治理信息系统、源城区政务信息资源共享平台、</w:t>
      </w:r>
      <w:r>
        <w:rPr>
          <w:rFonts w:hint="eastAsia" w:ascii="宋体" w:hAnsi="宋体" w:eastAsia="方正仿宋_GBK" w:cs="方正仿宋_GBK"/>
          <w:color w:val="auto"/>
          <w:sz w:val="32"/>
          <w:szCs w:val="32"/>
          <w:shd w:val="clear" w:color="auto" w:fill="FFFFFF"/>
          <w:lang w:val="en-US" w:eastAsia="zh-CN"/>
        </w:rPr>
        <w:t>区人社局</w:t>
      </w:r>
      <w:r>
        <w:rPr>
          <w:rFonts w:hint="eastAsia" w:ascii="宋体" w:hAnsi="宋体" w:eastAsia="方正仿宋_GBK" w:cs="方正仿宋_GBK"/>
          <w:color w:val="auto"/>
          <w:sz w:val="32"/>
          <w:szCs w:val="32"/>
          <w:shd w:val="clear" w:color="auto" w:fill="FFFFFF"/>
        </w:rPr>
        <w:t>源城区</w:t>
      </w:r>
      <w:r>
        <w:rPr>
          <w:rFonts w:hint="eastAsia" w:ascii="宋体" w:hAnsi="宋体" w:eastAsia="方正仿宋_GBK" w:cs="方正仿宋_GBK"/>
          <w:color w:val="auto"/>
          <w:sz w:val="32"/>
          <w:szCs w:val="32"/>
          <w:shd w:val="clear" w:color="auto" w:fill="FFFFFF"/>
          <w:lang w:val="en-US" w:eastAsia="zh-CN"/>
        </w:rPr>
        <w:t>政务信息管理系统、</w:t>
      </w:r>
      <w:r>
        <w:rPr>
          <w:rFonts w:hint="eastAsia" w:ascii="宋体" w:hAnsi="宋体" w:eastAsia="方正仿宋_GBK" w:cs="方正仿宋_GBK"/>
          <w:color w:val="auto"/>
          <w:sz w:val="32"/>
          <w:szCs w:val="32"/>
          <w:shd w:val="clear" w:color="auto" w:fill="FFFFFF"/>
        </w:rPr>
        <w:t>高埔岗智慧党建云平台）部署在源城区电子政务云平台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制定了各业务系统接管和迁移上云计划</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按照“轻重缓急”原则分批分阶段开展系统的接管和迁移上云工作。升级改造电子政务外网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实现区、镇（街道）、村（社区）三级全覆盖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骨干网络升级为千兆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全区出口总带宽达到20G</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推动区电子政务网络的延伸和统一运行管理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逐步推进各单位各领域业务专网整合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为政府各部门提供稳定、安全、可靠的网络环境。</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23" w:name="_Toc21523"/>
      <w:r>
        <w:rPr>
          <w:rFonts w:hint="eastAsia" w:ascii="宋体" w:hAnsi="宋体"/>
          <w:color w:val="auto"/>
        </w:rPr>
        <w:t>办公系统全面推广</w:t>
      </w:r>
      <w:r>
        <w:rPr>
          <w:rFonts w:hint="eastAsia" w:ascii="宋体" w:hAnsi="宋体"/>
          <w:color w:val="auto"/>
          <w:lang w:eastAsia="zh-CN"/>
        </w:rPr>
        <w:t>，</w:t>
      </w:r>
      <w:r>
        <w:rPr>
          <w:rFonts w:hint="eastAsia" w:ascii="宋体" w:hAnsi="宋体"/>
          <w:color w:val="auto"/>
        </w:rPr>
        <w:t>工作效率显著提高</w:t>
      </w:r>
      <w:bookmarkEnd w:id="23"/>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源城区协同办公系统已实现全区各级各部门全覆盖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具备公文管理、通知公告、公务邮箱、通讯录、短信中心等功能</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可根据各部门实际需求定制部门公文审批流程。目前</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已制定全区公文审批通用流程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并多次开展协同办公系统培训工作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全区各镇（街道）、企事业单位逐步实现公文交换、公文审批全流程无纸化办公</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基本达到节约资源、绿色办公的目标。</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24" w:name="_Toc17476"/>
      <w:r>
        <w:rPr>
          <w:rFonts w:hint="eastAsia" w:ascii="宋体" w:hAnsi="宋体"/>
          <w:color w:val="auto"/>
        </w:rPr>
        <w:t>“线上线下”深化融合</w:t>
      </w:r>
      <w:r>
        <w:rPr>
          <w:rFonts w:hint="eastAsia" w:ascii="宋体" w:hAnsi="宋体"/>
          <w:color w:val="auto"/>
          <w:lang w:eastAsia="zh-CN"/>
        </w:rPr>
        <w:t>，</w:t>
      </w:r>
      <w:r>
        <w:rPr>
          <w:rFonts w:hint="eastAsia" w:ascii="宋体" w:hAnsi="宋体"/>
          <w:color w:val="auto"/>
        </w:rPr>
        <w:t>服务能力持续提升</w:t>
      </w:r>
      <w:bookmarkEnd w:id="24"/>
    </w:p>
    <w:p>
      <w:pPr>
        <w:keepNext w:val="0"/>
        <w:keepLines w:val="0"/>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秉承“便民、贴心、高效”的服务宗旨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以政务服务能力提升改革建设试点为契机</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大力推广综合窗口创新服务模式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整合缩减各部门专业窗口。</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十三五”期间</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shd w:val="clear" w:color="auto" w:fill="FFFFFF"/>
          <w:lang w:val="en-US" w:eastAsia="zh-CN"/>
        </w:rPr>
        <w:t>共有</w:t>
      </w:r>
      <w:r>
        <w:rPr>
          <w:rFonts w:hint="eastAsia" w:ascii="宋体" w:hAnsi="宋体" w:eastAsia="方正仿宋_GBK" w:cs="方正仿宋_GBK"/>
          <w:color w:val="auto"/>
          <w:sz w:val="32"/>
          <w:szCs w:val="32"/>
          <w:highlight w:val="none"/>
          <w:shd w:val="clear" w:color="auto" w:fill="FFFFFF"/>
        </w:rPr>
        <w:t>33个区级部门进驻</w:t>
      </w:r>
      <w:r>
        <w:rPr>
          <w:rFonts w:hint="eastAsia" w:ascii="宋体" w:hAnsi="宋体" w:eastAsia="方正仿宋_GBK" w:cs="方正仿宋_GBK"/>
          <w:color w:val="auto"/>
          <w:sz w:val="32"/>
          <w:szCs w:val="32"/>
          <w:highlight w:val="none"/>
          <w:shd w:val="clear" w:color="auto" w:fill="FFFFFF"/>
          <w:lang w:val="en-US" w:eastAsia="zh-CN"/>
        </w:rPr>
        <w:t>广东</w:t>
      </w:r>
      <w:r>
        <w:rPr>
          <w:rFonts w:hint="eastAsia" w:ascii="宋体" w:hAnsi="宋体" w:eastAsia="方正仿宋_GBK" w:cs="方正仿宋_GBK"/>
          <w:color w:val="auto"/>
          <w:sz w:val="32"/>
          <w:szCs w:val="32"/>
          <w:highlight w:val="none"/>
          <w:shd w:val="clear" w:color="auto" w:fill="FFFFFF"/>
        </w:rPr>
        <w:t>政</w:t>
      </w:r>
      <w:r>
        <w:rPr>
          <w:rFonts w:hint="eastAsia" w:ascii="宋体" w:hAnsi="宋体" w:eastAsia="方正仿宋_GBK" w:cs="方正仿宋_GBK"/>
          <w:color w:val="auto"/>
          <w:sz w:val="32"/>
          <w:szCs w:val="32"/>
          <w:highlight w:val="none"/>
          <w:shd w:val="clear" w:color="auto" w:fill="FFFFFF"/>
          <w:lang w:val="en-US" w:eastAsia="zh-CN"/>
        </w:rPr>
        <w:t>务服</w:t>
      </w:r>
      <w:r>
        <w:rPr>
          <w:rFonts w:hint="eastAsia" w:ascii="宋体" w:hAnsi="宋体" w:eastAsia="方正仿宋_GBK" w:cs="方正仿宋_GBK"/>
          <w:color w:val="auto"/>
          <w:sz w:val="32"/>
          <w:szCs w:val="32"/>
          <w:highlight w:val="none"/>
          <w:shd w:val="clear" w:color="auto" w:fill="FFFFFF"/>
        </w:rPr>
        <w:t>务网</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依申请</w:t>
      </w:r>
      <w:r>
        <w:rPr>
          <w:rFonts w:hint="eastAsia" w:ascii="宋体" w:hAnsi="宋体" w:eastAsia="方正仿宋_GBK" w:cs="方正仿宋_GBK"/>
          <w:color w:val="auto"/>
          <w:sz w:val="32"/>
          <w:szCs w:val="32"/>
          <w:highlight w:val="none"/>
          <w:shd w:val="clear" w:color="auto" w:fill="FFFFFF"/>
          <w:lang w:val="en-US" w:eastAsia="zh-CN"/>
        </w:rPr>
        <w:t>类政务服务</w:t>
      </w:r>
      <w:r>
        <w:rPr>
          <w:rFonts w:hint="eastAsia" w:ascii="宋体" w:hAnsi="宋体" w:eastAsia="方正仿宋_GBK" w:cs="方正仿宋_GBK"/>
          <w:color w:val="auto"/>
          <w:sz w:val="32"/>
          <w:szCs w:val="32"/>
          <w:highlight w:val="none"/>
          <w:shd w:val="clear" w:color="auto" w:fill="FFFFFF"/>
        </w:rPr>
        <w:t>事项1179项</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可网上办理</w:t>
      </w:r>
      <w:r>
        <w:rPr>
          <w:rFonts w:hint="eastAsia" w:ascii="宋体" w:hAnsi="宋体" w:eastAsia="方正仿宋_GBK" w:cs="方正仿宋_GBK"/>
          <w:color w:val="auto"/>
          <w:sz w:val="32"/>
          <w:szCs w:val="32"/>
          <w:highlight w:val="none"/>
          <w:shd w:val="clear" w:color="auto" w:fill="FFFFFF"/>
          <w:lang w:val="en-US" w:eastAsia="zh-CN"/>
        </w:rPr>
        <w:t>政务服务</w:t>
      </w:r>
      <w:r>
        <w:rPr>
          <w:rFonts w:hint="eastAsia" w:ascii="宋体" w:hAnsi="宋体" w:eastAsia="方正仿宋_GBK" w:cs="方正仿宋_GBK"/>
          <w:color w:val="auto"/>
          <w:sz w:val="32"/>
          <w:szCs w:val="32"/>
          <w:highlight w:val="none"/>
          <w:shd w:val="clear" w:color="auto" w:fill="FFFFFF"/>
        </w:rPr>
        <w:t>事项907项</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“一网通办率”达74.63%</w:t>
      </w:r>
      <w:r>
        <w:rPr>
          <w:rFonts w:hint="eastAsia" w:ascii="宋体" w:hAnsi="宋体" w:eastAsia="方正仿宋_GBK" w:cs="方正仿宋_GBK"/>
          <w:color w:val="auto"/>
          <w:sz w:val="32"/>
          <w:szCs w:val="32"/>
          <w:highlight w:val="none"/>
          <w:shd w:val="clear" w:color="auto" w:fill="FFFFFF"/>
          <w:lang w:val="en-US" w:eastAsia="zh-CN"/>
        </w:rPr>
        <w:t>；</w:t>
      </w:r>
      <w:r>
        <w:rPr>
          <w:rFonts w:hint="eastAsia" w:ascii="宋体" w:hAnsi="宋体" w:eastAsia="方正仿宋_GBK" w:cs="方正仿宋_GBK"/>
          <w:color w:val="auto"/>
          <w:sz w:val="32"/>
          <w:szCs w:val="32"/>
          <w:highlight w:val="none"/>
          <w:shd w:val="clear" w:color="auto" w:fill="FFFFFF"/>
        </w:rPr>
        <w:t>行政许可事项451项</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网上可办率达100%</w:t>
      </w:r>
      <w:r>
        <w:rPr>
          <w:rFonts w:hint="eastAsia" w:ascii="宋体" w:hAnsi="宋体" w:eastAsia="方正仿宋_GBK" w:cs="方正仿宋_GBK"/>
          <w:color w:val="auto"/>
          <w:sz w:val="32"/>
          <w:szCs w:val="32"/>
          <w:highlight w:val="none"/>
          <w:shd w:val="clear" w:color="auto" w:fill="FFFFFF"/>
          <w:lang w:val="en-US" w:eastAsia="zh-CN"/>
        </w:rPr>
        <w:t>；</w:t>
      </w:r>
      <w:r>
        <w:rPr>
          <w:rFonts w:hint="eastAsia" w:ascii="宋体" w:hAnsi="宋体" w:eastAsia="方正仿宋_GBK" w:cs="方正仿宋_GBK"/>
          <w:color w:val="auto"/>
          <w:sz w:val="32"/>
          <w:szCs w:val="32"/>
          <w:highlight w:val="none"/>
          <w:shd w:val="clear" w:color="auto" w:fill="FFFFFF"/>
        </w:rPr>
        <w:t>最多跑一次事项1240</w:t>
      </w:r>
      <w:r>
        <w:rPr>
          <w:rFonts w:hint="eastAsia" w:ascii="宋体" w:hAnsi="宋体" w:eastAsia="方正仿宋_GBK" w:cs="方正仿宋_GBK"/>
          <w:color w:val="auto"/>
          <w:sz w:val="32"/>
          <w:szCs w:val="32"/>
          <w:highlight w:val="none"/>
          <w:shd w:val="clear" w:color="auto" w:fill="FFFFFF"/>
          <w:lang w:val="en-US" w:eastAsia="zh-CN"/>
        </w:rPr>
        <w:t>项</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shd w:val="clear" w:color="auto" w:fill="FFFFFF"/>
        </w:rPr>
        <w:t>比率达到91.72%</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深化工程建设项目审批改革</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lang w:val="en-US" w:eastAsia="zh-CN"/>
        </w:rPr>
        <w:t>可办</w:t>
      </w:r>
      <w:r>
        <w:rPr>
          <w:rFonts w:hint="eastAsia" w:ascii="宋体" w:hAnsi="宋体" w:eastAsia="方正仿宋_GBK" w:cs="方正仿宋_GBK"/>
          <w:color w:val="auto"/>
          <w:sz w:val="32"/>
          <w:szCs w:val="32"/>
        </w:rPr>
        <w:t>项目从原来的串联审批转为并联审批，政府投资类项目全流程审批时限从</w:t>
      </w:r>
      <w:r>
        <w:rPr>
          <w:rFonts w:ascii="宋体" w:hAnsi="宋体" w:eastAsia="方正仿宋_GBK" w:cs="方正仿宋_GBK"/>
          <w:color w:val="auto"/>
          <w:sz w:val="32"/>
          <w:szCs w:val="32"/>
        </w:rPr>
        <w:t>282</w:t>
      </w:r>
      <w:r>
        <w:rPr>
          <w:rFonts w:hint="eastAsia" w:ascii="宋体" w:hAnsi="宋体" w:eastAsia="方正仿宋_GBK" w:cs="方正仿宋_GBK"/>
          <w:color w:val="auto"/>
          <w:sz w:val="32"/>
          <w:szCs w:val="32"/>
        </w:rPr>
        <w:t>个工作日压缩至</w:t>
      </w:r>
      <w:r>
        <w:rPr>
          <w:rFonts w:ascii="宋体" w:hAnsi="宋体" w:eastAsia="方正仿宋_GBK" w:cs="方正仿宋_GBK"/>
          <w:color w:val="auto"/>
          <w:sz w:val="32"/>
          <w:szCs w:val="32"/>
        </w:rPr>
        <w:t>90</w:t>
      </w:r>
      <w:r>
        <w:rPr>
          <w:rFonts w:hint="eastAsia" w:ascii="宋体" w:hAnsi="宋体" w:eastAsia="方正仿宋_GBK" w:cs="方正仿宋_GBK"/>
          <w:color w:val="auto"/>
          <w:sz w:val="32"/>
          <w:szCs w:val="32"/>
        </w:rPr>
        <w:t>个工作日，社会投资类项目全流程审批时限从</w:t>
      </w:r>
      <w:r>
        <w:rPr>
          <w:rFonts w:ascii="宋体" w:hAnsi="宋体" w:eastAsia="方正仿宋_GBK" w:cs="方正仿宋_GBK"/>
          <w:color w:val="auto"/>
          <w:sz w:val="32"/>
          <w:szCs w:val="32"/>
        </w:rPr>
        <w:t>189</w:t>
      </w:r>
      <w:r>
        <w:rPr>
          <w:rFonts w:hint="eastAsia" w:ascii="宋体" w:hAnsi="宋体" w:eastAsia="方正仿宋_GBK" w:cs="方正仿宋_GBK"/>
          <w:color w:val="auto"/>
          <w:sz w:val="32"/>
          <w:szCs w:val="32"/>
        </w:rPr>
        <w:t>个工作日压缩至</w:t>
      </w:r>
      <w:r>
        <w:rPr>
          <w:rFonts w:ascii="宋体" w:hAnsi="宋体" w:eastAsia="方正仿宋_GBK" w:cs="方正仿宋_GBK"/>
          <w:color w:val="auto"/>
          <w:sz w:val="32"/>
          <w:szCs w:val="32"/>
        </w:rPr>
        <w:t>50</w:t>
      </w:r>
      <w:r>
        <w:rPr>
          <w:rFonts w:hint="eastAsia" w:ascii="宋体" w:hAnsi="宋体" w:eastAsia="方正仿宋_GBK" w:cs="方正仿宋_GBK"/>
          <w:color w:val="auto"/>
          <w:sz w:val="32"/>
          <w:szCs w:val="32"/>
        </w:rPr>
        <w:t>个工作日，</w:t>
      </w:r>
      <w:r>
        <w:rPr>
          <w:rFonts w:hint="eastAsia" w:ascii="宋体" w:hAnsi="宋体" w:eastAsia="方正仿宋_GBK" w:cs="方正仿宋_GBK"/>
          <w:color w:val="auto"/>
          <w:sz w:val="32"/>
          <w:szCs w:val="32"/>
          <w:shd w:val="clear" w:color="auto" w:fill="FFFFFF"/>
        </w:rPr>
        <w:t>群众企业办事更省心</w:t>
      </w:r>
      <w:r>
        <w:rPr>
          <w:rFonts w:hint="eastAsia" w:ascii="宋体" w:hAnsi="宋体" w:eastAsia="方正仿宋_GBK" w:cs="方正仿宋_GBK"/>
          <w:color w:val="auto"/>
          <w:sz w:val="32"/>
          <w:szCs w:val="32"/>
        </w:rPr>
        <w:t>、更顺心、更贴心</w:t>
      </w:r>
      <w:r>
        <w:rPr>
          <w:rFonts w:hint="eastAsia" w:ascii="宋体" w:hAnsi="宋体" w:eastAsia="方正仿宋_GBK" w:cs="方正仿宋_GBK"/>
          <w:color w:val="auto"/>
          <w:sz w:val="32"/>
          <w:szCs w:val="32"/>
          <w:shd w:val="clear" w:color="auto" w:fill="FFFFFF"/>
        </w:rPr>
        <w:t>。积极推行“网上办”</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通过电子证照、电子印章等手段</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结合网上申请、网上审批、在线支付、快递寄送、24小时自助政务服务、“中午不停歇”等模式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努力实现“线上线下”相融合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为民服务不断档。“十三五”期间</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累计受理业务</w:t>
      </w:r>
      <w:r>
        <w:rPr>
          <w:rFonts w:hint="eastAsia" w:ascii="宋体" w:hAnsi="宋体" w:eastAsia="方正仿宋_GBK" w:cs="方正仿宋_GBK"/>
          <w:color w:val="auto"/>
          <w:sz w:val="32"/>
          <w:szCs w:val="32"/>
          <w:shd w:val="clear" w:color="auto" w:fill="FFFFFF"/>
          <w:lang w:val="en-US" w:eastAsia="zh-CN"/>
        </w:rPr>
        <w:t>375926</w:t>
      </w:r>
      <w:r>
        <w:rPr>
          <w:rFonts w:hint="eastAsia" w:ascii="宋体" w:hAnsi="宋体" w:eastAsia="方正仿宋_GBK" w:cs="方正仿宋_GBK"/>
          <w:color w:val="auto"/>
          <w:sz w:val="32"/>
          <w:szCs w:val="32"/>
          <w:shd w:val="clear" w:color="auto" w:fill="FFFFFF"/>
        </w:rPr>
        <w:t>宗，办结</w:t>
      </w:r>
      <w:r>
        <w:rPr>
          <w:rFonts w:hint="eastAsia" w:ascii="宋体" w:hAnsi="宋体" w:eastAsia="方正仿宋_GBK" w:cs="方正仿宋_GBK"/>
          <w:color w:val="auto"/>
          <w:sz w:val="32"/>
          <w:szCs w:val="32"/>
          <w:shd w:val="clear" w:color="auto" w:fill="FFFFFF"/>
          <w:lang w:val="en-US" w:eastAsia="zh-CN"/>
        </w:rPr>
        <w:t>375064</w:t>
      </w:r>
      <w:r>
        <w:rPr>
          <w:rFonts w:hint="eastAsia" w:ascii="宋体" w:hAnsi="宋体" w:eastAsia="方正仿宋_GBK" w:cs="方正仿宋_GBK"/>
          <w:color w:val="auto"/>
          <w:sz w:val="32"/>
          <w:szCs w:val="32"/>
          <w:shd w:val="clear" w:color="auto" w:fill="FFFFFF"/>
        </w:rPr>
        <w:t>宗</w:t>
      </w:r>
      <w:r>
        <w:rPr>
          <w:rFonts w:ascii="宋体" w:hAnsi="宋体"/>
          <w:color w:val="auto"/>
          <w:sz w:val="32"/>
          <w:szCs w:val="32"/>
          <w:shd w:val="clear" w:color="auto" w:fill="FFFFFF"/>
        </w:rPr>
        <w:t>。</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25" w:name="_Toc14137"/>
      <w:r>
        <w:rPr>
          <w:rFonts w:hint="eastAsia" w:ascii="宋体" w:hAnsi="宋体"/>
          <w:color w:val="auto"/>
        </w:rPr>
        <w:t>政务资源有机整合</w:t>
      </w:r>
      <w:r>
        <w:rPr>
          <w:rFonts w:hint="eastAsia" w:ascii="宋体" w:hAnsi="宋体"/>
          <w:color w:val="auto"/>
          <w:lang w:eastAsia="zh-CN"/>
        </w:rPr>
        <w:t>，</w:t>
      </w:r>
      <w:r>
        <w:rPr>
          <w:rFonts w:hint="eastAsia" w:ascii="宋体" w:hAnsi="宋体"/>
          <w:color w:val="auto"/>
        </w:rPr>
        <w:t>共享力度不断强化</w:t>
      </w:r>
      <w:bookmarkEnd w:id="25"/>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根据省市共享平台建设的总体部署</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依托省、市两级整合共享的工作基础</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按照省市区一体化的规划和设想</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充分利用省政务大数据门户中心、政务数据资源共享平台开展区级政务信息系统整合共享工作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通过完善政务信息系统资源区级部分梳理和目录编制</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实现统一管理。源城区信息共享平台归集各类政务数据约42213条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配合区发改局加快建设全区统一的公共信用信息归集工作。</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lang w:val="en-US" w:eastAsia="zh-CN"/>
        </w:rPr>
        <w:t>十三五”期间</w:t>
      </w:r>
      <w:r>
        <w:rPr>
          <w:rFonts w:hint="eastAsia" w:ascii="宋体" w:hAnsi="宋体" w:eastAsia="方正仿宋_GBK" w:cs="方正仿宋_GBK"/>
          <w:color w:val="auto"/>
          <w:sz w:val="32"/>
          <w:szCs w:val="32"/>
          <w:shd w:val="clear" w:color="auto" w:fill="FFFFFF"/>
          <w:lang w:val="en-US" w:eastAsia="zh-CN"/>
        </w:rPr>
        <w:t>，共</w:t>
      </w:r>
      <w:r>
        <w:rPr>
          <w:rFonts w:hint="eastAsia" w:ascii="宋体" w:hAnsi="宋体" w:eastAsia="方正仿宋_GBK" w:cs="方正仿宋_GBK"/>
          <w:color w:val="auto"/>
          <w:sz w:val="32"/>
          <w:szCs w:val="32"/>
          <w:shd w:val="clear" w:color="auto" w:fill="FFFFFF"/>
        </w:rPr>
        <w:t>编制了25个部门的333条政务数据资源目录</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为我区开展政务数据资源共享奠定基础。</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26" w:name="_Toc9260"/>
      <w:r>
        <w:rPr>
          <w:rFonts w:hint="eastAsia" w:ascii="宋体" w:hAnsi="宋体"/>
          <w:color w:val="auto"/>
        </w:rPr>
        <w:t>论证评审严格把关</w:t>
      </w:r>
      <w:r>
        <w:rPr>
          <w:rFonts w:hint="eastAsia" w:ascii="宋体" w:hAnsi="宋体"/>
          <w:color w:val="auto"/>
          <w:lang w:eastAsia="zh-CN"/>
        </w:rPr>
        <w:t>，</w:t>
      </w:r>
      <w:r>
        <w:rPr>
          <w:rFonts w:hint="eastAsia" w:ascii="宋体" w:hAnsi="宋体"/>
          <w:color w:val="auto"/>
        </w:rPr>
        <w:t>信息化项目建设质量有效加强</w:t>
      </w:r>
      <w:bookmarkEnd w:id="26"/>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根据《河源市市级政务信息化服务项目管理办法（试行）》</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统筹开展全区政务信息化</w:t>
      </w:r>
      <w:r>
        <w:rPr>
          <w:rFonts w:hint="eastAsia" w:ascii="宋体" w:hAnsi="宋体" w:eastAsia="方正仿宋_GBK" w:cs="方正仿宋_GBK"/>
          <w:color w:val="auto"/>
          <w:sz w:val="32"/>
          <w:szCs w:val="32"/>
          <w:shd w:val="clear" w:color="auto" w:fill="FFFFFF"/>
          <w:lang w:val="en-US" w:eastAsia="zh-CN"/>
        </w:rPr>
        <w:t>服务</w:t>
      </w:r>
      <w:r>
        <w:rPr>
          <w:rFonts w:hint="eastAsia" w:ascii="宋体" w:hAnsi="宋体" w:eastAsia="方正仿宋_GBK" w:cs="方正仿宋_GBK"/>
          <w:color w:val="auto"/>
          <w:sz w:val="32"/>
          <w:szCs w:val="32"/>
          <w:shd w:val="clear" w:color="auto" w:fill="FFFFFF"/>
        </w:rPr>
        <w:t>项目全过程管理工作。由</w:t>
      </w:r>
      <w:r>
        <w:rPr>
          <w:rFonts w:hint="eastAsia" w:ascii="宋体" w:hAnsi="宋体" w:eastAsia="方正仿宋_GBK" w:cs="方正仿宋_GBK"/>
          <w:color w:val="auto"/>
          <w:sz w:val="32"/>
          <w:szCs w:val="32"/>
          <w:highlight w:val="none"/>
          <w:shd w:val="clear" w:color="auto" w:fill="FFFFFF"/>
          <w:lang w:val="en-US" w:eastAsia="zh-CN"/>
        </w:rPr>
        <w:t>区政务服务数据管理</w:t>
      </w:r>
      <w:r>
        <w:rPr>
          <w:rFonts w:hint="eastAsia" w:ascii="宋体" w:hAnsi="宋体" w:eastAsia="方正仿宋_GBK" w:cs="方正仿宋_GBK"/>
          <w:color w:val="auto"/>
          <w:sz w:val="32"/>
          <w:szCs w:val="32"/>
          <w:highlight w:val="none"/>
          <w:shd w:val="clear" w:color="auto" w:fill="FFFFFF"/>
        </w:rPr>
        <w:t>局对所有</w:t>
      </w:r>
      <w:r>
        <w:rPr>
          <w:rFonts w:hint="eastAsia" w:ascii="宋体" w:hAnsi="宋体" w:eastAsia="方正仿宋_GBK" w:cs="方正仿宋_GBK"/>
          <w:color w:val="auto"/>
          <w:sz w:val="32"/>
          <w:szCs w:val="32"/>
          <w:highlight w:val="none"/>
          <w:shd w:val="clear" w:color="auto" w:fill="FFFFFF"/>
          <w:lang w:val="en-US" w:eastAsia="zh-CN"/>
        </w:rPr>
        <w:t>我区</w:t>
      </w:r>
      <w:r>
        <w:rPr>
          <w:rFonts w:hint="eastAsia" w:ascii="宋体" w:hAnsi="宋体" w:eastAsia="方正仿宋_GBK" w:cs="方正仿宋_GBK"/>
          <w:color w:val="auto"/>
          <w:sz w:val="32"/>
          <w:szCs w:val="32"/>
          <w:highlight w:val="none"/>
          <w:shd w:val="clear" w:color="auto" w:fill="FFFFFF"/>
        </w:rPr>
        <w:t>政府投资的政</w:t>
      </w:r>
      <w:r>
        <w:rPr>
          <w:rFonts w:hint="eastAsia" w:ascii="宋体" w:hAnsi="宋体" w:eastAsia="方正仿宋_GBK" w:cs="方正仿宋_GBK"/>
          <w:color w:val="auto"/>
          <w:sz w:val="32"/>
          <w:szCs w:val="32"/>
          <w:shd w:val="clear" w:color="auto" w:fill="FFFFFF"/>
        </w:rPr>
        <w:t>务信息化服务项目进行论证评审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防止盲目投资、重复建设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促进各政务信息系统上下协同、左右联通、数据共享。</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27" w:name="_Toc6792"/>
      <w:r>
        <w:rPr>
          <w:rFonts w:hint="eastAsia" w:ascii="宋体" w:hAnsi="宋体"/>
          <w:color w:val="auto"/>
        </w:rPr>
        <w:t>线上服务形式创新</w:t>
      </w:r>
      <w:r>
        <w:rPr>
          <w:rFonts w:hint="eastAsia" w:ascii="宋体" w:hAnsi="宋体"/>
          <w:color w:val="auto"/>
          <w:lang w:eastAsia="zh-CN"/>
        </w:rPr>
        <w:t>，</w:t>
      </w:r>
      <w:r>
        <w:rPr>
          <w:rFonts w:hint="eastAsia" w:ascii="宋体" w:hAnsi="宋体"/>
          <w:color w:val="auto"/>
        </w:rPr>
        <w:t>助力打赢疫情防控阻击战</w:t>
      </w:r>
      <w:bookmarkEnd w:id="27"/>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shd w:val="clear" w:color="auto" w:fill="FFFFFF"/>
        </w:rPr>
        <w:t>在防控关键时期</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进一步发挥数字政府一体化在线政务服务平台支撑作用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大力推进“网上办、指尖办、预约办、就近办”</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实现更多政务服务事项全流程网上办理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减少人员集中带来的感染风险。推动高频政务服务移动化办理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充分依托数字政府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粤省事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粤商通</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等移动政务服务平台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对广东政务服务网办理的依申请类政务服务事项</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按照移动终端办事的特点优化申请材料和服务流程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推动更多高频事项实现“指尖办理”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并以此为契机</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加强一体化在线政务服务平台的宣传和使用。积极推广使用“粤康码”</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充分运用大数据等新技术实现科学防治、精准施策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以大数据实时监测掌握干部群众的健康状况</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提高我区疫情排查效率。</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28" w:name="_Toc5065"/>
      <w:bookmarkStart w:id="29" w:name="_Toc2051"/>
      <w:bookmarkStart w:id="30" w:name="_Toc3435"/>
      <w:r>
        <w:rPr>
          <w:rFonts w:hint="eastAsia" w:ascii="宋体" w:hAnsi="宋体"/>
          <w:color w:val="auto"/>
        </w:rPr>
        <w:t>发展机遇</w:t>
      </w:r>
      <w:bookmarkEnd w:id="28"/>
      <w:bookmarkEnd w:id="29"/>
      <w:bookmarkEnd w:id="30"/>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“十四五”是衔接“两个一百年”奋斗目标的第一个五年规划时期</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我国在迈进高质量发展阶段</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科技创新逐渐成为经济增长的引擎。数字化、5G、人工智能、物联网正在推动第四次工业革命</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社会进入基于信息网络的大创新、大变革时代</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而广东省也正处在千载难逢的重要战略机遇期。广东省把数字政府建设作为推动经济高质量发展、再创广东营商环境新优势的着力点和突破口</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以集约化、一体化建设模式降低行政成本</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提高行政效率</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以数据开放释放“数字红利”</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提升政府治理体系和治理能力现代化水平。</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基于“十四五”的大环境</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“智慧源城”建设的发展蓝图可塑性强</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发展空间巨大</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有利于集聚共识、集中精力、集结资源</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全力推进改革建设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努力实现弯道超车。</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31" w:name="_Toc5949"/>
      <w:bookmarkStart w:id="32" w:name="_Toc28609"/>
      <w:r>
        <w:rPr>
          <w:rFonts w:hint="eastAsia" w:ascii="宋体" w:hAnsi="宋体"/>
          <w:color w:val="auto"/>
        </w:rPr>
        <w:t>新基建孕育新变革</w:t>
      </w:r>
      <w:r>
        <w:rPr>
          <w:rFonts w:hint="eastAsia" w:ascii="宋体" w:hAnsi="宋体"/>
          <w:color w:val="auto"/>
          <w:lang w:eastAsia="zh-CN"/>
        </w:rPr>
        <w:t>，</w:t>
      </w:r>
      <w:r>
        <w:rPr>
          <w:rFonts w:hint="eastAsia" w:ascii="宋体" w:hAnsi="宋体"/>
          <w:color w:val="auto"/>
        </w:rPr>
        <w:t>大湾区带来新机遇</w:t>
      </w:r>
      <w:bookmarkEnd w:id="31"/>
      <w:bookmarkEnd w:id="32"/>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以移动互联网、云计算、大数据、人工智能为代表的新一代信息技术</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正以突飞猛进之势深刻改变全球经济版图。“新基建”是服务于国家长远发展和“两个强国”建设的战略需求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已成为信息化产业发展和创新的基石。以“新基建”为牵引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对于引燃“十四五”数字经济发展动力新引擎、助力构建智慧社会具有重要意义。粤港澳大湾区建设是以习近平同志为核心的党中央作出的重大战略决策</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要把握粤港澳大湾区建设的发展机遇</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加快融入大湾区建设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主动对接广深港澳科技创新走廊等资源优势</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大力推进数字政府改革建设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全面提升政府治理能力和水平。</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33" w:name="_Toc29359"/>
      <w:bookmarkStart w:id="34" w:name="_Toc604"/>
      <w:r>
        <w:rPr>
          <w:rFonts w:hint="eastAsia" w:ascii="宋体" w:hAnsi="宋体"/>
          <w:color w:val="auto"/>
        </w:rPr>
        <w:t>网络空间安全形势日益严峻</w:t>
      </w:r>
      <w:bookmarkEnd w:id="33"/>
      <w:bookmarkEnd w:id="34"/>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网络安全上升为国家安全战略</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数字政府改革建设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涉及到政务网、政务云、重要的政务信息系统与政务数据</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与国家安全、经济运行、社会秩序和公众利益息息相关</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是国家信息安全防护的重要组成部分。应对来自全球范围的威胁与挑战</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全面提升网络与信息安全管理水平</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是保障职能部门信息业务延续的关键。需正确处理安全和发展、开放和自主、管理和服务的关系</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不断提高对网络规律的把握能力、对网络舆论的引导能力、对信息化发展的驾驭能力、对网络安全的保障能力</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持续完善网络空间安全体系</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为“平安源城”建设保驾护航。</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35" w:name="_Toc21663"/>
      <w:bookmarkStart w:id="36" w:name="_Toc7525"/>
      <w:r>
        <w:rPr>
          <w:rFonts w:hint="eastAsia" w:ascii="宋体" w:hAnsi="宋体"/>
          <w:color w:val="auto"/>
        </w:rPr>
        <w:t>存在问题和面临的挑战</w:t>
      </w:r>
      <w:bookmarkEnd w:id="35"/>
      <w:bookmarkEnd w:id="36"/>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“十三五”期间</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我区智慧政务发展面临的挑战和问题不容忽视</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主要表现在系统建设统筹规划、政务大数据资源开发以及标准规范统一等方面有待加强</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一定程度上制约了智慧政务的长足发展。</w:t>
      </w:r>
    </w:p>
    <w:p>
      <w:pPr>
        <w:pStyle w:val="6"/>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r>
        <w:rPr>
          <w:rFonts w:hint="eastAsia" w:ascii="宋体" w:hAnsi="宋体"/>
          <w:color w:val="auto"/>
        </w:rPr>
        <w:t>顶层设计和统筹规划有待进一步加强</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目前</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我区电子政务的建设方式主要以项目为中心推进</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缺乏顶层设计和统筹规划</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在服务政府总体工作目标上缺少全局性、完整性考虑。部分单位的业务流程交叉、重叠</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导致部分应用系统重复建设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全区一体化的“智慧源城”整体框架尚未成型。</w:t>
      </w:r>
    </w:p>
    <w:p>
      <w:pPr>
        <w:pStyle w:val="6"/>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r>
        <w:rPr>
          <w:rFonts w:hint="eastAsia" w:ascii="宋体" w:hAnsi="宋体"/>
          <w:color w:val="auto"/>
        </w:rPr>
        <w:t>政务数据资源共建、共享和应用有待进一步提高</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部门各自为政</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对数据的条块分割和技术壁垒阻碍了部门的业务协同和数据共享</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信息孤岛普遍存在。全区政务数据资源共享和交换平台的覆盖面尚需扩展。政务大数据基础平台建设尚未成型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基础数据库建设有待深化</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政务大数据开放共享机制尚未建立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应用潜力和开发价值有待全面释放。</w:t>
      </w:r>
    </w:p>
    <w:p>
      <w:pPr>
        <w:pStyle w:val="6"/>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r>
        <w:rPr>
          <w:rFonts w:hint="eastAsia" w:ascii="宋体" w:hAnsi="宋体"/>
          <w:color w:val="auto"/>
        </w:rPr>
        <w:t>支撑社会管理和服务的能力有待进一步提升</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全区电子政务的工作联动机制、激励约束机制尚需完善</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标准规范建设滞后</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各类电子政务系统的成熟度、智慧化尚有欠缺</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管理实效有待进一步提升</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系统、精准的社会管理和服务能力不足。</w:t>
      </w:r>
    </w:p>
    <w:p>
      <w:pPr>
        <w:pStyle w:val="6"/>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r>
        <w:rPr>
          <w:rFonts w:hint="eastAsia" w:ascii="宋体" w:hAnsi="宋体"/>
          <w:color w:val="auto"/>
        </w:rPr>
        <w:t>政府的社会治理与公共服务体系亟待完善</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现有社会治理能力、公共服务体系与公众日益个性化、多元化的需求之间存在明显差距</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亟需转变理念、创新方式。</w:t>
      </w:r>
    </w:p>
    <w:p>
      <w:pPr>
        <w:pStyle w:val="6"/>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r>
        <w:rPr>
          <w:rFonts w:hint="eastAsia" w:ascii="宋体" w:hAnsi="宋体"/>
          <w:color w:val="auto"/>
        </w:rPr>
        <w:t>信息化人才队伍发展体制机制不完善</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bCs/>
          <w:color w:val="auto"/>
          <w:kern w:val="0"/>
          <w:sz w:val="32"/>
          <w:szCs w:val="32"/>
          <w:lang w:val="zh-CN"/>
        </w:rPr>
      </w:pPr>
      <w:r>
        <w:rPr>
          <w:rFonts w:hint="eastAsia" w:ascii="宋体" w:hAnsi="宋体" w:eastAsia="方正仿宋_GBK" w:cs="方正仿宋_GBK"/>
          <w:color w:val="auto"/>
          <w:sz w:val="32"/>
          <w:szCs w:val="32"/>
        </w:rPr>
        <w:t>尚未形成支撑数字政府可持续发展的信息化专业人才结构</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5G、大数据、人工智能、工业互联网等领域的技术型和管理型信息化人才匮乏。</w:t>
      </w:r>
    </w:p>
    <w:p>
      <w:pPr>
        <w:pStyle w:val="3"/>
        <w:pageBreakBefore w:val="0"/>
        <w:widowControl w:val="0"/>
        <w:kinsoku/>
        <w:wordWrap/>
        <w:overflowPunct w:val="0"/>
        <w:topLinePunct w:val="0"/>
        <w:autoSpaceDE w:val="0"/>
        <w:autoSpaceDN w:val="0"/>
        <w:bidi w:val="0"/>
        <w:snapToGrid/>
        <w:spacing w:before="0" w:after="0" w:line="600" w:lineRule="exact"/>
        <w:ind w:left="0" w:leftChars="0" w:firstLine="640" w:firstLineChars="200"/>
        <w:jc w:val="both"/>
        <w:textAlignment w:val="auto"/>
        <w:rPr>
          <w:rFonts w:hint="eastAsia" w:ascii="宋体" w:hAnsi="宋体"/>
          <w:color w:val="auto"/>
        </w:rPr>
      </w:pPr>
      <w:bookmarkStart w:id="37" w:name="_Toc8424"/>
      <w:bookmarkStart w:id="38" w:name="_Toc20232"/>
      <w:r>
        <w:rPr>
          <w:rFonts w:hint="eastAsia" w:ascii="宋体" w:hAnsi="宋体"/>
          <w:color w:val="auto"/>
        </w:rPr>
        <w:t>总体要求</w:t>
      </w:r>
      <w:bookmarkEnd w:id="37"/>
      <w:bookmarkEnd w:id="38"/>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39" w:name="_Toc17497"/>
      <w:bookmarkStart w:id="40" w:name="_Toc14573"/>
      <w:r>
        <w:rPr>
          <w:rFonts w:hint="eastAsia" w:ascii="宋体" w:hAnsi="宋体"/>
          <w:color w:val="auto"/>
        </w:rPr>
        <w:t>指导思想</w:t>
      </w:r>
      <w:bookmarkEnd w:id="39"/>
      <w:bookmarkEnd w:id="40"/>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以习近平新时代中国特色社会主义思想为指导</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深入学习</w:t>
      </w:r>
      <w:r>
        <w:rPr>
          <w:rFonts w:hint="eastAsia" w:ascii="宋体" w:hAnsi="宋体" w:eastAsia="方正仿宋_GBK" w:cs="方正仿宋_GBK"/>
          <w:color w:val="auto"/>
          <w:sz w:val="32"/>
          <w:szCs w:val="32"/>
        </w:rPr>
        <w:t>贯彻党的十九大</w:t>
      </w:r>
      <w:r>
        <w:rPr>
          <w:rFonts w:hint="eastAsia" w:ascii="宋体" w:hAnsi="宋体" w:eastAsia="方正仿宋_GBK" w:cs="方正仿宋_GBK"/>
          <w:color w:val="auto"/>
          <w:sz w:val="32"/>
          <w:szCs w:val="32"/>
          <w:lang w:val="en-US" w:eastAsia="zh-CN"/>
        </w:rPr>
        <w:t>及</w:t>
      </w:r>
      <w:r>
        <w:rPr>
          <w:rFonts w:hint="eastAsia" w:ascii="宋体" w:hAnsi="宋体" w:eastAsia="方正仿宋_GBK" w:cs="方正仿宋_GBK"/>
          <w:color w:val="auto"/>
          <w:sz w:val="32"/>
          <w:szCs w:val="32"/>
        </w:rPr>
        <w:t>十九届</w:t>
      </w:r>
      <w:r>
        <w:rPr>
          <w:rFonts w:hint="eastAsia" w:ascii="宋体" w:hAnsi="宋体" w:eastAsia="方正仿宋_GBK" w:cs="方正仿宋_GBK"/>
          <w:color w:val="auto"/>
          <w:sz w:val="32"/>
          <w:szCs w:val="32"/>
          <w:lang w:val="en-US" w:eastAsia="zh-CN"/>
        </w:rPr>
        <w:t>历次</w:t>
      </w:r>
      <w:r>
        <w:rPr>
          <w:rFonts w:hint="eastAsia" w:ascii="宋体" w:hAnsi="宋体" w:eastAsia="方正仿宋_GBK" w:cs="方正仿宋_GBK"/>
          <w:color w:val="auto"/>
          <w:sz w:val="32"/>
          <w:szCs w:val="32"/>
        </w:rPr>
        <w:t>全会精神</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按照</w:t>
      </w:r>
      <w:r>
        <w:rPr>
          <w:rFonts w:hint="eastAsia" w:ascii="宋体" w:hAnsi="宋体" w:eastAsia="方正仿宋_GBK" w:cs="方正仿宋_GBK"/>
          <w:color w:val="auto"/>
          <w:sz w:val="32"/>
          <w:szCs w:val="32"/>
        </w:rPr>
        <w:t>中央全面深化改革委员会《关于加强数字政府建设的指导意见》</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全面贯彻网络强国战略</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把数字技术广泛应用于政府管理服务</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推动政府数字化、智能化运行</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为推进国家治理体系和治理能力现代化提供有力支撑。深入贯彻习近平总书记重要讲话精神，以建设数字中国、智慧社会为导向，紧紧围绕“五位一体”总体布局和“四个全面”战略布局，落实广东省数字政府改革建设“十四五”规划及相关要求，以人民为中心，坚持以“融湾”为“纲”，“融深”为牵引，按照“湾区所向、深圳所需、河源所能”要求，加快构建与“双区”合作互动新格局，以数据要素市场化配置改革为契机，结合</w:t>
      </w:r>
      <w:r>
        <w:rPr>
          <w:rFonts w:hint="eastAsia" w:ascii="宋体" w:hAnsi="宋体" w:eastAsia="方正仿宋_GBK" w:cs="方正仿宋_GBK"/>
          <w:color w:val="auto"/>
          <w:sz w:val="32"/>
          <w:szCs w:val="32"/>
          <w:lang w:val="en-US" w:eastAsia="zh-CN"/>
        </w:rPr>
        <w:t>源城</w:t>
      </w:r>
      <w:r>
        <w:rPr>
          <w:rFonts w:hint="eastAsia" w:ascii="宋体" w:hAnsi="宋体" w:eastAsia="方正仿宋_GBK" w:cs="方正仿宋_GBK"/>
          <w:color w:val="auto"/>
          <w:sz w:val="32"/>
          <w:szCs w:val="32"/>
        </w:rPr>
        <w:t>实际，因地制宜，推进数字政府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建设，着力提升政府行政效能、推动政府治理体系和治理能力现代化，解决市民群众“热点、难点、堵点”问题，助力河源市社会治理能力提升，切实改善河源民众生活质量。</w:t>
      </w:r>
      <w:bookmarkStart w:id="41" w:name="_Toc21236"/>
      <w:bookmarkStart w:id="42" w:name="_Toc16561"/>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43" w:name="_Toc20729"/>
      <w:r>
        <w:rPr>
          <w:rFonts w:hint="eastAsia" w:ascii="宋体" w:hAnsi="宋体"/>
          <w:color w:val="auto"/>
          <w:lang w:val="en-US" w:eastAsia="zh-CN"/>
        </w:rPr>
        <w:t>主要原则</w:t>
      </w:r>
      <w:bookmarkEnd w:id="41"/>
      <w:bookmarkEnd w:id="42"/>
      <w:bookmarkEnd w:id="43"/>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44" w:name="_Toc9883"/>
      <w:bookmarkStart w:id="45" w:name="_Toc6411"/>
      <w:r>
        <w:rPr>
          <w:rFonts w:hint="eastAsia" w:ascii="宋体" w:hAnsi="宋体"/>
          <w:color w:val="auto"/>
        </w:rPr>
        <w:t>坚持党的全面领导</w:t>
      </w:r>
      <w:r>
        <w:rPr>
          <w:rFonts w:hint="eastAsia" w:ascii="宋体" w:hAnsi="宋体"/>
          <w:color w:val="auto"/>
          <w:lang w:eastAsia="zh-CN"/>
        </w:rPr>
        <w:t>，</w:t>
      </w:r>
      <w:r>
        <w:rPr>
          <w:rFonts w:hint="eastAsia" w:ascii="宋体" w:hAnsi="宋体"/>
          <w:color w:val="auto"/>
        </w:rPr>
        <w:t>立根固本</w:t>
      </w:r>
      <w:bookmarkEnd w:id="44"/>
      <w:bookmarkEnd w:id="45"/>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坚持党的全面领导</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立根固本。始终坚持党的全面领导</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不折不扣地落实党中央建设网络强国、数字中国、智慧社会的战略部署。深入贯彻落实省、市、区工作部署</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着眼长远、统筹全局</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破除制约高质量发展的体制机制障碍</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调动各部门积极性</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凝聚全区力量</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持续增强数字政府改革建设的动力和活力。</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46" w:name="_Toc30508"/>
      <w:bookmarkStart w:id="47" w:name="_Toc22964"/>
      <w:r>
        <w:rPr>
          <w:rFonts w:hint="eastAsia" w:ascii="宋体" w:hAnsi="宋体"/>
          <w:color w:val="auto"/>
        </w:rPr>
        <w:t>坚持以人民为中心</w:t>
      </w:r>
      <w:r>
        <w:rPr>
          <w:rFonts w:hint="eastAsia" w:ascii="宋体" w:hAnsi="宋体"/>
          <w:color w:val="auto"/>
          <w:lang w:eastAsia="zh-CN"/>
        </w:rPr>
        <w:t>，</w:t>
      </w:r>
      <w:r>
        <w:rPr>
          <w:rFonts w:hint="eastAsia" w:ascii="宋体" w:hAnsi="宋体"/>
          <w:color w:val="auto"/>
        </w:rPr>
        <w:t>服务为先</w:t>
      </w:r>
      <w:bookmarkEnd w:id="46"/>
      <w:bookmarkEnd w:id="47"/>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坚持以人民为中心的发展思想</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紧紧围绕人民关心关注的政务、经济、民生等重要领域</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充分发挥“粤省事”“粤商通”等平台用户量大、覆盖面广、使用粘性强的优势</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让数字政府改革建设成果惠及全社会。</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48" w:name="_Toc6075"/>
      <w:bookmarkStart w:id="49" w:name="_Toc20668"/>
      <w:r>
        <w:rPr>
          <w:rFonts w:hint="eastAsia" w:ascii="宋体" w:hAnsi="宋体"/>
          <w:color w:val="auto"/>
        </w:rPr>
        <w:t>坚持统筹规划</w:t>
      </w:r>
      <w:r>
        <w:rPr>
          <w:rFonts w:hint="eastAsia" w:ascii="宋体" w:hAnsi="宋体"/>
          <w:color w:val="auto"/>
          <w:lang w:eastAsia="zh-CN"/>
        </w:rPr>
        <w:t>，</w:t>
      </w:r>
      <w:r>
        <w:rPr>
          <w:rFonts w:hint="eastAsia" w:ascii="宋体" w:hAnsi="宋体"/>
          <w:color w:val="auto"/>
        </w:rPr>
        <w:t>均衡发展</w:t>
      </w:r>
      <w:bookmarkEnd w:id="48"/>
      <w:bookmarkEnd w:id="49"/>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坚持贯彻“全省一盘棋”的思路</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以系统观念进行整体规划、统筹布局</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构建条块结合、省市区一体的数字政府总体架构。按照上接省、市、覆盖全区、纵向贯通、横向协同的要求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构建一体化“网上政府”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在全区实现业务联动、管理联动、数据联动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促进数字政府改革建设良性互动、协调共进、均衡发展。</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50" w:name="_Toc13969"/>
      <w:bookmarkStart w:id="51" w:name="_Toc11187"/>
      <w:r>
        <w:rPr>
          <w:rFonts w:hint="eastAsia" w:ascii="宋体" w:hAnsi="宋体"/>
          <w:color w:val="auto"/>
        </w:rPr>
        <w:t>坚持协同共享</w:t>
      </w:r>
      <w:r>
        <w:rPr>
          <w:rFonts w:hint="eastAsia" w:ascii="宋体" w:hAnsi="宋体"/>
          <w:color w:val="auto"/>
          <w:lang w:eastAsia="zh-CN"/>
        </w:rPr>
        <w:t>，</w:t>
      </w:r>
      <w:r>
        <w:rPr>
          <w:rFonts w:hint="eastAsia" w:ascii="宋体" w:hAnsi="宋体"/>
          <w:color w:val="auto"/>
        </w:rPr>
        <w:t>智慧高效</w:t>
      </w:r>
      <w:bookmarkEnd w:id="50"/>
      <w:bookmarkEnd w:id="51"/>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建设跨部门、跨层级、跨区域的平台系统</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破除信息孤岛</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持续开展数据治理</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实现数据按需有序共享</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提升部门间业务协同效率。执行落实推进政务服务“一网通办”、省域治理“一网统管”、政府运行“一网协同”“三网融合”</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形成服务管理、决策指挥一体化格局。</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52" w:name="_Toc1149"/>
      <w:bookmarkStart w:id="53" w:name="_Toc18318"/>
      <w:r>
        <w:rPr>
          <w:rFonts w:hint="eastAsia" w:ascii="宋体" w:hAnsi="宋体"/>
          <w:color w:val="auto"/>
        </w:rPr>
        <w:t>坚持创新引领</w:t>
      </w:r>
      <w:r>
        <w:rPr>
          <w:rFonts w:hint="eastAsia" w:ascii="宋体" w:hAnsi="宋体"/>
          <w:color w:val="auto"/>
          <w:lang w:eastAsia="zh-CN"/>
        </w:rPr>
        <w:t>，</w:t>
      </w:r>
      <w:r>
        <w:rPr>
          <w:rFonts w:hint="eastAsia" w:ascii="宋体" w:hAnsi="宋体"/>
          <w:color w:val="auto"/>
        </w:rPr>
        <w:t>开放融合</w:t>
      </w:r>
      <w:bookmarkEnd w:id="52"/>
      <w:bookmarkEnd w:id="53"/>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加快新一代信息技术创新应用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打造标准、开放、可扩展的数字政府技术架构。推动公共数据有序开放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强化政府机构、社会组织、互联网企业共建共治共享</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让最新的技术成果在数字政府平台架构上快速部署、融合、应用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带动和促进数字经济发展。</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54" w:name="_Toc681"/>
      <w:bookmarkStart w:id="55" w:name="_Toc15328"/>
      <w:r>
        <w:rPr>
          <w:rFonts w:hint="eastAsia" w:ascii="宋体" w:hAnsi="宋体"/>
          <w:color w:val="auto"/>
        </w:rPr>
        <w:t>坚持绿色集约</w:t>
      </w:r>
      <w:r>
        <w:rPr>
          <w:rFonts w:hint="eastAsia" w:ascii="宋体" w:hAnsi="宋体"/>
          <w:color w:val="auto"/>
          <w:lang w:eastAsia="zh-CN"/>
        </w:rPr>
        <w:t>，</w:t>
      </w:r>
      <w:r>
        <w:rPr>
          <w:rFonts w:hint="eastAsia" w:ascii="宋体" w:hAnsi="宋体"/>
          <w:color w:val="auto"/>
        </w:rPr>
        <w:t>安全高效</w:t>
      </w:r>
      <w:bookmarkEnd w:id="54"/>
      <w:bookmarkEnd w:id="55"/>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落实推进政务云、政务网等政务基础设施集约化建设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为数字政府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建设提供可持续的发展基础。建设全要素、多层次的安全防护体系</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打造自主可控、安全高效的数字政府技术路线。</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56" w:name="_Toc4336"/>
      <w:bookmarkStart w:id="57" w:name="_Toc9853"/>
      <w:r>
        <w:rPr>
          <w:rFonts w:hint="eastAsia" w:ascii="宋体" w:hAnsi="宋体"/>
          <w:color w:val="auto"/>
        </w:rPr>
        <w:t>坚持目标导向</w:t>
      </w:r>
      <w:r>
        <w:rPr>
          <w:rFonts w:hint="eastAsia" w:ascii="宋体" w:hAnsi="宋体"/>
          <w:color w:val="auto"/>
          <w:lang w:eastAsia="zh-CN"/>
        </w:rPr>
        <w:t>，</w:t>
      </w:r>
      <w:r>
        <w:rPr>
          <w:rFonts w:hint="eastAsia" w:ascii="宋体" w:hAnsi="宋体"/>
          <w:color w:val="auto"/>
        </w:rPr>
        <w:t>强化统筹协调</w:t>
      </w:r>
      <w:bookmarkEnd w:id="56"/>
      <w:bookmarkEnd w:id="57"/>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建立统筹推进机制</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加强统一领导</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强化顶层设计</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明确目标任务和责任分工</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统筹规划数字政府基础设施、数据资源、业务应用、综合保障等内容</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确保建设和管理规范统一、集约高效。</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58" w:name="_Toc30725"/>
      <w:bookmarkStart w:id="59" w:name="_Toc17414"/>
      <w:r>
        <w:rPr>
          <w:rFonts w:hint="eastAsia" w:ascii="宋体" w:hAnsi="宋体"/>
          <w:color w:val="auto"/>
        </w:rPr>
        <w:t>坚持问题导向</w:t>
      </w:r>
      <w:r>
        <w:rPr>
          <w:rFonts w:hint="eastAsia" w:ascii="宋体" w:hAnsi="宋体"/>
          <w:color w:val="auto"/>
          <w:lang w:eastAsia="zh-CN"/>
        </w:rPr>
        <w:t>，</w:t>
      </w:r>
      <w:r>
        <w:rPr>
          <w:rFonts w:hint="eastAsia" w:ascii="宋体" w:hAnsi="宋体"/>
          <w:color w:val="auto"/>
        </w:rPr>
        <w:t>强化创新驱动</w:t>
      </w:r>
      <w:bookmarkEnd w:id="58"/>
      <w:bookmarkEnd w:id="59"/>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以市场主体和群众需求为导向</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围绕政府中心工作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针对制约数字政府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建设的突出问题</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强化智能化数字化应用创新、服务模式创新和治理方式创新</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优化营商环境</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提高政务服务满意度。</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60" w:name="_Toc22292"/>
      <w:bookmarkStart w:id="61" w:name="_Toc26655"/>
      <w:r>
        <w:rPr>
          <w:rFonts w:hint="eastAsia" w:ascii="宋体" w:hAnsi="宋体"/>
          <w:color w:val="auto"/>
        </w:rPr>
        <w:t>坚持发展导向</w:t>
      </w:r>
      <w:r>
        <w:rPr>
          <w:rFonts w:hint="eastAsia" w:ascii="宋体" w:hAnsi="宋体"/>
          <w:color w:val="auto"/>
          <w:lang w:eastAsia="zh-CN"/>
        </w:rPr>
        <w:t>，</w:t>
      </w:r>
      <w:r>
        <w:rPr>
          <w:rFonts w:hint="eastAsia" w:ascii="宋体" w:hAnsi="宋体"/>
          <w:color w:val="auto"/>
        </w:rPr>
        <w:t>强化共享开放</w:t>
      </w:r>
      <w:bookmarkEnd w:id="60"/>
      <w:bookmarkEnd w:id="61"/>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坚持政务数据共享开放为原则、不共享开放为例外</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加强统筹规划、统一标准、集约建设、有效应用。促进政务数据资源共享开放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鼓励和引导政务数据资源社会化开发利用。</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62" w:name="_Toc32119"/>
      <w:bookmarkStart w:id="63" w:name="_Toc24288"/>
      <w:r>
        <w:rPr>
          <w:rFonts w:hint="eastAsia" w:ascii="宋体" w:hAnsi="宋体"/>
          <w:color w:val="auto"/>
        </w:rPr>
        <w:t>坚持市场导向</w:t>
      </w:r>
      <w:r>
        <w:rPr>
          <w:rFonts w:hint="eastAsia" w:ascii="宋体" w:hAnsi="宋体"/>
          <w:color w:val="auto"/>
          <w:lang w:eastAsia="zh-CN"/>
        </w:rPr>
        <w:t>，</w:t>
      </w:r>
      <w:r>
        <w:rPr>
          <w:rFonts w:hint="eastAsia" w:ascii="宋体" w:hAnsi="宋体"/>
          <w:color w:val="auto"/>
        </w:rPr>
        <w:t>强化协作共进</w:t>
      </w:r>
      <w:bookmarkEnd w:id="62"/>
      <w:bookmarkEnd w:id="63"/>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构建“政事企合作、管运分离”的数字政府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建设模式。坚持政府主导</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引进社会力量</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合作开展数字政府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建设工作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建立政事企合作机制以及风险防控管理措施。</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64" w:name="_Toc32519"/>
      <w:bookmarkStart w:id="65" w:name="_Toc14526"/>
      <w:r>
        <w:rPr>
          <w:rFonts w:hint="eastAsia" w:ascii="宋体" w:hAnsi="宋体"/>
          <w:color w:val="auto"/>
        </w:rPr>
        <w:t>坚持应用导向</w:t>
      </w:r>
      <w:r>
        <w:rPr>
          <w:rFonts w:hint="eastAsia" w:ascii="宋体" w:hAnsi="宋体"/>
          <w:color w:val="auto"/>
          <w:lang w:eastAsia="zh-CN"/>
        </w:rPr>
        <w:t>，</w:t>
      </w:r>
      <w:r>
        <w:rPr>
          <w:rFonts w:hint="eastAsia" w:ascii="宋体" w:hAnsi="宋体"/>
          <w:color w:val="auto"/>
        </w:rPr>
        <w:t>强化安全可控</w:t>
      </w:r>
      <w:bookmarkEnd w:id="64"/>
      <w:bookmarkEnd w:id="65"/>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按照国家信息网络设施安全可控战略的要求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建立安全防护体系</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落实安全管理责任</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坚持安全保障工作与数字政府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建设同步规划、同步建设、同步验收、同步运行</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确保网络、应用和数据安全。</w:t>
      </w:r>
      <w:bookmarkStart w:id="66" w:name="_Toc29756"/>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67" w:name="_Toc16976"/>
      <w:bookmarkStart w:id="68" w:name="_Toc30417"/>
      <w:r>
        <w:rPr>
          <w:rFonts w:hint="eastAsia" w:ascii="宋体" w:hAnsi="宋体"/>
          <w:color w:val="auto"/>
        </w:rPr>
        <w:t>发展目标</w:t>
      </w:r>
      <w:bookmarkEnd w:id="66"/>
      <w:bookmarkEnd w:id="67"/>
      <w:bookmarkEnd w:id="68"/>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加强数字政府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建设是创新政府治理理念和方式的重要举措，对加快转变政府职能，建设法治政府、廉洁政府、服务型政府意义重大。以云计算、大数据、物联网、人工智能、区块链等技术为支撑</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以一体化在线政务服务平台为载体</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以数字化、数据化、智能化、智慧化为实施路径</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推动政府全方位、系统性变革</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建立决策科学、治理精准、服务高效的新型政府运行模式。</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到2025年底</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建立整体推进、政企合作、管运分离的数字政府管理体系和整体运行、共享协同、服务集成的数字政府业务体系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构建统一安全的电子政务基础设施</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建设开放的一体化在线政务服务平台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以“制度+技术”创新推动改革向纵深发展</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进一步提高政务服务水平</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营造良好的营商环境</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全面提升政府数字化管理水平。建设完成结构合理、质量可靠的政务“大数据”体系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建成一体化政务云平台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信息资源实现跨部门、跨领域共享与服务。建成“同架构、广覆盖、高可靠、富能力”的电子政务外网。数字技术在政务各领域普及应用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政府科学决策和精细治理能力显著提升</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“互联网+政务服务”应用水平大幅提高和探索区块链技术在数字政府改革建设中的布局和应用。坚持以企业为中心、以企业需求为导向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围绕企业生命周期</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推动行政办事从以政府部门为中心向以行政相对人为中心转变</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努力打造成与珠三角同等水平的营商环境。</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基础设施更加完善</w:t>
      </w:r>
    </w:p>
    <w:p>
      <w:pPr>
        <w:pageBreakBefore w:val="0"/>
        <w:widowControl w:val="0"/>
        <w:kinsoku/>
        <w:wordWrap/>
        <w:overflowPunct w:val="0"/>
        <w:topLinePunct w:val="0"/>
        <w:autoSpaceDE w:val="0"/>
        <w:autoSpaceDN w:val="0"/>
        <w:bidi w:val="0"/>
        <w:adjustRightInd w:val="0"/>
        <w:snapToGrid/>
        <w:spacing w:line="600" w:lineRule="exact"/>
        <w:ind w:left="0" w:leftChars="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机房孤岛和网络孤岛基本消除</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形成覆盖全区的“云”和“网”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基本形成共建共享、集约利用的基础设施体系。</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数据资源全面汇聚</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依托</w:t>
      </w:r>
      <w:r>
        <w:rPr>
          <w:rFonts w:hint="eastAsia" w:ascii="宋体" w:hAnsi="宋体" w:eastAsia="方正仿宋_GBK" w:cs="方正仿宋_GBK"/>
          <w:color w:val="auto"/>
          <w:sz w:val="32"/>
          <w:szCs w:val="32"/>
          <w:shd w:val="clear" w:color="auto" w:fill="FFFFFF"/>
          <w:lang w:val="en-US" w:eastAsia="zh-CN"/>
        </w:rPr>
        <w:t>省市</w:t>
      </w:r>
      <w:r>
        <w:rPr>
          <w:rFonts w:hint="eastAsia" w:ascii="宋体" w:hAnsi="宋体" w:eastAsia="方正仿宋_GBK" w:cs="方正仿宋_GBK"/>
          <w:color w:val="auto"/>
          <w:sz w:val="32"/>
          <w:szCs w:val="32"/>
          <w:shd w:val="clear" w:color="auto" w:fill="FFFFFF"/>
        </w:rPr>
        <w:t>一体化大数据中心</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实现政务数据100%归集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加速推进社会、经济数据汇聚</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数据资源共享协同、融合创新、开放应用能力显著提升。</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行政效能大幅提升</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b/>
          <w:bCs/>
          <w:color w:val="auto"/>
          <w:sz w:val="32"/>
          <w:szCs w:val="32"/>
          <w:shd w:val="clear" w:color="auto" w:fill="FFFFFF"/>
        </w:rPr>
      </w:pPr>
      <w:r>
        <w:rPr>
          <w:rFonts w:hint="eastAsia" w:ascii="宋体" w:hAnsi="宋体" w:eastAsia="方正仿宋_GBK" w:cs="方正仿宋_GBK"/>
          <w:color w:val="auto"/>
          <w:sz w:val="32"/>
          <w:szCs w:val="32"/>
          <w:shd w:val="clear" w:color="auto" w:fill="FFFFFF"/>
        </w:rPr>
        <w:t>一体化协同办公体系初步建立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跨层级、跨部门、跨区域业务协同率大大提升</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政府运行高效透明</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5G、大数据、人工智能、区块链等先进技术在政务领域广泛应用。</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政务服务全面升级</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依托一体化在线政务服务平台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实现各类服务系统“应接尽接”</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服务事项“应上尽上”</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除法律法规另有规定或涉及国家秘密等之外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基本实现所有服务事项全流程网上办、跨区域通办、跨部门事项全部联办。</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统筹管理高效运转</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组织架构坚强有力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建成集约高效的统筹体系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规划、项目、经费、运维统筹管理；标准体系健全统一</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政务服务场地、政务服务事项、服务标准、监督管理等标准规范。</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政府决策智能协同</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利用5G、大数据、人工智能等信息技术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建成数字政府科学决策支持平台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依托信息化手段</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推动数据资源的共融共享</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实现城市运行状态实时化与可视化、城市管理决策协同化与智能化。</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营商环境体验最优</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pacing w:val="8"/>
          <w:sz w:val="32"/>
          <w:szCs w:val="32"/>
          <w:shd w:val="clear" w:color="auto" w:fill="FFFFFF"/>
        </w:rPr>
      </w:pPr>
      <w:r>
        <w:rPr>
          <w:rFonts w:hint="eastAsia" w:ascii="宋体" w:hAnsi="宋体" w:eastAsia="方正仿宋_GBK" w:cs="方正仿宋_GBK"/>
          <w:color w:val="auto"/>
          <w:sz w:val="32"/>
          <w:szCs w:val="32"/>
          <w:shd w:val="clear" w:color="auto" w:fill="FFFFFF"/>
        </w:rPr>
        <w:t>坚持以企业为中心、以企业需求为导向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围绕企业生命周期</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实现行政办事从以政府部门为中心向以行政相对人为中心转变</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形成法治、稳定、公平、透明的政务营商环境。</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社会治理和公共服务水平明显提升</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以政务高效和惠企便民为导向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强化经济调节、民生服务、城市管理等方面数字化应用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进一步推进信息化创新成果与教育、健康医疗、养老、文化、旅游等领域的深度融合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形成若干具有示范效应的智慧应用。</w:t>
      </w:r>
    </w:p>
    <w:p>
      <w:pPr>
        <w:pageBreakBefore w:val="0"/>
        <w:kinsoku/>
        <w:wordWrap/>
        <w:overflowPunct w:val="0"/>
        <w:topLinePunct w:val="0"/>
        <w:autoSpaceDE w:val="0"/>
        <w:autoSpaceDN w:val="0"/>
        <w:bidi w:val="0"/>
        <w:adjustRightInd w:val="0"/>
        <w:snapToGrid/>
        <w:spacing w:line="600" w:lineRule="exact"/>
        <w:jc w:val="center"/>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表1源城区数字政府“十四五”发展主要公共指标</w:t>
      </w:r>
    </w:p>
    <w:tbl>
      <w:tblPr>
        <w:tblStyle w:val="43"/>
        <w:tblW w:w="5000" w:type="pct"/>
        <w:tblInd w:w="0" w:type="dxa"/>
        <w:tblLayout w:type="autofit"/>
        <w:tblCellMar>
          <w:top w:w="0" w:type="dxa"/>
          <w:left w:w="108" w:type="dxa"/>
          <w:bottom w:w="0" w:type="dxa"/>
          <w:right w:w="108" w:type="dxa"/>
        </w:tblCellMar>
      </w:tblPr>
      <w:tblGrid>
        <w:gridCol w:w="1013"/>
        <w:gridCol w:w="5523"/>
        <w:gridCol w:w="1310"/>
        <w:gridCol w:w="1328"/>
      </w:tblGrid>
      <w:tr>
        <w:tblPrEx>
          <w:tblCellMar>
            <w:top w:w="0" w:type="dxa"/>
            <w:left w:w="108" w:type="dxa"/>
            <w:bottom w:w="0" w:type="dxa"/>
            <w:right w:w="108" w:type="dxa"/>
          </w:tblCellMar>
        </w:tblPrEx>
        <w:trPr>
          <w:trHeight w:val="285" w:hRule="atLeast"/>
          <w:tblHeader/>
        </w:trPr>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b/>
                <w:bCs/>
                <w:color w:val="auto"/>
                <w:kern w:val="0"/>
                <w:sz w:val="32"/>
                <w:szCs w:val="32"/>
              </w:rPr>
            </w:pPr>
            <w:r>
              <w:rPr>
                <w:rFonts w:hint="eastAsia" w:ascii="宋体" w:hAnsi="宋体" w:eastAsia="方正仿宋_GBK" w:cs="方正仿宋_GBK"/>
                <w:b/>
                <w:bCs/>
                <w:color w:val="auto"/>
                <w:kern w:val="0"/>
                <w:sz w:val="32"/>
                <w:szCs w:val="32"/>
              </w:rPr>
              <w:t>序号</w:t>
            </w:r>
          </w:p>
        </w:tc>
        <w:tc>
          <w:tcPr>
            <w:tcW w:w="3010" w:type="pct"/>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643" w:firstLineChars="200"/>
              <w:jc w:val="center"/>
              <w:textAlignment w:val="auto"/>
              <w:rPr>
                <w:rFonts w:hint="eastAsia" w:ascii="宋体" w:hAnsi="宋体" w:eastAsia="方正仿宋_GBK" w:cs="方正仿宋_GBK"/>
                <w:b/>
                <w:bCs/>
                <w:color w:val="auto"/>
                <w:kern w:val="0"/>
                <w:sz w:val="32"/>
                <w:szCs w:val="32"/>
              </w:rPr>
            </w:pPr>
            <w:r>
              <w:rPr>
                <w:rFonts w:hint="eastAsia" w:ascii="宋体" w:hAnsi="宋体" w:eastAsia="方正仿宋_GBK" w:cs="方正仿宋_GBK"/>
                <w:b/>
                <w:bCs/>
                <w:color w:val="auto"/>
                <w:kern w:val="0"/>
                <w:sz w:val="32"/>
                <w:szCs w:val="32"/>
              </w:rPr>
              <w:t>主要指标</w:t>
            </w:r>
          </w:p>
        </w:tc>
        <w:tc>
          <w:tcPr>
            <w:tcW w:w="714" w:type="pct"/>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b/>
                <w:bCs/>
                <w:color w:val="auto"/>
                <w:kern w:val="0"/>
                <w:sz w:val="32"/>
                <w:szCs w:val="32"/>
              </w:rPr>
            </w:pPr>
            <w:r>
              <w:rPr>
                <w:rFonts w:hint="eastAsia" w:ascii="宋体" w:hAnsi="宋体" w:eastAsia="方正仿宋_GBK" w:cs="方正仿宋_GBK"/>
                <w:b/>
                <w:bCs/>
                <w:color w:val="auto"/>
                <w:kern w:val="0"/>
                <w:sz w:val="32"/>
                <w:szCs w:val="32"/>
              </w:rPr>
              <w:t>现状值</w:t>
            </w:r>
          </w:p>
        </w:tc>
        <w:tc>
          <w:tcPr>
            <w:tcW w:w="725" w:type="pct"/>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b/>
                <w:bCs/>
                <w:color w:val="auto"/>
                <w:kern w:val="0"/>
                <w:sz w:val="32"/>
                <w:szCs w:val="32"/>
              </w:rPr>
            </w:pPr>
            <w:r>
              <w:rPr>
                <w:rFonts w:hint="eastAsia" w:ascii="宋体" w:hAnsi="宋体" w:eastAsia="方正仿宋_GBK" w:cs="方正仿宋_GBK"/>
                <w:b/>
                <w:bCs/>
                <w:color w:val="auto"/>
                <w:kern w:val="0"/>
                <w:sz w:val="32"/>
                <w:szCs w:val="32"/>
              </w:rPr>
              <w:t>目标值</w:t>
            </w:r>
          </w:p>
        </w:tc>
      </w:tr>
      <w:tr>
        <w:tblPrEx>
          <w:tblCellMar>
            <w:top w:w="0" w:type="dxa"/>
            <w:left w:w="108" w:type="dxa"/>
            <w:bottom w:w="0" w:type="dxa"/>
            <w:right w:w="108" w:type="dxa"/>
          </w:tblCellMar>
        </w:tblPrEx>
        <w:trPr>
          <w:trHeight w:val="285" w:hRule="atLeast"/>
        </w:trPr>
        <w:tc>
          <w:tcPr>
            <w:tcW w:w="552"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1</w:t>
            </w:r>
          </w:p>
        </w:tc>
        <w:tc>
          <w:tcPr>
            <w:tcW w:w="3010"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640" w:firstLineChars="2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“零跑动”事项覆盖率（%）</w:t>
            </w:r>
          </w:p>
        </w:tc>
        <w:tc>
          <w:tcPr>
            <w:tcW w:w="71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88.88</w:t>
            </w:r>
          </w:p>
        </w:tc>
        <w:tc>
          <w:tcPr>
            <w:tcW w:w="72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90</w:t>
            </w:r>
          </w:p>
        </w:tc>
      </w:tr>
      <w:tr>
        <w:tblPrEx>
          <w:tblCellMar>
            <w:top w:w="0" w:type="dxa"/>
            <w:left w:w="108" w:type="dxa"/>
            <w:bottom w:w="0" w:type="dxa"/>
            <w:right w:w="108" w:type="dxa"/>
          </w:tblCellMar>
        </w:tblPrEx>
        <w:trPr>
          <w:trHeight w:val="555" w:hRule="atLeast"/>
        </w:trPr>
        <w:tc>
          <w:tcPr>
            <w:tcW w:w="552"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2</w:t>
            </w:r>
          </w:p>
        </w:tc>
        <w:tc>
          <w:tcPr>
            <w:tcW w:w="3010"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640" w:firstLineChars="2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一窗综合受理率（%）</w:t>
            </w:r>
          </w:p>
        </w:tc>
        <w:tc>
          <w:tcPr>
            <w:tcW w:w="71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92</w:t>
            </w:r>
          </w:p>
        </w:tc>
        <w:tc>
          <w:tcPr>
            <w:tcW w:w="72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100</w:t>
            </w:r>
          </w:p>
        </w:tc>
      </w:tr>
      <w:tr>
        <w:tblPrEx>
          <w:tblCellMar>
            <w:top w:w="0" w:type="dxa"/>
            <w:left w:w="108" w:type="dxa"/>
            <w:bottom w:w="0" w:type="dxa"/>
            <w:right w:w="108" w:type="dxa"/>
          </w:tblCellMar>
        </w:tblPrEx>
        <w:trPr>
          <w:trHeight w:val="285" w:hRule="atLeast"/>
        </w:trPr>
        <w:tc>
          <w:tcPr>
            <w:tcW w:w="552"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3</w:t>
            </w:r>
          </w:p>
        </w:tc>
        <w:tc>
          <w:tcPr>
            <w:tcW w:w="3010"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640" w:firstLineChars="2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“一件事”主题集成服务数量（件）</w:t>
            </w:r>
          </w:p>
        </w:tc>
        <w:tc>
          <w:tcPr>
            <w:tcW w:w="71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8</w:t>
            </w:r>
          </w:p>
        </w:tc>
        <w:tc>
          <w:tcPr>
            <w:tcW w:w="72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60</w:t>
            </w:r>
          </w:p>
        </w:tc>
      </w:tr>
      <w:tr>
        <w:tblPrEx>
          <w:tblCellMar>
            <w:top w:w="0" w:type="dxa"/>
            <w:left w:w="108" w:type="dxa"/>
            <w:bottom w:w="0" w:type="dxa"/>
            <w:right w:w="108" w:type="dxa"/>
          </w:tblCellMar>
        </w:tblPrEx>
        <w:trPr>
          <w:trHeight w:val="540" w:hRule="atLeast"/>
        </w:trPr>
        <w:tc>
          <w:tcPr>
            <w:tcW w:w="552"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4</w:t>
            </w:r>
          </w:p>
        </w:tc>
        <w:tc>
          <w:tcPr>
            <w:tcW w:w="3010"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640" w:firstLineChars="2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政务服务一体机镇街覆盖率（%）</w:t>
            </w:r>
          </w:p>
        </w:tc>
        <w:tc>
          <w:tcPr>
            <w:tcW w:w="71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33</w:t>
            </w:r>
          </w:p>
        </w:tc>
        <w:tc>
          <w:tcPr>
            <w:tcW w:w="72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100</w:t>
            </w:r>
          </w:p>
        </w:tc>
      </w:tr>
      <w:tr>
        <w:tblPrEx>
          <w:tblCellMar>
            <w:top w:w="0" w:type="dxa"/>
            <w:left w:w="108" w:type="dxa"/>
            <w:bottom w:w="0" w:type="dxa"/>
            <w:right w:w="108" w:type="dxa"/>
          </w:tblCellMar>
        </w:tblPrEx>
        <w:trPr>
          <w:trHeight w:val="570" w:hRule="atLeast"/>
        </w:trPr>
        <w:tc>
          <w:tcPr>
            <w:tcW w:w="552"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5</w:t>
            </w:r>
          </w:p>
        </w:tc>
        <w:tc>
          <w:tcPr>
            <w:tcW w:w="3010"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640" w:firstLineChars="2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高频服务事项“跨域通办”比例（%)</w:t>
            </w:r>
          </w:p>
        </w:tc>
        <w:tc>
          <w:tcPr>
            <w:tcW w:w="71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10.41</w:t>
            </w:r>
          </w:p>
        </w:tc>
        <w:tc>
          <w:tcPr>
            <w:tcW w:w="72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100</w:t>
            </w:r>
          </w:p>
        </w:tc>
      </w:tr>
      <w:tr>
        <w:tblPrEx>
          <w:tblCellMar>
            <w:top w:w="0" w:type="dxa"/>
            <w:left w:w="108" w:type="dxa"/>
            <w:bottom w:w="0" w:type="dxa"/>
            <w:right w:w="108" w:type="dxa"/>
          </w:tblCellMar>
        </w:tblPrEx>
        <w:trPr>
          <w:trHeight w:val="285" w:hRule="atLeast"/>
        </w:trPr>
        <w:tc>
          <w:tcPr>
            <w:tcW w:w="552"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6</w:t>
            </w:r>
          </w:p>
        </w:tc>
        <w:tc>
          <w:tcPr>
            <w:tcW w:w="3010"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640" w:firstLineChars="2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政务服务“好差评”（分）</w:t>
            </w:r>
          </w:p>
        </w:tc>
        <w:tc>
          <w:tcPr>
            <w:tcW w:w="71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7.6</w:t>
            </w:r>
          </w:p>
        </w:tc>
        <w:tc>
          <w:tcPr>
            <w:tcW w:w="72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9.5</w:t>
            </w:r>
          </w:p>
        </w:tc>
      </w:tr>
      <w:tr>
        <w:tblPrEx>
          <w:tblCellMar>
            <w:top w:w="0" w:type="dxa"/>
            <w:left w:w="108" w:type="dxa"/>
            <w:bottom w:w="0" w:type="dxa"/>
            <w:right w:w="108" w:type="dxa"/>
          </w:tblCellMar>
        </w:tblPrEx>
        <w:trPr>
          <w:trHeight w:val="285" w:hRule="atLeast"/>
        </w:trPr>
        <w:tc>
          <w:tcPr>
            <w:tcW w:w="552"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7</w:t>
            </w:r>
          </w:p>
        </w:tc>
        <w:tc>
          <w:tcPr>
            <w:tcW w:w="3010"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640" w:firstLineChars="2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“粤省事”注册率（%)</w:t>
            </w:r>
          </w:p>
        </w:tc>
        <w:tc>
          <w:tcPr>
            <w:tcW w:w="71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100</w:t>
            </w:r>
          </w:p>
        </w:tc>
        <w:tc>
          <w:tcPr>
            <w:tcW w:w="72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100</w:t>
            </w:r>
          </w:p>
        </w:tc>
      </w:tr>
      <w:tr>
        <w:tblPrEx>
          <w:tblCellMar>
            <w:top w:w="0" w:type="dxa"/>
            <w:left w:w="108" w:type="dxa"/>
            <w:bottom w:w="0" w:type="dxa"/>
            <w:right w:w="108" w:type="dxa"/>
          </w:tblCellMar>
        </w:tblPrEx>
        <w:trPr>
          <w:trHeight w:val="285" w:hRule="atLeast"/>
        </w:trPr>
        <w:tc>
          <w:tcPr>
            <w:tcW w:w="552"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8</w:t>
            </w:r>
          </w:p>
        </w:tc>
        <w:tc>
          <w:tcPr>
            <w:tcW w:w="3010"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640" w:firstLineChars="2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“粤商通”注册率（%)</w:t>
            </w:r>
          </w:p>
        </w:tc>
        <w:tc>
          <w:tcPr>
            <w:tcW w:w="71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57.1</w:t>
            </w:r>
          </w:p>
        </w:tc>
        <w:tc>
          <w:tcPr>
            <w:tcW w:w="72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80</w:t>
            </w:r>
          </w:p>
        </w:tc>
      </w:tr>
      <w:tr>
        <w:tblPrEx>
          <w:tblCellMar>
            <w:top w:w="0" w:type="dxa"/>
            <w:left w:w="108" w:type="dxa"/>
            <w:bottom w:w="0" w:type="dxa"/>
            <w:right w:w="108" w:type="dxa"/>
          </w:tblCellMar>
        </w:tblPrEx>
        <w:trPr>
          <w:trHeight w:val="315" w:hRule="atLeast"/>
        </w:trPr>
        <w:tc>
          <w:tcPr>
            <w:tcW w:w="552"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9</w:t>
            </w:r>
          </w:p>
        </w:tc>
        <w:tc>
          <w:tcPr>
            <w:tcW w:w="3010"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640" w:firstLineChars="2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“一网统管”行业覆盖率（%）</w:t>
            </w:r>
          </w:p>
        </w:tc>
        <w:tc>
          <w:tcPr>
            <w:tcW w:w="71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w:t>
            </w:r>
          </w:p>
        </w:tc>
        <w:tc>
          <w:tcPr>
            <w:tcW w:w="72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100</w:t>
            </w:r>
          </w:p>
        </w:tc>
      </w:tr>
      <w:tr>
        <w:tblPrEx>
          <w:tblCellMar>
            <w:top w:w="0" w:type="dxa"/>
            <w:left w:w="108" w:type="dxa"/>
            <w:bottom w:w="0" w:type="dxa"/>
            <w:right w:w="108" w:type="dxa"/>
          </w:tblCellMar>
        </w:tblPrEx>
        <w:trPr>
          <w:trHeight w:val="285" w:hRule="atLeast"/>
        </w:trPr>
        <w:tc>
          <w:tcPr>
            <w:tcW w:w="552"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10</w:t>
            </w:r>
          </w:p>
        </w:tc>
        <w:tc>
          <w:tcPr>
            <w:tcW w:w="3010"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“粤政易”日均活跃用户数（千户）</w:t>
            </w:r>
          </w:p>
        </w:tc>
        <w:tc>
          <w:tcPr>
            <w:tcW w:w="71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2.8</w:t>
            </w:r>
          </w:p>
        </w:tc>
        <w:tc>
          <w:tcPr>
            <w:tcW w:w="72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3.3</w:t>
            </w:r>
          </w:p>
        </w:tc>
      </w:tr>
      <w:tr>
        <w:tblPrEx>
          <w:tblCellMar>
            <w:top w:w="0" w:type="dxa"/>
            <w:left w:w="108" w:type="dxa"/>
            <w:bottom w:w="0" w:type="dxa"/>
            <w:right w:w="108" w:type="dxa"/>
          </w:tblCellMar>
        </w:tblPrEx>
        <w:trPr>
          <w:trHeight w:val="315" w:hRule="atLeast"/>
        </w:trPr>
        <w:tc>
          <w:tcPr>
            <w:tcW w:w="552"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11</w:t>
            </w:r>
          </w:p>
        </w:tc>
        <w:tc>
          <w:tcPr>
            <w:tcW w:w="3010"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视频终端接入大数据中心数量（路）</w:t>
            </w:r>
          </w:p>
        </w:tc>
        <w:tc>
          <w:tcPr>
            <w:tcW w:w="71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w:t>
            </w:r>
          </w:p>
        </w:tc>
        <w:tc>
          <w:tcPr>
            <w:tcW w:w="72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1000</w:t>
            </w:r>
          </w:p>
        </w:tc>
      </w:tr>
      <w:tr>
        <w:tblPrEx>
          <w:tblCellMar>
            <w:top w:w="0" w:type="dxa"/>
            <w:left w:w="108" w:type="dxa"/>
            <w:bottom w:w="0" w:type="dxa"/>
            <w:right w:w="108" w:type="dxa"/>
          </w:tblCellMar>
        </w:tblPrEx>
        <w:trPr>
          <w:trHeight w:val="570" w:hRule="atLeast"/>
        </w:trPr>
        <w:tc>
          <w:tcPr>
            <w:tcW w:w="552"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12</w:t>
            </w:r>
          </w:p>
        </w:tc>
        <w:tc>
          <w:tcPr>
            <w:tcW w:w="3010"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感知终端接入大数据中心数量（路）</w:t>
            </w:r>
          </w:p>
        </w:tc>
        <w:tc>
          <w:tcPr>
            <w:tcW w:w="71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w:t>
            </w:r>
          </w:p>
        </w:tc>
        <w:tc>
          <w:tcPr>
            <w:tcW w:w="72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1000</w:t>
            </w:r>
          </w:p>
        </w:tc>
      </w:tr>
      <w:tr>
        <w:tblPrEx>
          <w:tblCellMar>
            <w:top w:w="0" w:type="dxa"/>
            <w:left w:w="108" w:type="dxa"/>
            <w:bottom w:w="0" w:type="dxa"/>
            <w:right w:w="108" w:type="dxa"/>
          </w:tblCellMar>
        </w:tblPrEx>
        <w:trPr>
          <w:trHeight w:val="285" w:hRule="atLeast"/>
        </w:trPr>
        <w:tc>
          <w:tcPr>
            <w:tcW w:w="552"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13</w:t>
            </w:r>
          </w:p>
        </w:tc>
        <w:tc>
          <w:tcPr>
            <w:tcW w:w="3010"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640" w:firstLineChars="2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电子证照用证率（%）</w:t>
            </w:r>
          </w:p>
        </w:tc>
        <w:tc>
          <w:tcPr>
            <w:tcW w:w="71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24</w:t>
            </w:r>
          </w:p>
        </w:tc>
        <w:tc>
          <w:tcPr>
            <w:tcW w:w="72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95</w:t>
            </w:r>
          </w:p>
        </w:tc>
      </w:tr>
      <w:tr>
        <w:tblPrEx>
          <w:tblCellMar>
            <w:top w:w="0" w:type="dxa"/>
            <w:left w:w="108" w:type="dxa"/>
            <w:bottom w:w="0" w:type="dxa"/>
            <w:right w:w="108" w:type="dxa"/>
          </w:tblCellMar>
        </w:tblPrEx>
        <w:trPr>
          <w:trHeight w:val="570" w:hRule="atLeast"/>
        </w:trPr>
        <w:tc>
          <w:tcPr>
            <w:tcW w:w="552"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14</w:t>
            </w:r>
          </w:p>
        </w:tc>
        <w:tc>
          <w:tcPr>
            <w:tcW w:w="3010"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640" w:firstLineChars="2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政府部门电子印章覆盖率（%）</w:t>
            </w:r>
          </w:p>
        </w:tc>
        <w:tc>
          <w:tcPr>
            <w:tcW w:w="71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90</w:t>
            </w:r>
          </w:p>
        </w:tc>
        <w:tc>
          <w:tcPr>
            <w:tcW w:w="72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98</w:t>
            </w:r>
          </w:p>
        </w:tc>
      </w:tr>
      <w:tr>
        <w:tblPrEx>
          <w:tblCellMar>
            <w:top w:w="0" w:type="dxa"/>
            <w:left w:w="108" w:type="dxa"/>
            <w:bottom w:w="0" w:type="dxa"/>
            <w:right w:w="108" w:type="dxa"/>
          </w:tblCellMar>
        </w:tblPrEx>
        <w:trPr>
          <w:trHeight w:val="285" w:hRule="atLeast"/>
        </w:trPr>
        <w:tc>
          <w:tcPr>
            <w:tcW w:w="552"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15</w:t>
            </w:r>
          </w:p>
        </w:tc>
        <w:tc>
          <w:tcPr>
            <w:tcW w:w="3010"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一体化政务服务平台可网办事项单点登录率（%）</w:t>
            </w:r>
          </w:p>
        </w:tc>
        <w:tc>
          <w:tcPr>
            <w:tcW w:w="71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100</w:t>
            </w:r>
          </w:p>
        </w:tc>
        <w:tc>
          <w:tcPr>
            <w:tcW w:w="72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320" w:firstLineChars="100"/>
              <w:jc w:val="both"/>
              <w:textAlignment w:val="auto"/>
              <w:rPr>
                <w:rFonts w:hint="eastAsia" w:ascii="宋体" w:hAnsi="宋体" w:eastAsia="方正仿宋_GBK" w:cs="方正仿宋_GBK"/>
                <w:color w:val="auto"/>
                <w:kern w:val="0"/>
                <w:sz w:val="32"/>
                <w:szCs w:val="32"/>
              </w:rPr>
            </w:pPr>
            <w:r>
              <w:rPr>
                <w:rFonts w:hint="eastAsia" w:ascii="宋体" w:hAnsi="宋体" w:eastAsia="方正仿宋_GBK" w:cs="方正仿宋_GBK"/>
                <w:color w:val="auto"/>
                <w:kern w:val="0"/>
                <w:sz w:val="32"/>
                <w:szCs w:val="32"/>
              </w:rPr>
              <w:t>100</w:t>
            </w:r>
          </w:p>
        </w:tc>
      </w:tr>
    </w:tbl>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69" w:name="_Toc15169"/>
      <w:bookmarkStart w:id="70" w:name="_Toc20945"/>
      <w:r>
        <w:rPr>
          <w:rFonts w:hint="eastAsia" w:ascii="宋体" w:hAnsi="宋体"/>
          <w:color w:val="auto"/>
        </w:rPr>
        <w:t>规划布局</w:t>
      </w:r>
      <w:bookmarkEnd w:id="69"/>
      <w:bookmarkEnd w:id="70"/>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我区数字政府改革建设将认真贯彻落实国家、省、市数字政府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建设有关要求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服务国家、省、市重大战略</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遵循相关国家、省、市标准规范</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融入国家、省、市一体化平台</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为网络强国、数字中国、智慧社会建设贡献力量。</w:t>
      </w:r>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推动区域协调发展。在“全省一盘棋”的总体要求下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推进数字政府基础设施、公共支撑平台和平台型应用的统一部署</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逐步优化、整合现有应用系统、数据</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结合本区智慧城市等建设需求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按需开展业务应用创新</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实现源城区数字政府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建设跨越式发展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促进经济社会协调、均衡发展。</w:t>
      </w:r>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营商环境共建。贯彻落实</w:t>
      </w:r>
      <w:r>
        <w:rPr>
          <w:rFonts w:hint="eastAsia" w:ascii="宋体" w:hAnsi="宋体" w:eastAsia="方正仿宋_GBK" w:cs="方正仿宋_GBK"/>
          <w:color w:val="auto"/>
          <w:sz w:val="32"/>
          <w:szCs w:val="32"/>
          <w:shd w:val="clear" w:color="auto" w:fill="FFFFFF"/>
          <w:lang w:val="en-US" w:eastAsia="zh-CN"/>
        </w:rPr>
        <w:t>省市</w:t>
      </w:r>
      <w:r>
        <w:rPr>
          <w:rFonts w:hint="eastAsia" w:ascii="宋体" w:hAnsi="宋体" w:eastAsia="方正仿宋_GBK" w:cs="方正仿宋_GBK"/>
          <w:color w:val="auto"/>
          <w:sz w:val="32"/>
          <w:szCs w:val="32"/>
          <w:shd w:val="clear" w:color="auto" w:fill="FFFFFF"/>
        </w:rPr>
        <w:t>推动企业等各类市场主体登记注册和涉企经营许可等事项“跨省通办”</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简化各类跨地区投资项目审批、工程建设项目审批等流程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激发市场主体活力。在社会信用体系建设、投资项目促进、营商服务便利化与营商环境评估等方面深化省际合作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探索建立跨地区营商环境问题反馈与解决机制</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实现优势互补、互利共赢。</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71" w:name="_Toc15659"/>
      <w:bookmarkStart w:id="72" w:name="_Toc3299"/>
      <w:r>
        <w:rPr>
          <w:rFonts w:hint="eastAsia" w:ascii="宋体" w:hAnsi="宋体"/>
          <w:color w:val="auto"/>
        </w:rPr>
        <w:t>实施策略</w:t>
      </w:r>
      <w:bookmarkEnd w:id="71"/>
      <w:bookmarkEnd w:id="72"/>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整体协同</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分类推进。按照“整体政府、业务协同、持续改进”的要求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开展业务梳理和系统重构</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搭建并完善数字政府业务协同体系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不断推动政务业务流程再造</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驱动全区各部门开展数字化转型。其中：</w:t>
      </w:r>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业务系统建设。在各部门现有业务系统的基础上</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根据部门自身履职需求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开展业务、数据、系统盘点和规划</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逐步建设完善各部门业务系统</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提高系统集约化程度</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避免重复建设和低水平投资。</w:t>
      </w:r>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业务协同规划。根据跨部门业务协同需求（如并联审批、联合监管、指挥决策等）</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组织相关部门分批分专题开展协同业务梳理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明确各专题对应的业务流程、系统、数据等整合、重组计划</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确定对应业务协同系统的架构、功能</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完善支撑配套的数据共享协议、管理和操作机制。</w:t>
      </w:r>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协同系统建设。在业务协同规划的基础上</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逐步建设完善跨部门、跨区域、跨层级的大平台、大系统</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提高政府数字化的综合服务能力、综合管理能力和综合决策能力。</w:t>
      </w:r>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市</w:t>
      </w:r>
      <w:r>
        <w:rPr>
          <w:rFonts w:hint="eastAsia" w:ascii="宋体" w:hAnsi="宋体" w:eastAsia="方正仿宋_GBK" w:cs="方正仿宋_GBK"/>
          <w:color w:val="auto"/>
          <w:sz w:val="32"/>
          <w:szCs w:val="32"/>
          <w:lang w:val="en-US" w:eastAsia="zh-CN"/>
        </w:rPr>
        <w:t>区</w:t>
      </w:r>
      <w:r>
        <w:rPr>
          <w:rFonts w:hint="eastAsia" w:ascii="宋体" w:hAnsi="宋体" w:eastAsia="方正仿宋_GBK" w:cs="方正仿宋_GBK"/>
          <w:color w:val="auto"/>
          <w:sz w:val="32"/>
          <w:szCs w:val="32"/>
        </w:rPr>
        <w:t>一体</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统分结合。在规划的总体布局下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按照“省市一体、以统为主、统分结合”的要求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省、市、县（区）各级数字政府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应遵循统一的标准规范</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确保架构的完整性、一致性、互通性。源城区数字政府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建设。由源城区政务服务数据管理部门牵头</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按照省、市数字政府改革建设的工作部署</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充分利用和依托省、市已有建设成果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开展应用推广和业务创新。</w:t>
      </w:r>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strike/>
          <w:dstrike w:val="0"/>
          <w:color w:val="auto"/>
          <w:sz w:val="32"/>
          <w:szCs w:val="32"/>
          <w:shd w:val="clear" w:color="auto" w:fill="FFFFFF"/>
        </w:rPr>
      </w:pPr>
      <w:r>
        <w:rPr>
          <w:rFonts w:hint="eastAsia" w:ascii="宋体" w:hAnsi="宋体" w:eastAsia="方正仿宋_GBK" w:cs="方正仿宋_GBK"/>
          <w:color w:val="auto"/>
          <w:sz w:val="32"/>
          <w:szCs w:val="32"/>
          <w:shd w:val="clear" w:color="auto" w:fill="FFFFFF"/>
        </w:rPr>
        <w:t>有限目标</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分步实施。按照“总体设计、分步实施</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有限目标、持续推进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快速迭代、量化考核”的总体要求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根据省</w:t>
      </w:r>
      <w:r>
        <w:rPr>
          <w:rFonts w:hint="eastAsia" w:ascii="宋体" w:hAnsi="宋体" w:eastAsia="方正仿宋_GBK" w:cs="方正仿宋_GBK"/>
          <w:color w:val="auto"/>
          <w:sz w:val="32"/>
          <w:szCs w:val="32"/>
          <w:shd w:val="clear" w:color="auto" w:fill="FFFFFF"/>
          <w:lang w:val="en-US" w:eastAsia="zh-CN"/>
        </w:rPr>
        <w:t>市</w:t>
      </w:r>
      <w:r>
        <w:rPr>
          <w:rFonts w:hint="eastAsia" w:ascii="宋体" w:hAnsi="宋体" w:eastAsia="方正仿宋_GBK" w:cs="方正仿宋_GBK"/>
          <w:color w:val="auto"/>
          <w:sz w:val="32"/>
          <w:szCs w:val="32"/>
          <w:shd w:val="clear" w:color="auto" w:fill="FFFFFF"/>
        </w:rPr>
        <w:t>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shd w:val="clear" w:color="auto" w:fill="FFFFFF"/>
        </w:rPr>
        <w:t>建设要求逐年落实区数字政府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shd w:val="clear" w:color="auto" w:fill="FFFFFF"/>
        </w:rPr>
        <w:t>建设任务。其中</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2021年。巩固提升全区政务信息基础设施支撑水平；继续提升“粤系列”平台型应用、深化“政银合作”、重点关注特殊人群应用需求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推进全区政务服务体系泛在、普惠、均等；全面开展“一网统管”工作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推动区域治理能力提升；以数据要素市场化配置改革为突破口</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健全公共数据资源开发利用制度</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推进公共数据开放和开发利用。</w:t>
      </w:r>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2022-2023年。持续完善基础设施、政务大数据中心、业务中台的一体集约化应用。通过深入推进落实“省统、市建、共推”的建设模式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有序推动全区各部门数字化转型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实现全区政务服务、</w:t>
      </w:r>
      <w:r>
        <w:rPr>
          <w:rFonts w:hint="eastAsia" w:ascii="宋体" w:hAnsi="宋体" w:eastAsia="方正仿宋_GBK" w:cs="方正仿宋_GBK"/>
          <w:color w:val="auto"/>
          <w:sz w:val="32"/>
          <w:szCs w:val="32"/>
          <w:highlight w:val="none"/>
          <w:shd w:val="clear" w:color="auto" w:fill="FFFFFF"/>
          <w:lang w:val="en-US" w:eastAsia="zh-CN"/>
        </w:rPr>
        <w:t>区</w:t>
      </w:r>
      <w:r>
        <w:rPr>
          <w:rFonts w:hint="eastAsia" w:ascii="宋体" w:hAnsi="宋体" w:eastAsia="方正仿宋_GBK" w:cs="方正仿宋_GBK"/>
          <w:color w:val="auto"/>
          <w:sz w:val="32"/>
          <w:szCs w:val="32"/>
          <w:shd w:val="clear" w:color="auto" w:fill="FFFFFF"/>
        </w:rPr>
        <w:t>域治理、行政协同等领域数字化能力全面提升</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有效促进智慧源城建设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初步构建权责清晰的数据要素市场化配置制度规则和组织体系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实现数据要素市场规范有序发展。</w:t>
      </w:r>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2024-2025年。政府履职与数字技术深度融合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一体化数字政府业务应用体系全面建成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制度完备、模式创新的数据要素市场体系基本形成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数字政府有力引领数字经济、数字社会发展。</w:t>
      </w:r>
    </w:p>
    <w:p>
      <w:pPr>
        <w:pStyle w:val="3"/>
        <w:pageBreakBefore w:val="0"/>
        <w:widowControl w:val="0"/>
        <w:kinsoku/>
        <w:wordWrap/>
        <w:overflowPunct w:val="0"/>
        <w:topLinePunct w:val="0"/>
        <w:autoSpaceDE w:val="0"/>
        <w:autoSpaceDN w:val="0"/>
        <w:bidi w:val="0"/>
        <w:snapToGrid/>
        <w:spacing w:before="0" w:after="0" w:line="600" w:lineRule="exact"/>
        <w:ind w:left="0" w:leftChars="0" w:firstLine="640" w:firstLineChars="200"/>
        <w:jc w:val="both"/>
        <w:textAlignment w:val="auto"/>
        <w:rPr>
          <w:rFonts w:hint="eastAsia" w:ascii="宋体" w:hAnsi="宋体"/>
          <w:color w:val="auto"/>
        </w:rPr>
      </w:pPr>
      <w:bookmarkStart w:id="73" w:name="_Toc10840"/>
      <w:bookmarkStart w:id="74" w:name="_Toc8247"/>
      <w:r>
        <w:rPr>
          <w:rFonts w:hint="eastAsia" w:ascii="宋体" w:hAnsi="宋体"/>
          <w:color w:val="auto"/>
          <w:lang w:val="en-US" w:eastAsia="zh-CN"/>
        </w:rPr>
        <w:t>总体架</w:t>
      </w:r>
      <w:r>
        <w:rPr>
          <w:rFonts w:hint="eastAsia" w:ascii="宋体" w:hAnsi="宋体"/>
          <w:color w:val="auto"/>
        </w:rPr>
        <w:t>构</w:t>
      </w:r>
      <w:bookmarkEnd w:id="73"/>
      <w:bookmarkEnd w:id="74"/>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按照广东省和河源市数字政府架构的要求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源城区数字政府架构包括管理架构、业务架构、技术架构以及数据架构。其中管理架构采用“管运分离”的建设运营模式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通过政企合作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推动区数字政府改革建设发展；业务架构按照构建“整体政府”的要求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突出具有我区特点的业务应用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加强机构整合、业务融合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构建全方位、多领域、有特色的服务型数字政府业务体系；技术架构采用分层设计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以集约化、一体化建设和运行为原则</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遵循系统工程的要求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包括业务应用层、应用支撑层、数据服务层、基础设施层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以及安全、标准和运行管理体系；数据架构以消除“信息孤岛”为目的</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实现数据资源共享开放利用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构建数字政府政务大脑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提升政务数据治理能力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shd w:val="clear" w:color="auto" w:fill="FFFFFF"/>
        </w:rPr>
        <w:t>建设提供强有力的数据支撑。</w:t>
      </w:r>
    </w:p>
    <w:p>
      <w:pPr>
        <w:pStyle w:val="2"/>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rPr>
        <w:drawing>
          <wp:inline distT="0" distB="0" distL="0" distR="0">
            <wp:extent cx="5707380" cy="3248660"/>
            <wp:effectExtent l="0" t="0" r="7620" b="889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21258" cy="3257133"/>
                    </a:xfrm>
                    <a:prstGeom prst="rect">
                      <a:avLst/>
                    </a:prstGeom>
                    <a:noFill/>
                    <a:ln>
                      <a:noFill/>
                    </a:ln>
                  </pic:spPr>
                </pic:pic>
              </a:graphicData>
            </a:graphic>
          </wp:inline>
        </w:drawing>
      </w:r>
    </w:p>
    <w:p>
      <w:pPr>
        <w:pageBreakBefore w:val="0"/>
        <w:kinsoku/>
        <w:wordWrap/>
        <w:overflowPunct w:val="0"/>
        <w:topLinePunct w:val="0"/>
        <w:autoSpaceDE w:val="0"/>
        <w:autoSpaceDN w:val="0"/>
        <w:bidi w:val="0"/>
        <w:adjustRightInd w:val="0"/>
        <w:snapToGrid/>
        <w:spacing w:line="600" w:lineRule="exact"/>
        <w:ind w:firstLine="1600" w:firstLineChars="500"/>
        <w:jc w:val="both"/>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图</w:t>
      </w:r>
      <w:r>
        <w:rPr>
          <w:rFonts w:hint="eastAsia" w:ascii="宋体" w:hAnsi="宋体" w:eastAsia="方正仿宋_GBK" w:cs="方正仿宋_GBK"/>
          <w:color w:val="auto"/>
          <w:sz w:val="32"/>
          <w:szCs w:val="32"/>
          <w:lang w:val="en-US" w:eastAsia="zh-CN"/>
        </w:rPr>
        <w:t>1</w:t>
      </w:r>
      <w:r>
        <w:rPr>
          <w:rFonts w:hint="eastAsia" w:ascii="宋体" w:hAnsi="宋体" w:eastAsia="方正仿宋_GBK" w:cs="方正仿宋_GBK"/>
          <w:color w:val="auto"/>
          <w:sz w:val="32"/>
          <w:szCs w:val="32"/>
        </w:rPr>
        <w:t xml:space="preserve">  河源市数字政府管理架构</w:t>
      </w:r>
    </w:p>
    <w:p>
      <w:pPr>
        <w:pStyle w:val="2"/>
        <w:rPr>
          <w:rFonts w:hint="eastAsia" w:ascii="宋体" w:hAnsi="宋体" w:eastAsia="方正仿宋_GBK" w:cs="方正仿宋_GBK"/>
          <w:color w:val="auto"/>
          <w:sz w:val="32"/>
          <w:szCs w:val="32"/>
          <w:shd w:val="clear" w:color="auto" w:fill="FFFFFF"/>
        </w:rPr>
      </w:pP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75" w:name="_Toc3420"/>
      <w:bookmarkStart w:id="76" w:name="_Toc28599"/>
      <w:r>
        <w:rPr>
          <w:rFonts w:hint="eastAsia" w:ascii="宋体" w:hAnsi="宋体"/>
          <w:color w:val="auto"/>
        </w:rPr>
        <w:t>管理架构</w:t>
      </w:r>
      <w:bookmarkEnd w:id="75"/>
      <w:bookmarkEnd w:id="76"/>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按照</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全省一盘棋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的数字政府改革建设总体要求和“政企合作、管运分离”的总体原则</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在管理体制、运行机制、建设运维模式等方面探索创新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构建“统一领导、统筹管理、专业运营、智库支撑”的数字政府改革建设管理模式。</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加强统一领导</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rPr>
        <w:t>在本级数字政府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建设工作领导小组</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政务数据共享协调小组</w:t>
      </w:r>
      <w:r>
        <w:rPr>
          <w:rFonts w:hint="eastAsia" w:ascii="宋体" w:hAnsi="宋体" w:eastAsia="方正仿宋_GBK" w:cs="方正仿宋_GBK"/>
          <w:color w:val="auto"/>
          <w:sz w:val="32"/>
          <w:szCs w:val="32"/>
        </w:rPr>
        <w:t>和首席数据官（CDO）的宏观指导、统筹规划、跨部门协调和统一部署下，制定本级数字政府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建设规划，统筹管理各职能部门信息化项目，以及公共数据共享管理工作。建立并执行首席数据官（CDO）责任制</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进一步完善各地各部门的数字政府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建设责任，细化明确各级政务服务数据管理局与各职能部门数字政府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建设的分工和责任边界。</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加强统筹管理</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源城区政务服务数据管理局</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作为区数字政府改革建设工作和公共数据管理的行政主管机构</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统筹协调各职能部门</w:t>
      </w:r>
      <w:r>
        <w:rPr>
          <w:rFonts w:hint="eastAsia" w:ascii="宋体" w:hAnsi="宋体" w:eastAsia="方正仿宋_GBK" w:cs="方正仿宋_GBK"/>
          <w:color w:val="auto"/>
          <w:sz w:val="32"/>
          <w:szCs w:val="32"/>
          <w:highlight w:val="none"/>
          <w:shd w:val="clear" w:color="auto" w:fill="FFFFFF"/>
          <w:lang w:val="en-US" w:eastAsia="zh-CN"/>
        </w:rPr>
        <w:t>政务</w:t>
      </w:r>
      <w:r>
        <w:rPr>
          <w:rFonts w:hint="eastAsia" w:ascii="宋体" w:hAnsi="宋体" w:eastAsia="方正仿宋_GBK" w:cs="方正仿宋_GBK"/>
          <w:color w:val="auto"/>
          <w:sz w:val="32"/>
          <w:szCs w:val="32"/>
          <w:highlight w:val="none"/>
          <w:shd w:val="clear" w:color="auto" w:fill="FFFFFF"/>
        </w:rPr>
        <w:t>信息化</w:t>
      </w:r>
      <w:r>
        <w:rPr>
          <w:rFonts w:hint="eastAsia" w:ascii="宋体" w:hAnsi="宋体" w:eastAsia="方正仿宋_GBK" w:cs="方正仿宋_GBK"/>
          <w:color w:val="auto"/>
          <w:sz w:val="32"/>
          <w:szCs w:val="32"/>
          <w:highlight w:val="none"/>
          <w:shd w:val="clear" w:color="auto" w:fill="FFFFFF"/>
          <w:lang w:val="en-US" w:eastAsia="zh-CN"/>
        </w:rPr>
        <w:t>服务</w:t>
      </w:r>
      <w:r>
        <w:rPr>
          <w:rFonts w:hint="eastAsia" w:ascii="宋体" w:hAnsi="宋体" w:eastAsia="方正仿宋_GBK" w:cs="方正仿宋_GBK"/>
          <w:color w:val="auto"/>
          <w:sz w:val="32"/>
          <w:szCs w:val="32"/>
          <w:highlight w:val="none"/>
          <w:shd w:val="clear" w:color="auto" w:fill="FFFFFF"/>
        </w:rPr>
        <w:t>项</w:t>
      </w:r>
      <w:r>
        <w:rPr>
          <w:rFonts w:hint="eastAsia" w:ascii="宋体" w:hAnsi="宋体" w:eastAsia="方正仿宋_GBK" w:cs="方正仿宋_GBK"/>
          <w:color w:val="auto"/>
          <w:sz w:val="32"/>
          <w:szCs w:val="32"/>
          <w:shd w:val="clear" w:color="auto" w:fill="FFFFFF"/>
        </w:rPr>
        <w:t>目管理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负</w:t>
      </w:r>
      <w:r>
        <w:rPr>
          <w:rFonts w:hint="eastAsia" w:ascii="宋体" w:hAnsi="宋体" w:eastAsia="方正仿宋_GBK" w:cs="方正仿宋_GBK"/>
          <w:color w:val="auto"/>
          <w:sz w:val="32"/>
          <w:szCs w:val="32"/>
          <w:highlight w:val="none"/>
          <w:shd w:val="clear" w:color="auto" w:fill="FFFFFF"/>
        </w:rPr>
        <w:t>责建设公共类项目；</w:t>
      </w:r>
      <w:r>
        <w:rPr>
          <w:rFonts w:hint="eastAsia" w:ascii="宋体" w:hAnsi="宋体" w:eastAsia="方正仿宋_GBK" w:cs="方正仿宋_GBK"/>
          <w:color w:val="auto"/>
          <w:sz w:val="32"/>
          <w:szCs w:val="32"/>
          <w:shd w:val="clear" w:color="auto" w:fill="FFFFFF"/>
        </w:rPr>
        <w:t>统筹全区公共数据的采集、分类、管理、分析和应用工作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提高全区数字政府数据统筹、集约、共享力度。</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创新运营模式</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b/>
          <w:bCs/>
          <w:color w:val="auto"/>
          <w:sz w:val="32"/>
          <w:szCs w:val="32"/>
          <w:shd w:val="clear" w:color="auto" w:fill="FFFFFF"/>
        </w:rPr>
      </w:pPr>
      <w:r>
        <w:rPr>
          <w:rFonts w:hint="eastAsia" w:ascii="宋体" w:hAnsi="宋体" w:eastAsia="方正仿宋_GBK" w:cs="方正仿宋_GBK"/>
          <w:color w:val="auto"/>
          <w:sz w:val="32"/>
          <w:szCs w:val="32"/>
          <w:shd w:val="clear" w:color="auto" w:fill="FFFFFF"/>
        </w:rPr>
        <w:t>按照“政企合作、管运分离”的要求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坚持政府主导</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通过政策引导、规范监管、购买服务等加强对数字政府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shd w:val="clear" w:color="auto" w:fill="FFFFFF"/>
        </w:rPr>
        <w:t>建设、运营的统筹协调和组织推进。鼓励社会主体发挥技术优势、渠道优势和专业运营服务能力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共同参与数字政府项目建设及运营</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提升政府整体服务水平。</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建立智库支撑</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设立区专家委员会和专家库</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借助专家和第三方咨询机构等智库力量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提高全区数字政府改革的规划、设计和建设管理水平。</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健全动力机制</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以数字政府改革为推动力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将全区数字政府改革建设工作纳入各级各部门政府绩效考核体系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加强监督考察</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正确处理好政府、市场和社会的关系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共同培育和提升数字政府改革建设的内生动力。</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77" w:name="_Toc6872"/>
      <w:bookmarkStart w:id="78" w:name="_Toc8060"/>
      <w:r>
        <w:rPr>
          <w:rFonts w:hint="eastAsia" w:ascii="宋体" w:hAnsi="宋体"/>
          <w:color w:val="auto"/>
        </w:rPr>
        <w:t>业务架构</w:t>
      </w:r>
      <w:bookmarkEnd w:id="77"/>
      <w:bookmarkEnd w:id="78"/>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b/>
          <w:bCs/>
          <w:color w:val="auto"/>
          <w:sz w:val="32"/>
          <w:szCs w:val="32"/>
          <w:shd w:val="clear" w:color="auto" w:fill="FFFFFF"/>
        </w:rPr>
      </w:pPr>
      <w:r>
        <w:rPr>
          <w:rFonts w:hint="eastAsia" w:ascii="宋体" w:hAnsi="宋体" w:eastAsia="方正仿宋_GBK" w:cs="方正仿宋_GBK"/>
          <w:color w:val="auto"/>
          <w:sz w:val="32"/>
          <w:szCs w:val="32"/>
          <w:shd w:val="clear" w:color="auto" w:fill="FFFFFF"/>
        </w:rPr>
        <w:t>以服务对象为中心</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以提高政府数字化综合服务能力、综合管理能力、综合决策能力为目标</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构建“整体协同、平台驱动”的业务架构。优化源城区服务“一网通办”</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推动源城区治理“一网统管”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强化运行“一网协同”</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实现“三网融合”。同时</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结合源城区特色</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以重点业务应用为切入点</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构建源城区全方位、多领域、有特色、可持续的服务型数字政府业务体系。</w:t>
      </w:r>
    </w:p>
    <w:p>
      <w:pPr>
        <w:pageBreakBefore w:val="0"/>
        <w:kinsoku/>
        <w:wordWrap/>
        <w:overflowPunct w:val="0"/>
        <w:topLinePunct w:val="0"/>
        <w:autoSpaceDE w:val="0"/>
        <w:autoSpaceDN w:val="0"/>
        <w:bidi w:val="0"/>
        <w:adjustRightInd w:val="0"/>
        <w:snapToGrid/>
        <w:spacing w:line="600" w:lineRule="exact"/>
        <w:ind w:firstLine="640" w:firstLineChars="200"/>
        <w:jc w:val="center"/>
        <w:textAlignment w:val="auto"/>
        <w:rPr>
          <w:rFonts w:hint="eastAsia" w:ascii="宋体" w:hAnsi="宋体" w:eastAsia="方正仿宋_GBK" w:cs="方正仿宋_GBK"/>
          <w:b/>
          <w:bCs/>
          <w:color w:val="auto"/>
          <w:sz w:val="32"/>
          <w:szCs w:val="32"/>
          <w:shd w:val="clear" w:color="auto" w:fill="FFFFFF"/>
        </w:rPr>
      </w:pPr>
      <w:r>
        <w:rPr>
          <w:rFonts w:hint="eastAsia" w:ascii="宋体" w:hAnsi="宋体" w:eastAsia="方正仿宋_GBK" w:cs="方正仿宋_GBK"/>
          <w:color w:val="auto"/>
          <w:sz w:val="32"/>
          <w:szCs w:val="32"/>
        </w:rPr>
        <w:drawing>
          <wp:anchor distT="0" distB="0" distL="114300" distR="114300" simplePos="0" relativeHeight="251661312" behindDoc="0" locked="0" layoutInCell="1" allowOverlap="1">
            <wp:simplePos x="0" y="0"/>
            <wp:positionH relativeFrom="column">
              <wp:posOffset>28575</wp:posOffset>
            </wp:positionH>
            <wp:positionV relativeFrom="page">
              <wp:posOffset>5847715</wp:posOffset>
            </wp:positionV>
            <wp:extent cx="5593080" cy="3213735"/>
            <wp:effectExtent l="0" t="0" r="7620" b="5715"/>
            <wp:wrapTopAndBottom/>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593080" cy="3213735"/>
                    </a:xfrm>
                    <a:prstGeom prst="rect">
                      <a:avLst/>
                    </a:prstGeom>
                    <a:noFill/>
                    <a:ln>
                      <a:noFill/>
                    </a:ln>
                  </pic:spPr>
                </pic:pic>
              </a:graphicData>
            </a:graphic>
          </wp:anchor>
        </w:drawing>
      </w:r>
      <w:r>
        <w:rPr>
          <w:rFonts w:hint="eastAsia" w:ascii="宋体" w:hAnsi="宋体" w:eastAsia="方正仿宋_GBK" w:cs="方正仿宋_GBK"/>
          <w:color w:val="auto"/>
          <w:sz w:val="32"/>
          <w:szCs w:val="32"/>
        </w:rPr>
        <w:t>图2  河源市数字政府业务架构</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源城区服务“一网通办”</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（1）政务服务应用</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围绕服务对象应用需求进行业务关联整合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对现有的各类政务服务系统、平台、终项等进行优化,实现“一门、一网、一次”办的政务服务体系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推进“粤省事”“粤商通”平台应用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为群众、企业提供多项高频事项移动服务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提高企业、群众办事效率</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提升群众、企业满意度。</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（2）公共服务应用</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sz w:val="32"/>
          <w:szCs w:val="32"/>
          <w:shd w:val="clear" w:color="auto" w:fill="FFFFFF"/>
        </w:rPr>
        <w:t>建设需坚持以人民为中心的发展理念</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着力提升社会保障水平</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优化公共服务供给</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加快推动教育、健康、社区、养老等信息化建设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真正做到普惠于民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实现民生保障服务公平普惠、便捷高效。</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（3）营商环境应用</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围绕企业开办、运营、退出全流程、各环节的“痛点”、“堵点”和“难点”问题</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创新便民利企审批服务方式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深化行政审批制度改革</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健全信用体系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为企业在源城区落户和长期发展提供高效的管理、输出便利的服务。</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源城区治理“一网统管”</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按照省、市的统一部署</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充分依托数字政府一体化的云、网、大数据中心、公共支撑平台和感知体系等基础能力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围绕政府职能</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优化管理体系和管理流程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构建横向到边、纵向到底、全闭环的数字化治理模式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实现源城区范围“一网感知态势、一网纵观全局、一网决策指挥、一网协同共治”。</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（1）城市治理应用</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适应新形势下城市治理体系和治理能力现代化发展的要求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加快公共服务领域数据集中和共享</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深化数据资源应用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推进数字化、网格化城市管理体系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构建城市治理“一张图”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加强政企合作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促进社会协同治理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提升城市治理智能化水平</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构建精准高效、多方协同的城市治理新模式。</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（2）环境保护应用</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结合“互联网+环保”建设部署</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充分利用技术监测、数据感知等技术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建设开放、智能的生态环境保护信息化体系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推进生态环境保护管理创新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构建政府、企业、社会和公众等多方共治的生态环境治理体系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进一步改善人民的居住生活环境和营造良性的企业发展环境</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促进产业群发展和生态环境的可持续发展。</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（3）乡村振兴应用</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依托互联网+、物联网、大数据等信息化技术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提高农村社会综合治理精细化、现代化水平。完善乡村振兴特色产业信息化配套应用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助推产业发展</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打造乡村经济增长新引擎。</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（4）市场监管应用</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依托数字政府统一协作的市场监管应用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对各部门监管业务系统进行统筹整合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形成多维度、深层次的监管信息数据</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并加以分析利用。推动监管事项全覆盖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形成监管过程可共享、可分析、可预警的健全监管体系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为营造一个公平、良好的营商环境打下坚实的基础。</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源城区运行“一网协同”</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推进“粤政易”平台应用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实现行政办公移动化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支撑公务人员远程办公、移动办公、掌上审核、协同审批</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营造多元化的协同办公环境。提高政府内部办文、办会、办事的数字化水平</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倒逼内部业务协同流程再造</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加速内部数字化进程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不断提升政府运行效能。</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79" w:name="_Toc23762"/>
      <w:bookmarkStart w:id="80" w:name="_Toc21690"/>
      <w:r>
        <w:rPr>
          <w:rFonts w:hint="eastAsia" w:ascii="宋体" w:hAnsi="宋体"/>
          <w:color w:val="auto"/>
        </w:rPr>
        <w:t>技术架构</w:t>
      </w:r>
      <w:bookmarkEnd w:id="79"/>
      <w:bookmarkEnd w:id="80"/>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rPr>
        <w:drawing>
          <wp:anchor distT="0" distB="0" distL="114300" distR="114300" simplePos="0" relativeHeight="251660288" behindDoc="0" locked="0" layoutInCell="1" allowOverlap="1">
            <wp:simplePos x="0" y="0"/>
            <wp:positionH relativeFrom="column">
              <wp:posOffset>17780</wp:posOffset>
            </wp:positionH>
            <wp:positionV relativeFrom="paragraph">
              <wp:posOffset>1588135</wp:posOffset>
            </wp:positionV>
            <wp:extent cx="5609590" cy="3089275"/>
            <wp:effectExtent l="0" t="0" r="0" b="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609590" cy="3089275"/>
                    </a:xfrm>
                    <a:prstGeom prst="rect">
                      <a:avLst/>
                    </a:prstGeom>
                    <a:noFill/>
                    <a:ln>
                      <a:noFill/>
                    </a:ln>
                  </pic:spPr>
                </pic:pic>
              </a:graphicData>
            </a:graphic>
          </wp:anchor>
        </w:drawing>
      </w:r>
      <w:r>
        <w:rPr>
          <w:rFonts w:hint="eastAsia" w:ascii="宋体" w:hAnsi="宋体" w:eastAsia="方正仿宋_GBK" w:cs="方正仿宋_GBK"/>
          <w:color w:val="auto"/>
          <w:sz w:val="32"/>
          <w:szCs w:val="32"/>
          <w:shd w:val="clear" w:color="auto" w:fill="FFFFFF"/>
        </w:rPr>
        <w:t>以一体化、集约化为原则</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按照省和河源市数字政府技术架构要求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采用“五横三纵”的分层架构模型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“五横”分别是用户交互层、业务应用层、应用支撑层、数据资源层及基础设施层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“三纵”分别是网络安全、标准规范和运行管理。</w:t>
      </w:r>
    </w:p>
    <w:p>
      <w:pPr>
        <w:pageBreakBefore w:val="0"/>
        <w:kinsoku/>
        <w:wordWrap/>
        <w:overflowPunct w:val="0"/>
        <w:topLinePunct w:val="0"/>
        <w:autoSpaceDE w:val="0"/>
        <w:autoSpaceDN w:val="0"/>
        <w:bidi w:val="0"/>
        <w:adjustRightInd w:val="0"/>
        <w:snapToGrid/>
        <w:spacing w:line="600" w:lineRule="exact"/>
        <w:ind w:firstLine="640" w:firstLineChars="200"/>
        <w:jc w:val="center"/>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图3  河源市数字政府技术架构</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用户交互层</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面向群众、企业、公职人员等用户对象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提供统一交互服务界面、提升用户体验、增强用户获得感</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包括“粤省事”“粤商通”“粤省心”“粤政易”</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广东政务服务网、政务服务一体机等。</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业务应用层</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对应业务架构的划分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结合本地特色</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业务应用层包括政务服务、公共服务、营商环境、移动服务、环境保护、城市治理、乡村振兴、市场监管等“一网通办”“一网统管”“一网协同”应用。</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应用支撑层</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全面对接上级统一建设的应用支撑平台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包括已有的平台和规划新建的平台。已有的应用支撑内容主要包括统一身份认证平台、电子证照系统、电子签章/电子签名系统、非税支付平台、社会信用公共平台、地理信息公共平台、智能客服平台及物流平台。新建的包括应用开放平台、视频和感知数据资源共享管理平台、“一网统管”基础平台。</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数据服务层</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textAlignment w:val="auto"/>
        <w:rPr>
          <w:rFonts w:hint="eastAsia" w:ascii="宋体" w:hAnsi="宋体" w:eastAsia="方正仿宋_GBK" w:cs="方正仿宋_GBK"/>
          <w:color w:val="auto"/>
          <w:kern w:val="2"/>
          <w:sz w:val="32"/>
          <w:szCs w:val="32"/>
          <w:shd w:val="clear" w:color="auto" w:fill="FFFFFF"/>
          <w:lang w:val="en-US" w:eastAsia="zh-CN" w:bidi="ar-SA"/>
        </w:rPr>
      </w:pPr>
      <w:r>
        <w:rPr>
          <w:rFonts w:hint="eastAsia" w:ascii="宋体" w:hAnsi="宋体" w:eastAsia="方正仿宋_GBK" w:cs="方正仿宋_GBK"/>
          <w:color w:val="auto"/>
          <w:kern w:val="2"/>
          <w:sz w:val="32"/>
          <w:szCs w:val="32"/>
          <w:shd w:val="clear" w:color="auto" w:fill="FFFFFF"/>
          <w:lang w:val="en-US" w:eastAsia="zh-CN" w:bidi="ar-SA"/>
        </w:rPr>
        <w:t>在升级大数据中心的统一架构下，持续完善河源市大数据中心分节点建设，为数字政府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kern w:val="2"/>
          <w:sz w:val="32"/>
          <w:szCs w:val="32"/>
          <w:shd w:val="clear" w:color="auto" w:fill="FFFFFF"/>
          <w:lang w:val="en-US" w:eastAsia="zh-CN" w:bidi="ar-SA"/>
        </w:rPr>
        <w:t>建设提供强有力的数据支撑。数据资源库包括基础库、主题库、专题库及社会资源库，其中基础库包括法人单位信息基础库、空间地理信息基础库、社会信用库和电子证照库；主题库以部门业务为主体建设，专题库根据专项工作需要建设；社会数据资源为行业协会、学会、商会、企业等组织生产或依法采集，按需与公共数据资源进行融合。</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基础设施层</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即基础服务平台,包括感知端、政务云和政务网络。感知端包括视频感知终端、物联感知终端、卫星遥感等</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为数字政府提供全面、及时的感知监测能力；政务云包括已有政务云和国产政务云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sz w:val="32"/>
          <w:szCs w:val="32"/>
          <w:shd w:val="clear" w:color="auto" w:fill="FFFFFF"/>
        </w:rPr>
        <w:t>建设提供满足多应用场景的算力服务；政务网络为政府部门提供高速泛在的智慧网络。</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网络安全</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按照省市安全防护体系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从管理机制、保障策略、技术支撑等方面着手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加强源城区数字政府的数据、网络、业务应用等安全的防护能力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切实保障数字政府的信息基础设施、平台和应用系统平稳高效安全运行。</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标准规范</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参照省市数字政府标准规范</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开展源城区政务信息化规范建设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主要包括政务服务事项目录、办事指引、业务流程、政务信息资源目录、数据目录、云计算建设指引等标准和规范。</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运行管理</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包括运营管理和运维管理。运营管理包括对系统建设和应用的绩效考核、投资效益评估、运营改善等。运维管理包括对基础设施、平台和应用系统进行维护以及相关的服务流程管理、维护服务评价</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建立持续改进的服务管理体系。</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81" w:name="_Toc11844"/>
      <w:bookmarkStart w:id="82" w:name="_Toc2190"/>
      <w:r>
        <w:rPr>
          <w:rFonts w:hint="eastAsia" w:ascii="宋体" w:hAnsi="宋体"/>
          <w:color w:val="auto"/>
        </w:rPr>
        <w:t>数据架构</w:t>
      </w:r>
      <w:bookmarkEnd w:id="81"/>
      <w:bookmarkEnd w:id="82"/>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以“共建、共治、共用”为原则</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以应用和需求为导向</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构建上联国家、下通市县的全省一体化、服务化的数据架构</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全面提升全区政府部门的数据管理和应用能力</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实现数据全生命周期治理和全方位赋能</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加速释放数据要素的乘数效应</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为数字政府改革建设提供充沛动能。</w:t>
      </w:r>
    </w:p>
    <w:p>
      <w:pPr>
        <w:pageBreakBefore w:val="0"/>
        <w:kinsoku/>
        <w:wordWrap/>
        <w:overflowPunct w:val="0"/>
        <w:topLinePunct w:val="0"/>
        <w:autoSpaceDE w:val="0"/>
        <w:autoSpaceDN w:val="0"/>
        <w:bidi w:val="0"/>
        <w:adjustRightInd w:val="0"/>
        <w:snapToGrid/>
        <w:spacing w:line="600" w:lineRule="exact"/>
        <w:ind w:firstLine="640" w:firstLineChars="200"/>
        <w:jc w:val="center"/>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drawing>
          <wp:anchor distT="0" distB="0" distL="114300" distR="114300" simplePos="0" relativeHeight="251659264" behindDoc="0" locked="0" layoutInCell="1" allowOverlap="1">
            <wp:simplePos x="0" y="0"/>
            <wp:positionH relativeFrom="column">
              <wp:posOffset>88900</wp:posOffset>
            </wp:positionH>
            <wp:positionV relativeFrom="paragraph">
              <wp:posOffset>247015</wp:posOffset>
            </wp:positionV>
            <wp:extent cx="5620385" cy="240792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20385" cy="2407920"/>
                    </a:xfrm>
                    <a:prstGeom prst="rect">
                      <a:avLst/>
                    </a:prstGeom>
                    <a:noFill/>
                    <a:ln>
                      <a:noFill/>
                    </a:ln>
                    <a:effectLst/>
                  </pic:spPr>
                </pic:pic>
              </a:graphicData>
            </a:graphic>
          </wp:anchor>
        </w:drawing>
      </w:r>
      <w:r>
        <w:rPr>
          <w:rFonts w:hint="eastAsia" w:ascii="宋体" w:hAnsi="宋体" w:eastAsia="方正仿宋_GBK" w:cs="方正仿宋_GBK"/>
          <w:color w:val="auto"/>
          <w:sz w:val="32"/>
          <w:szCs w:val="32"/>
        </w:rPr>
        <w:t>图4 河源市数字政府数据架构</w:t>
      </w:r>
    </w:p>
    <w:p>
      <w:pPr>
        <w:pageBreakBefore w:val="0"/>
        <w:widowControl w:val="0"/>
        <w:kinsoku/>
        <w:wordWrap/>
        <w:overflowPunct w:val="0"/>
        <w:topLinePunct w:val="0"/>
        <w:autoSpaceDE w:val="0"/>
        <w:autoSpaceDN w:val="0"/>
        <w:bidi w:val="0"/>
        <w:adjustRightInd w:val="0"/>
        <w:snapToGrid/>
        <w:spacing w:line="600" w:lineRule="exact"/>
        <w:ind w:left="0" w:firstLine="643"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b/>
          <w:bCs/>
          <w:color w:val="auto"/>
          <w:sz w:val="32"/>
          <w:szCs w:val="32"/>
          <w:shd w:val="clear" w:color="auto" w:fill="FFFFFF"/>
        </w:rPr>
        <w:t>数据源。</w:t>
      </w:r>
      <w:r>
        <w:rPr>
          <w:rFonts w:hint="eastAsia" w:ascii="宋体" w:hAnsi="宋体" w:eastAsia="方正仿宋_GBK" w:cs="方正仿宋_GBK"/>
          <w:color w:val="auto"/>
          <w:sz w:val="32"/>
          <w:szCs w:val="32"/>
          <w:shd w:val="clear" w:color="auto" w:fill="FFFFFF"/>
        </w:rPr>
        <w:t>包括本区各部门在依法履行职责过程中产生的公共数据资源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以及社会数据资源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按照不同业务属性形成业务库</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按需建设共享库。</w:t>
      </w:r>
    </w:p>
    <w:p>
      <w:pPr>
        <w:pageBreakBefore w:val="0"/>
        <w:widowControl w:val="0"/>
        <w:kinsoku/>
        <w:wordWrap/>
        <w:overflowPunct w:val="0"/>
        <w:topLinePunct w:val="0"/>
        <w:autoSpaceDE w:val="0"/>
        <w:autoSpaceDN w:val="0"/>
        <w:bidi w:val="0"/>
        <w:adjustRightInd w:val="0"/>
        <w:snapToGrid/>
        <w:spacing w:line="600" w:lineRule="exact"/>
        <w:ind w:left="0" w:firstLine="643"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b/>
          <w:bCs/>
          <w:color w:val="auto"/>
          <w:sz w:val="32"/>
          <w:szCs w:val="32"/>
          <w:shd w:val="clear" w:color="auto" w:fill="FFFFFF"/>
        </w:rPr>
        <w:t>数据资源库。</w:t>
      </w:r>
      <w:r>
        <w:rPr>
          <w:rFonts w:hint="eastAsia" w:ascii="宋体" w:hAnsi="宋体" w:eastAsia="方正仿宋_GBK" w:cs="方正仿宋_GBK"/>
          <w:color w:val="auto"/>
          <w:sz w:val="32"/>
          <w:szCs w:val="32"/>
          <w:shd w:val="clear" w:color="auto" w:fill="FFFFFF"/>
        </w:rPr>
        <w:t>依托一体化政务大数据中心数据共享交换支撑能力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畅通国家、省、市三级数据通道</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按需推动全区数据资源向一体化政务大数据中心汇聚</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按照一定规则整合形成基础库、主题库和专题库</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构建“物理分散、逻辑集中”的全省一体化数据资源体系。</w:t>
      </w:r>
    </w:p>
    <w:p>
      <w:pPr>
        <w:pageBreakBefore w:val="0"/>
        <w:widowControl w:val="0"/>
        <w:kinsoku/>
        <w:wordWrap/>
        <w:overflowPunct w:val="0"/>
        <w:topLinePunct w:val="0"/>
        <w:autoSpaceDE w:val="0"/>
        <w:autoSpaceDN w:val="0"/>
        <w:bidi w:val="0"/>
        <w:adjustRightInd w:val="0"/>
        <w:snapToGrid/>
        <w:spacing w:line="600" w:lineRule="exact"/>
        <w:ind w:left="0" w:firstLine="643"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b/>
          <w:bCs/>
          <w:color w:val="auto"/>
          <w:sz w:val="32"/>
          <w:szCs w:val="32"/>
          <w:shd w:val="clear" w:color="auto" w:fill="FFFFFF"/>
        </w:rPr>
        <w:t>数据支撑平台。</w:t>
      </w:r>
      <w:r>
        <w:rPr>
          <w:rFonts w:hint="eastAsia" w:ascii="宋体" w:hAnsi="宋体" w:eastAsia="方正仿宋_GBK" w:cs="方正仿宋_GBK"/>
          <w:color w:val="auto"/>
          <w:sz w:val="32"/>
          <w:szCs w:val="32"/>
          <w:shd w:val="clear" w:color="auto" w:fill="FFFFFF"/>
        </w:rPr>
        <w:t>一体化政务大数据中心省级节点和市级节点</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为全区提供统一的数据支撑能力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包括数据目录管理、数据资源管理、视频共享管理、数据服务管理、大数据分析等。</w:t>
      </w:r>
    </w:p>
    <w:p>
      <w:pPr>
        <w:pageBreakBefore w:val="0"/>
        <w:widowControl w:val="0"/>
        <w:kinsoku/>
        <w:wordWrap/>
        <w:overflowPunct w:val="0"/>
        <w:topLinePunct w:val="0"/>
        <w:autoSpaceDE w:val="0"/>
        <w:autoSpaceDN w:val="0"/>
        <w:bidi w:val="0"/>
        <w:adjustRightInd w:val="0"/>
        <w:snapToGrid/>
        <w:spacing w:line="600" w:lineRule="exact"/>
        <w:ind w:left="0" w:firstLine="643"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b/>
          <w:bCs/>
          <w:color w:val="auto"/>
          <w:sz w:val="32"/>
          <w:szCs w:val="32"/>
          <w:shd w:val="clear" w:color="auto" w:fill="FFFFFF"/>
        </w:rPr>
        <w:t>数据服务。</w:t>
      </w:r>
      <w:r>
        <w:rPr>
          <w:rFonts w:hint="eastAsia" w:ascii="宋体" w:hAnsi="宋体" w:eastAsia="方正仿宋_GBK" w:cs="方正仿宋_GBK"/>
          <w:color w:val="auto"/>
          <w:sz w:val="32"/>
          <w:szCs w:val="32"/>
          <w:shd w:val="clear" w:color="auto" w:fill="FFFFFF"/>
        </w:rPr>
        <w:t>基于一体化政务大数据中心</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对外提供基础信息资源、主题信息资源和专题信息资源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实现共享、核验、分析、开放授权等服务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全面支撑全区各部门的业务开展和应用创新。</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83" w:name="_Toc16777"/>
      <w:bookmarkStart w:id="84" w:name="_Toc15638"/>
      <w:r>
        <w:rPr>
          <w:rFonts w:hint="eastAsia" w:ascii="宋体" w:hAnsi="宋体"/>
          <w:color w:val="auto"/>
        </w:rPr>
        <w:t>安全架构</w:t>
      </w:r>
      <w:bookmarkEnd w:id="83"/>
      <w:bookmarkEnd w:id="84"/>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统筹数字政府发展和安全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统一安全管理机制</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以安全技术体系为支撑</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以安全运营和安全监管为保障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打造覆盖“事前、事中、事后”的全周期防护</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构建“安全可信、合规可控”的安全立体纵深防御体系。</w:t>
      </w:r>
    </w:p>
    <w:p>
      <w:pPr>
        <w:pageBreakBefore w:val="0"/>
        <w:widowControl w:val="0"/>
        <w:kinsoku/>
        <w:wordWrap/>
        <w:overflowPunct w:val="0"/>
        <w:topLinePunct w:val="0"/>
        <w:autoSpaceDE w:val="0"/>
        <w:autoSpaceDN w:val="0"/>
        <w:bidi w:val="0"/>
        <w:adjustRightInd w:val="0"/>
        <w:snapToGrid/>
        <w:spacing w:line="600" w:lineRule="exact"/>
        <w:ind w:left="0" w:firstLine="643"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b/>
          <w:bCs/>
          <w:color w:val="auto"/>
          <w:sz w:val="32"/>
          <w:szCs w:val="32"/>
          <w:shd w:val="clear" w:color="auto" w:fill="FFFFFF"/>
        </w:rPr>
        <w:t>安全合规。</w:t>
      </w:r>
      <w:r>
        <w:rPr>
          <w:rFonts w:hint="eastAsia" w:ascii="宋体" w:hAnsi="宋体" w:eastAsia="方正仿宋_GBK" w:cs="方正仿宋_GBK"/>
          <w:color w:val="auto"/>
          <w:sz w:val="32"/>
          <w:szCs w:val="32"/>
          <w:shd w:val="clear" w:color="auto" w:fill="FFFFFF"/>
        </w:rPr>
        <w:t>根据国家、省、市网络安全有关政策文件规定</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以具体安全需求为导向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以合规为基础考虑整体安全设计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规范做好网络安全防护体系建设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保障安全工作推进的统一性、一致性、有效性。</w:t>
      </w:r>
    </w:p>
    <w:p>
      <w:pPr>
        <w:pageBreakBefore w:val="0"/>
        <w:widowControl w:val="0"/>
        <w:kinsoku/>
        <w:wordWrap/>
        <w:overflowPunct w:val="0"/>
        <w:topLinePunct w:val="0"/>
        <w:autoSpaceDE w:val="0"/>
        <w:autoSpaceDN w:val="0"/>
        <w:bidi w:val="0"/>
        <w:adjustRightInd w:val="0"/>
        <w:snapToGrid/>
        <w:spacing w:line="600" w:lineRule="exact"/>
        <w:ind w:left="0" w:firstLine="643"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b/>
          <w:bCs/>
          <w:color w:val="auto"/>
          <w:sz w:val="32"/>
          <w:szCs w:val="32"/>
          <w:shd w:val="clear" w:color="auto" w:fill="FFFFFF"/>
        </w:rPr>
        <w:t>安全管理。</w:t>
      </w:r>
      <w:r>
        <w:rPr>
          <w:rFonts w:hint="eastAsia" w:ascii="宋体" w:hAnsi="宋体" w:eastAsia="方正仿宋_GBK" w:cs="方正仿宋_GBK"/>
          <w:color w:val="auto"/>
          <w:sz w:val="32"/>
          <w:szCs w:val="32"/>
          <w:shd w:val="clear" w:color="auto" w:fill="FFFFFF"/>
        </w:rPr>
        <w:t>完善安全组织机构</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强化安全人员管理和培训</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明确各主体的责任分工</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建立健全安全制度流程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提高安全管理水平。</w:t>
      </w:r>
    </w:p>
    <w:p>
      <w:pPr>
        <w:pageBreakBefore w:val="0"/>
        <w:widowControl w:val="0"/>
        <w:kinsoku/>
        <w:wordWrap/>
        <w:overflowPunct w:val="0"/>
        <w:topLinePunct w:val="0"/>
        <w:autoSpaceDE w:val="0"/>
        <w:autoSpaceDN w:val="0"/>
        <w:bidi w:val="0"/>
        <w:adjustRightInd w:val="0"/>
        <w:snapToGrid/>
        <w:spacing w:line="600" w:lineRule="exact"/>
        <w:ind w:left="0" w:firstLine="643"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b/>
          <w:bCs/>
          <w:color w:val="auto"/>
          <w:sz w:val="32"/>
          <w:szCs w:val="32"/>
          <w:shd w:val="clear" w:color="auto" w:fill="FFFFFF"/>
        </w:rPr>
        <w:t>安全监管。</w:t>
      </w:r>
      <w:r>
        <w:rPr>
          <w:rFonts w:hint="eastAsia" w:ascii="宋体" w:hAnsi="宋体" w:eastAsia="方正仿宋_GBK" w:cs="方正仿宋_GBK"/>
          <w:color w:val="auto"/>
          <w:sz w:val="32"/>
          <w:szCs w:val="32"/>
          <w:shd w:val="clear" w:color="auto" w:fill="FFFFFF"/>
        </w:rPr>
        <w:t>加强安全指导、安全监测、通报预警和监督考核</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明确各监管单位责任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建立技术平台提升安全监管的效率与能力。</w:t>
      </w:r>
    </w:p>
    <w:p>
      <w:pPr>
        <w:pageBreakBefore w:val="0"/>
        <w:widowControl w:val="0"/>
        <w:kinsoku/>
        <w:wordWrap/>
        <w:overflowPunct w:val="0"/>
        <w:topLinePunct w:val="0"/>
        <w:autoSpaceDE w:val="0"/>
        <w:autoSpaceDN w:val="0"/>
        <w:bidi w:val="0"/>
        <w:adjustRightInd w:val="0"/>
        <w:snapToGrid/>
        <w:spacing w:line="600" w:lineRule="exact"/>
        <w:ind w:left="0" w:firstLine="643"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b/>
          <w:bCs/>
          <w:color w:val="auto"/>
          <w:sz w:val="32"/>
          <w:szCs w:val="32"/>
          <w:shd w:val="clear" w:color="auto" w:fill="FFFFFF"/>
        </w:rPr>
        <w:t>安全运营。</w:t>
      </w:r>
      <w:r>
        <w:rPr>
          <w:rFonts w:hint="eastAsia" w:ascii="宋体" w:hAnsi="宋体" w:eastAsia="方正仿宋_GBK" w:cs="方正仿宋_GBK"/>
          <w:color w:val="auto"/>
          <w:sz w:val="32"/>
          <w:szCs w:val="32"/>
          <w:shd w:val="clear" w:color="auto" w:fill="FFFFFF"/>
        </w:rPr>
        <w:t>基于安全技术体系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提升安全识别、安全防护、事件响应与处置、安全分析与监测等安全服务水平</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利用大数据分析、自动化编排等技术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开展集中化、自动化、智能化的安全运营</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提供覆盖安全全生命周期的服务能力。</w:t>
      </w:r>
    </w:p>
    <w:p>
      <w:pPr>
        <w:pageBreakBefore w:val="0"/>
        <w:widowControl w:val="0"/>
        <w:kinsoku/>
        <w:wordWrap/>
        <w:overflowPunct w:val="0"/>
        <w:topLinePunct w:val="0"/>
        <w:autoSpaceDE w:val="0"/>
        <w:autoSpaceDN w:val="0"/>
        <w:bidi w:val="0"/>
        <w:adjustRightInd w:val="0"/>
        <w:snapToGrid/>
        <w:spacing w:line="600" w:lineRule="exact"/>
        <w:ind w:left="0" w:firstLine="643"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b/>
          <w:bCs/>
          <w:color w:val="auto"/>
          <w:sz w:val="32"/>
          <w:szCs w:val="32"/>
          <w:shd w:val="clear" w:color="auto" w:fill="FFFFFF"/>
        </w:rPr>
        <w:t>安全技术。</w:t>
      </w:r>
      <w:r>
        <w:rPr>
          <w:rFonts w:hint="eastAsia" w:ascii="宋体" w:hAnsi="宋体" w:eastAsia="方正仿宋_GBK" w:cs="方正仿宋_GBK"/>
          <w:color w:val="auto"/>
          <w:sz w:val="32"/>
          <w:szCs w:val="32"/>
          <w:shd w:val="clear" w:color="auto" w:fill="FFFFFF"/>
        </w:rPr>
        <w:t>完善安全基础资源、安全运营支撑和覆盖基础安全、应用安全、数据安全及新技术应用安全的技术手段和技术能力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全面强化数字政府安全的关键技术支撑。信息技术应用创新。加快发展安全可控的新技术和重要领域核心关键技术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增强网络安全领域的自主创新能力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推动政务领域国产化应用工作。</w:t>
      </w:r>
    </w:p>
    <w:p>
      <w:pPr>
        <w:pStyle w:val="3"/>
        <w:pageBreakBefore w:val="0"/>
        <w:widowControl w:val="0"/>
        <w:kinsoku/>
        <w:wordWrap/>
        <w:overflowPunct w:val="0"/>
        <w:topLinePunct w:val="0"/>
        <w:autoSpaceDE w:val="0"/>
        <w:autoSpaceDN w:val="0"/>
        <w:bidi w:val="0"/>
        <w:snapToGrid/>
        <w:spacing w:before="0" w:after="0" w:line="600" w:lineRule="exact"/>
        <w:ind w:left="0" w:leftChars="0" w:firstLine="640" w:firstLineChars="200"/>
        <w:jc w:val="both"/>
        <w:textAlignment w:val="auto"/>
        <w:rPr>
          <w:rFonts w:hint="eastAsia" w:ascii="宋体" w:hAnsi="宋体"/>
          <w:color w:val="auto"/>
        </w:rPr>
      </w:pPr>
      <w:bookmarkStart w:id="85" w:name="_Toc3960"/>
      <w:bookmarkStart w:id="86" w:name="_Toc11490"/>
      <w:bookmarkStart w:id="87" w:name="_Toc18366"/>
      <w:r>
        <w:rPr>
          <w:rFonts w:hint="eastAsia" w:ascii="宋体" w:hAnsi="宋体"/>
          <w:color w:val="auto"/>
        </w:rPr>
        <w:t>主要任务</w:t>
      </w:r>
      <w:bookmarkEnd w:id="85"/>
      <w:bookmarkEnd w:id="86"/>
      <w:bookmarkEnd w:id="87"/>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88" w:name="_Toc22020"/>
      <w:bookmarkStart w:id="89" w:name="_Toc17103"/>
      <w:r>
        <w:rPr>
          <w:rFonts w:hint="eastAsia" w:ascii="宋体" w:hAnsi="宋体"/>
          <w:color w:val="auto"/>
        </w:rPr>
        <w:t>落实推进治理“一网统管”</w:t>
      </w:r>
      <w:bookmarkEnd w:id="88"/>
      <w:bookmarkEnd w:id="89"/>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对接全省“一网统管”指导性文件和“全省一盘棋”推进工作部署</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明确源城区责任分工</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配合制定完善运营管理、绩效评估等相关制度规范。按照总体标准、平台标准、服务标准和数据标准在内的“一网统管”技术标准规范</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提高源城区政府数字化治理的整体性、规范性。</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按照省、市、县（区）三级“一网统管”公共基础平台和省、市、县（区）、镇（街）、村（</w:t>
      </w:r>
      <w:r>
        <w:rPr>
          <w:rFonts w:hint="eastAsia" w:ascii="宋体" w:hAnsi="宋体" w:eastAsia="方正仿宋_GBK" w:cs="方正仿宋_GBK"/>
          <w:color w:val="auto"/>
          <w:sz w:val="32"/>
          <w:szCs w:val="32"/>
          <w:lang w:val="en-US" w:eastAsia="zh-CN"/>
        </w:rPr>
        <w:t>社区</w:t>
      </w:r>
      <w:r>
        <w:rPr>
          <w:rFonts w:hint="eastAsia" w:ascii="宋体" w:hAnsi="宋体" w:eastAsia="方正仿宋_GBK" w:cs="方正仿宋_GBK"/>
          <w:color w:val="auto"/>
          <w:sz w:val="32"/>
          <w:szCs w:val="32"/>
        </w:rPr>
        <w:t>）五级用户体系</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根据河源市的统一安排建设“一网统管”基础平台</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对接“粤治慧”。同时</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推进源城区公共设施与5G网络、物联网、传感技术融合建设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系统化部署城市数据采集智慧感知节点网络。推动建筑信息模型（BIM）技术与工程建造技术深度融合应用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加快自主可控城市信息模型平台（CIM）发展。</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根据源城区治理需求聚焦重点应用创新</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构建“一网统管”新模式。充分考虑各层级业务需求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推动建设社会治理、民生服务、乡村振兴、经济调节、智慧环保、智慧监管等应用专题</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实现各类事件的即时感知、快速预警、智能研判和科学决策。加强税务、金融、国资、统计、交通运输、电网、水务等相关部门（企业）的数据融合与分析应用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支撑经济工作决策。加强信息技术与基层社会治理、社会治安防控、应急管理、消防救援、住房城乡建设、交通运输、农业农村、司法等领域深度融合</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强化数字技术在公共卫生、自然灾害、事故灾难、社会安全等突发公共事件应对和预防中的运用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全面提升监测预警和应急处置能力。加强教育、医疗、社会保障、民政、文化旅游等领域的数字化管理</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提升公共服务主管部门履职能力。强化信息技术在自然资源、生态环境、水利、气象等领域的监测、预警、跟踪、处置和服务闭环</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提升对各类生态风险的防范处理能力。</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lang w:val="en-US"/>
        </w:rPr>
      </w:pPr>
      <w:r>
        <w:rPr>
          <w:rFonts w:hint="eastAsia" w:ascii="宋体" w:hAnsi="宋体" w:eastAsia="方正仿宋_GBK" w:cs="方正仿宋_GBK"/>
          <w:color w:val="auto"/>
          <w:sz w:val="32"/>
          <w:szCs w:val="32"/>
        </w:rPr>
        <w:t>按照《广东省数字政府省域治理“一网统管”三年行动计划》以及河源市的统一部署,源城区持续开展数据治理工作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完善各类应用专题数据库</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探索政务数据、社会数据融合创新。完善数据共享机制</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支撑政务数据、社会数据互联互通</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推动数据有序共享。利用省、市大数据分析平台和算法仓库</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打造源城区“一网统管”数据处理中枢</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全面赋能各领域业务创新发展。强化基层支撑能力</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升级扩容政务云平台和政务外网</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推进现有各类业务专网接入</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畅通网间数据共享渠道。完善态势感知体系</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对各类治理态势进行有效、全面、及时的感知监测。释放数据资源价值。促进数据开发利用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推进公共数据与社会数据融合应用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不断丰富数据产品</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引导市场主体探索数据资源开发利用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利用人工智能、大数据、物联网、5G等领域的创新成果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助推数字产业发展。</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90" w:name="_Toc31236"/>
      <w:bookmarkStart w:id="91" w:name="_Toc26032"/>
      <w:bookmarkStart w:id="92" w:name="_Toc10788"/>
      <w:r>
        <w:rPr>
          <w:rFonts w:hint="eastAsia" w:ascii="宋体" w:hAnsi="宋体"/>
          <w:color w:val="auto"/>
        </w:rPr>
        <w:t>整合电子政务基础设施资源</w:t>
      </w:r>
      <w:bookmarkEnd w:id="90"/>
      <w:bookmarkEnd w:id="91"/>
      <w:bookmarkEnd w:id="92"/>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93" w:name="_Toc28575"/>
      <w:r>
        <w:rPr>
          <w:rFonts w:hint="eastAsia" w:ascii="宋体" w:hAnsi="宋体"/>
          <w:color w:val="auto"/>
        </w:rPr>
        <w:t>完善网络基础设施</w:t>
      </w:r>
      <w:bookmarkEnd w:id="93"/>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重点提升网络承载能力和安全管控能力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加强基础网络管理与网络覆盖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深化物联网的政务应用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促进移动互联网安全接入。规范接入网络的技术标准和安全标准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逐步形成结构合理、功能完备、技术先进、安全冗余、稳定可靠的电子政务基础网络体系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为各级各部门提供统一网络基础设施服务。</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94" w:name="_Toc3041"/>
      <w:r>
        <w:rPr>
          <w:rFonts w:hint="eastAsia" w:ascii="宋体" w:hAnsi="宋体"/>
          <w:color w:val="auto"/>
          <w:lang w:val="en-US" w:eastAsia="zh-CN"/>
        </w:rPr>
        <w:t>推动</w:t>
      </w:r>
      <w:r>
        <w:rPr>
          <w:rFonts w:hint="eastAsia" w:ascii="宋体" w:hAnsi="宋体"/>
          <w:color w:val="auto"/>
        </w:rPr>
        <w:t>电子政务云平台</w:t>
      </w:r>
      <w:r>
        <w:rPr>
          <w:rFonts w:hint="eastAsia" w:ascii="宋体" w:hAnsi="宋体"/>
          <w:color w:val="auto"/>
          <w:lang w:val="en-US" w:eastAsia="zh-CN"/>
        </w:rPr>
        <w:t>纳管</w:t>
      </w:r>
      <w:bookmarkEnd w:id="94"/>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highlight w:val="none"/>
          <w:shd w:val="clear" w:color="auto" w:fill="FFFFFF"/>
          <w:lang w:val="en-US" w:eastAsia="zh-CN"/>
        </w:rPr>
      </w:pPr>
      <w:r>
        <w:rPr>
          <w:rFonts w:hint="eastAsia" w:ascii="宋体" w:hAnsi="宋体" w:eastAsia="方正仿宋_GBK" w:cs="方正仿宋_GBK"/>
          <w:color w:val="auto"/>
          <w:sz w:val="32"/>
          <w:szCs w:val="32"/>
          <w:highlight w:val="none"/>
          <w:shd w:val="clear" w:color="auto" w:fill="FFFFFF"/>
          <w:lang w:val="en-US" w:eastAsia="zh-CN"/>
        </w:rPr>
        <w:t>为进一步提升电子政务云平台集约化水平，促进云资源的有效共享利用，充分盘活源城区政务云资源，构建全市“一朵云”的云计算整体架构。为我市加快推进“一网统管”的整体部署，进一步深化数字政府改革建设工作，推动大数据、云计算、物联网等现代科技与政府治理深度融合，垫定良好的基础。将源城区电子政务云纳管至市级电子政务云平台，构建全市统一的云管理平台，通过云管平台之间的对接打通，实现对区县自建云的资源监控、资源概览，进而在同一平台上实现统一账单，统一报表、统一结算</w:t>
      </w:r>
      <w:r>
        <w:rPr>
          <w:rFonts w:hint="eastAsia" w:ascii="宋体" w:hAnsi="宋体" w:eastAsia="方正仿宋_GBK" w:cs="方正仿宋_GBK"/>
          <w:color w:val="auto"/>
          <w:sz w:val="32"/>
          <w:szCs w:val="32"/>
          <w:highlight w:val="none"/>
          <w:shd w:val="clear" w:color="auto" w:fill="FFFFFF"/>
        </w:rPr>
        <w:t>。</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95" w:name="_Toc3403"/>
      <w:r>
        <w:rPr>
          <w:rFonts w:hint="eastAsia" w:ascii="宋体" w:hAnsi="宋体"/>
          <w:color w:val="auto"/>
        </w:rPr>
        <w:t>大力开展数据治理工作</w:t>
      </w:r>
      <w:bookmarkEnd w:id="95"/>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参照国家《政务信息资源目录体系》《政务信息资源交换体系》《广东省政务数据资源共享管理办法（试行）》等标准规范</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lang w:val="en-US" w:eastAsia="zh-CN"/>
        </w:rPr>
        <w:t>编制</w:t>
      </w:r>
      <w:r>
        <w:rPr>
          <w:rFonts w:hint="eastAsia" w:ascii="宋体" w:hAnsi="宋体" w:eastAsia="方正仿宋_GBK" w:cs="方正仿宋_GBK"/>
          <w:color w:val="auto"/>
          <w:sz w:val="32"/>
          <w:szCs w:val="32"/>
          <w:shd w:val="clear" w:color="auto" w:fill="FFFFFF"/>
        </w:rPr>
        <w:t>源城区政务信息资源共享目录</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充分整合现有的建设资源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实现当前及今后各种跨部门、跨区域的信息资源共享和业务协同</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推进信息资源开发利用。</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96" w:name="_Toc11941"/>
      <w:bookmarkStart w:id="97" w:name="_Toc2400"/>
      <w:bookmarkStart w:id="98" w:name="_Toc6445"/>
      <w:r>
        <w:rPr>
          <w:rFonts w:hint="eastAsia" w:ascii="宋体" w:hAnsi="宋体"/>
          <w:color w:val="auto"/>
        </w:rPr>
        <w:t>推动电子政务大数据应用</w:t>
      </w:r>
      <w:bookmarkEnd w:id="96"/>
      <w:bookmarkEnd w:id="97"/>
      <w:bookmarkEnd w:id="98"/>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99" w:name="_Toc18448"/>
      <w:r>
        <w:rPr>
          <w:rFonts w:hint="eastAsia" w:ascii="宋体" w:hAnsi="宋体"/>
          <w:color w:val="auto"/>
        </w:rPr>
        <w:t>大力推进电子政务数据归集</w:t>
      </w:r>
      <w:bookmarkEnd w:id="99"/>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加强统筹规划</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根据国家、省、市电子政务建设标准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按照“规范采集、无偿提供、平台归集、按需共享、安全可控”原则</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推进电子政务数据归集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建立数据标准与规范。配合市做好共建共享的人口、法人、社会信用信息、自然资源和空间地理信息、电子证照等基础数据库及各类业务数据库</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实现数据“一数一源”。加快推进一体化的政府大数据应用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推进跨层级、跨部门的政府数据资源共享和业务协同</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加强全区企事业单位数据互联互通</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有效消除“信息孤岛”。</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00" w:name="_Toc20221"/>
      <w:r>
        <w:rPr>
          <w:rFonts w:hint="eastAsia" w:ascii="宋体" w:hAnsi="宋体"/>
          <w:color w:val="auto"/>
        </w:rPr>
        <w:t>建设社会治理大数据应用体系</w:t>
      </w:r>
      <w:bookmarkEnd w:id="100"/>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结合源城区“十四五”发展重大战略规划实施</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推动建设源城区“城市大脑”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在旅游服务、智慧（村居）、信用体系建设、质量安全、质量诚信、节能降耗、环境保护、食品安全等领域探索开展一批应用试点</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打通政府部门、企事业单位之间的数据壁垒</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实现数据合作开发和综合利用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有效促进政府社会治理能力提升。</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01" w:name="_Toc7657"/>
      <w:r>
        <w:rPr>
          <w:rFonts w:hint="eastAsia" w:ascii="宋体" w:hAnsi="宋体"/>
          <w:color w:val="auto"/>
        </w:rPr>
        <w:t>全面深化政务资源互联互通</w:t>
      </w:r>
      <w:bookmarkEnd w:id="101"/>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进一步</w:t>
      </w:r>
      <w:r>
        <w:rPr>
          <w:rFonts w:hint="eastAsia" w:ascii="宋体" w:hAnsi="宋体" w:eastAsia="方正仿宋_GBK" w:cs="方正仿宋_GBK"/>
          <w:color w:val="auto"/>
          <w:sz w:val="32"/>
          <w:szCs w:val="32"/>
          <w:shd w:val="clear" w:color="auto" w:fill="FFFFFF"/>
          <w:lang w:val="en-US" w:eastAsia="zh-CN"/>
        </w:rPr>
        <w:t>推广应用广东政务大数据中心</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实现政务数据资源跨部门、多层级共享和一源多用；梳理各部门业务需求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推进跨部门业务协同联动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支撑部门业务协同持续优化。采用大数据、云计算等技术深入分析挖掘政务数据资源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洞察民生服务需求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优化政府资源配置</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丰富公共服务内容</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提高公共服务质量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推动公共服务向基层延伸。加强数据安全管理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推行等级认证体系建设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严格共享分类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制定使用规则。</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02" w:name="_Toc27329"/>
      <w:r>
        <w:rPr>
          <w:rFonts w:hint="eastAsia" w:ascii="宋体" w:hAnsi="宋体"/>
          <w:color w:val="auto"/>
        </w:rPr>
        <w:t>稳步推进公共数据资源开放</w:t>
      </w:r>
      <w:bookmarkEnd w:id="102"/>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在依法加强安全保障和隐私保护的前提下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稳步推动公共数据资源开放。建立公共数据资源开放目录</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落实数据开放和维护责任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推进公共数据资源统一汇聚并集中向社会开放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提升公共数据开放共享标准化程度。利用省数据开放平台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优先推动民生保障服务相关领域的公共数据向社会开放。发挥市场主体作用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采取外包、委托、购买服务等方式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引导互联网企业、高校、科研机构、公众合作对数据资源进行多元化开发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推动具备开发环境和开发能力的非营利性开放平台和社会力量参与公共服务产品开发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鼓励企业参与竞争性开发和商业化二次开发利用。</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103" w:name="_Toc26965"/>
      <w:bookmarkStart w:id="104" w:name="_Toc22580"/>
      <w:bookmarkStart w:id="105" w:name="_Toc25682"/>
      <w:r>
        <w:rPr>
          <w:rFonts w:hint="eastAsia" w:ascii="宋体" w:hAnsi="宋体"/>
          <w:color w:val="auto"/>
        </w:rPr>
        <w:t>提升政府的决策和管理水平</w:t>
      </w:r>
      <w:bookmarkEnd w:id="103"/>
      <w:bookmarkEnd w:id="104"/>
      <w:bookmarkEnd w:id="105"/>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基于</w:t>
      </w:r>
      <w:r>
        <w:rPr>
          <w:rFonts w:hint="eastAsia" w:ascii="宋体" w:hAnsi="宋体" w:eastAsia="方正仿宋_GBK" w:cs="方正仿宋_GBK"/>
          <w:color w:val="auto"/>
          <w:sz w:val="32"/>
          <w:szCs w:val="32"/>
          <w:lang w:val="en-US" w:eastAsia="zh-CN"/>
        </w:rPr>
        <w:t>广东省政务</w:t>
      </w:r>
      <w:r>
        <w:rPr>
          <w:rFonts w:hint="eastAsia" w:ascii="宋体" w:hAnsi="宋体" w:eastAsia="方正仿宋_GBK" w:cs="方正仿宋_GBK"/>
          <w:color w:val="auto"/>
          <w:sz w:val="32"/>
          <w:szCs w:val="32"/>
        </w:rPr>
        <w:t>大数据中心</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利用大数据分析技术和政务服务平台沉淀的资源数据</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以“业务数据化</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数据业务化”为导向</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建设政务服务数据分析决策平台。针对不同的用户对象和不同的业务需求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供专题的数据分析服务。专题分析包括：企业开办情况、政务事项、办件情况、信息共享情况、督查督办情况、政务服务网访问情况、大厅排队叫号情况、咨询投诉情况、最多跑一次改革情况、用户行为等等。根据分析结果结合知识化、模型化、智能化等技术手段建立在城市运行、生态环境监测、行业经济运行、管理效能评价等方面的决策模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为经济发展、城市管理、环境保护、社会治理、应急指挥等方面的科学决策提供实时数据、趋势预测、大数据分析等综合应用,实现“用数据说话</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靠数据决策</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依数据行动”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从而增强决策的科学性、预见性和精准性。</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依托数据分析决策平台</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深化源城区运行数据的可视化应用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为源城区功能定位、重大产业布局和基础设施建设提供决策参考。针对群众关心的热点问题</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通过大数据建模分析历史趋势及问题原因分布</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提前预测需求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统筹资源配置。构建教育管理和教育决策数据模型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利用大数据开展公共教育资源的优化配置服务。构建人社决策数据模型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通过对就业、人才、劳动监察业务数据进行大数据分析</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实现通过数据推动人社业务智能化决策分析。利用物联网、大数据、云计算、空间地理信息集成等新一代信息技术</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率先构建高效集约的决策基础信息数据库</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支撑各部门政务信息共享和业务协调。</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06" w:name="_Toc18546"/>
      <w:r>
        <w:rPr>
          <w:rFonts w:hint="eastAsia" w:ascii="宋体" w:hAnsi="宋体"/>
          <w:color w:val="auto"/>
        </w:rPr>
        <w:t>推进电子政务辅助决策支持和应急指挥系统建设</w:t>
      </w:r>
      <w:bookmarkEnd w:id="106"/>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围绕政府决策需要</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整合各级各部门政务数据</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采集利用有关行业、企业、研究机构的重要数据</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建立支撑决策研判的辅助决策大数据。利用各种智能分析模型及数据挖掘等技术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对决策支持大数据进行定性和定量分析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通过对经济运行、社会发展实际状况和发展趋势的可视化展示</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为政府决策提供依据。按照全区突发事件应急体系建设规划要求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推进区级应急信息管理系统建设。</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07" w:name="_Toc15359"/>
      <w:r>
        <w:rPr>
          <w:rFonts w:hint="eastAsia" w:ascii="宋体" w:hAnsi="宋体"/>
          <w:color w:val="auto"/>
        </w:rPr>
        <w:t>全面提升协同办公水平</w:t>
      </w:r>
      <w:bookmarkEnd w:id="107"/>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结合电子政务</w:t>
      </w:r>
      <w:r>
        <w:rPr>
          <w:rFonts w:hint="eastAsia" w:ascii="宋体" w:hAnsi="宋体" w:eastAsia="方正仿宋_GBK" w:cs="方正仿宋_GBK"/>
          <w:color w:val="auto"/>
          <w:sz w:val="32"/>
          <w:szCs w:val="32"/>
          <w:shd w:val="clear" w:color="auto" w:fill="FFFFFF"/>
          <w:lang w:val="en-US" w:eastAsia="zh-CN"/>
        </w:rPr>
        <w:t>云</w:t>
      </w:r>
      <w:r>
        <w:rPr>
          <w:rFonts w:hint="eastAsia" w:ascii="宋体" w:hAnsi="宋体" w:eastAsia="方正仿宋_GBK" w:cs="方正仿宋_GBK"/>
          <w:color w:val="auto"/>
          <w:sz w:val="32"/>
          <w:szCs w:val="32"/>
          <w:shd w:val="clear" w:color="auto" w:fill="FFFFFF"/>
        </w:rPr>
        <w:t>平台建设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打破以地区、部门为边界的传统管理方式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提升政府治理和履职能力的现代化水平；全面审视、系统梳理权力清单的业务流程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在省市的总体框架下对政府和各项业务功能进行统一规划和设计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推动流程整合与优化。进一步拓展深化“粤政易”</w:t>
      </w:r>
      <w:r>
        <w:rPr>
          <w:rFonts w:hint="eastAsia" w:ascii="宋体" w:hAnsi="宋体" w:eastAsia="方正仿宋_GBK" w:cs="方正仿宋_GBK"/>
          <w:color w:val="auto"/>
          <w:sz w:val="32"/>
          <w:szCs w:val="32"/>
          <w:shd w:val="clear" w:color="auto" w:fill="FFFFFF"/>
          <w:lang w:val="en-US" w:eastAsia="zh-CN"/>
        </w:rPr>
        <w:t>协同</w:t>
      </w:r>
      <w:r>
        <w:rPr>
          <w:rFonts w:hint="eastAsia" w:ascii="宋体" w:hAnsi="宋体" w:eastAsia="方正仿宋_GBK" w:cs="方正仿宋_GBK"/>
          <w:color w:val="auto"/>
          <w:sz w:val="32"/>
          <w:szCs w:val="32"/>
          <w:shd w:val="clear" w:color="auto" w:fill="FFFFFF"/>
        </w:rPr>
        <w:t>办公平台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运用电子印章、电子签名等技术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推进政府部门日常工作的电子化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积极深化视频会议、移动办公等应用。</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08" w:name="_Toc20766"/>
      <w:r>
        <w:rPr>
          <w:rFonts w:hint="eastAsia" w:ascii="宋体" w:hAnsi="宋体"/>
          <w:color w:val="auto"/>
        </w:rPr>
        <w:t>探索建设政务物联网</w:t>
      </w:r>
      <w:bookmarkEnd w:id="108"/>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依托统一的电子政务云平台、政务外网、视频专网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探索建设全区统一的政务物联网共享系统。整合区、镇（街道）、村（社区）及横向单位的各种视频会议、视频监控、视频电话服务系统以及相关图片、文字和数据等资源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建设政务物联网大数据平台；</w:t>
      </w:r>
      <w:r>
        <w:rPr>
          <w:rFonts w:hint="eastAsia" w:ascii="宋体" w:hAnsi="宋体" w:eastAsia="方正仿宋_GBK" w:cs="方正仿宋_GBK"/>
          <w:color w:val="auto"/>
          <w:sz w:val="32"/>
          <w:szCs w:val="32"/>
          <w:shd w:val="clear" w:color="auto" w:fill="FFFFFF"/>
          <w:lang w:val="en-US" w:eastAsia="zh-CN"/>
        </w:rPr>
        <w:t>探索</w:t>
      </w:r>
      <w:r>
        <w:rPr>
          <w:rFonts w:hint="eastAsia" w:ascii="宋体" w:hAnsi="宋体" w:eastAsia="方正仿宋_GBK" w:cs="方正仿宋_GBK"/>
          <w:color w:val="auto"/>
          <w:sz w:val="32"/>
          <w:szCs w:val="32"/>
          <w:shd w:val="clear" w:color="auto" w:fill="FFFFFF"/>
        </w:rPr>
        <w:t>建设区级视频云存储中心</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推动视频信息资源共享应用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实现视频会议、视频监控、应急救灾、移动视频等功能</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为应急指挥和智能决策提供支撑。</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109" w:name="_Toc8312"/>
      <w:bookmarkStart w:id="110" w:name="_Toc17061"/>
      <w:r>
        <w:rPr>
          <w:rFonts w:hint="eastAsia" w:ascii="宋体" w:hAnsi="宋体"/>
          <w:color w:val="auto"/>
        </w:rPr>
        <w:t>推进数据要素市场化配置改革</w:t>
      </w:r>
      <w:bookmarkEnd w:id="109"/>
      <w:bookmarkEnd w:id="110"/>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落实河源市数据要素市场化配置改革试点工作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统筹数据要素配置</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优化制度供给</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保障市场的统一开放。</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11" w:name="_Toc1869893764"/>
      <w:bookmarkStart w:id="112" w:name="_Toc57030638"/>
      <w:bookmarkStart w:id="113" w:name="_Toc77599502"/>
      <w:bookmarkStart w:id="114" w:name="_Toc81412384"/>
      <w:bookmarkStart w:id="115" w:name="_Toc15269"/>
      <w:bookmarkStart w:id="116" w:name="_Toc23562"/>
      <w:bookmarkStart w:id="117" w:name="_Toc81826733"/>
      <w:bookmarkStart w:id="118" w:name="_Toc17161"/>
      <w:bookmarkStart w:id="119" w:name="_Toc23149"/>
      <w:r>
        <w:rPr>
          <w:rFonts w:hint="eastAsia" w:ascii="宋体" w:hAnsi="宋体"/>
          <w:color w:val="auto"/>
        </w:rPr>
        <w:t>推动</w:t>
      </w:r>
      <w:bookmarkStart w:id="120" w:name="_Hlk75801388"/>
      <w:r>
        <w:rPr>
          <w:rFonts w:hint="eastAsia" w:ascii="宋体" w:hAnsi="宋体"/>
          <w:color w:val="auto"/>
        </w:rPr>
        <w:t>数据要素市场化</w:t>
      </w:r>
      <w:bookmarkEnd w:id="120"/>
      <w:r>
        <w:rPr>
          <w:rFonts w:hint="eastAsia" w:ascii="宋体" w:hAnsi="宋体"/>
          <w:color w:val="auto"/>
        </w:rPr>
        <w:t>配置改革试点工作</w:t>
      </w:r>
      <w:bookmarkEnd w:id="111"/>
      <w:bookmarkEnd w:id="112"/>
      <w:bookmarkEnd w:id="113"/>
      <w:bookmarkEnd w:id="114"/>
      <w:bookmarkEnd w:id="115"/>
      <w:bookmarkEnd w:id="116"/>
      <w:bookmarkEnd w:id="117"/>
      <w:bookmarkEnd w:id="118"/>
      <w:bookmarkEnd w:id="119"/>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成立数据要素市场化配置改革推进工作领导小组</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建立分管区领导挂帅、区政务服务数据管理局牵头、各部门抓落实的工作机制</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定期对数据要素市场化配置改革的重大事项做出决策部署。强化区政务服务数据管理局对全区公共数据管理和监督职责</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完善区部门数字化职能</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完善部门联动机制。</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21" w:name="_Toc12065"/>
      <w:r>
        <w:rPr>
          <w:rFonts w:hint="eastAsia" w:ascii="宋体" w:hAnsi="宋体"/>
          <w:color w:val="auto"/>
        </w:rPr>
        <w:t>开展首席数据官制度试点工作</w:t>
      </w:r>
      <w:bookmarkEnd w:id="121"/>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lang w:val="en-US"/>
        </w:rPr>
      </w:pPr>
      <w:r>
        <w:rPr>
          <w:rFonts w:hint="eastAsia" w:ascii="宋体" w:hAnsi="宋体" w:eastAsia="方正仿宋_GBK" w:cs="方正仿宋_GBK"/>
          <w:color w:val="auto"/>
          <w:sz w:val="32"/>
          <w:szCs w:val="32"/>
        </w:rPr>
        <w:t>设立区首席数据官试点</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组织开展全区公共数据治理以及各部门首席数据官的培训、评估、考核等工作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推动区公共数据运营机构建设。设立试点部门首席数据官</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首席数据官由本部门领导班子成员担任</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协助部门领导开展数据治理工作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推进本部门数据团队建设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制定部门数据工作计划</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形成“数据治理”同级协同上下联动的合力。</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highlight w:val="none"/>
        </w:rPr>
      </w:pPr>
      <w:bookmarkStart w:id="122" w:name="_Toc23653"/>
      <w:r>
        <w:rPr>
          <w:rFonts w:hint="eastAsia" w:ascii="宋体" w:hAnsi="宋体"/>
          <w:color w:val="auto"/>
          <w:highlight w:val="none"/>
        </w:rPr>
        <w:t>配合推进省政务大数据中心河源分节点建设</w:t>
      </w:r>
      <w:bookmarkEnd w:id="122"/>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highlight w:val="none"/>
          <w:lang w:val="en-US"/>
        </w:rPr>
      </w:pPr>
      <w:r>
        <w:rPr>
          <w:rFonts w:hint="eastAsia" w:ascii="宋体" w:hAnsi="宋体" w:eastAsia="方正仿宋_GBK" w:cs="方正仿宋_GBK"/>
          <w:color w:val="auto"/>
          <w:sz w:val="32"/>
          <w:szCs w:val="32"/>
          <w:highlight w:val="none"/>
        </w:rPr>
        <w:t>配合完善人口、法人、空间地理、电子证照等基础数据库</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按需建立主题库。按照“一数一源”的要求</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结合业务领域特点</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丰富信用、金融、医疗、交通、生态、市场监管、文化旅游、社会救助等专题数据库。</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23" w:name="_Toc77599504"/>
      <w:bookmarkStart w:id="124" w:name="_Toc567492339"/>
      <w:bookmarkStart w:id="125" w:name="_Toc2107472037"/>
      <w:bookmarkStart w:id="126" w:name="_Toc81412386"/>
      <w:bookmarkStart w:id="127" w:name="_Toc81826735"/>
      <w:bookmarkStart w:id="128" w:name="_Toc18732"/>
      <w:bookmarkStart w:id="129" w:name="_Toc4897"/>
      <w:bookmarkStart w:id="130" w:name="_Toc4225"/>
      <w:bookmarkStart w:id="131" w:name="_Toc31023"/>
      <w:r>
        <w:rPr>
          <w:rFonts w:hint="eastAsia" w:ascii="宋体" w:hAnsi="宋体"/>
          <w:color w:val="auto"/>
          <w:highlight w:val="none"/>
        </w:rPr>
        <w:t>健全数据要素改革政</w:t>
      </w:r>
      <w:r>
        <w:rPr>
          <w:rFonts w:hint="eastAsia" w:ascii="宋体" w:hAnsi="宋体"/>
          <w:color w:val="auto"/>
        </w:rPr>
        <w:t>策配套措施</w:t>
      </w:r>
      <w:bookmarkEnd w:id="123"/>
      <w:bookmarkEnd w:id="124"/>
      <w:bookmarkEnd w:id="125"/>
      <w:bookmarkEnd w:id="126"/>
      <w:bookmarkEnd w:id="127"/>
      <w:bookmarkEnd w:id="128"/>
      <w:bookmarkEnd w:id="129"/>
      <w:bookmarkEnd w:id="130"/>
      <w:bookmarkEnd w:id="131"/>
      <w:bookmarkStart w:id="132" w:name="_Toc73455744"/>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lang w:val="en-US"/>
        </w:rPr>
      </w:pPr>
      <w:r>
        <w:rPr>
          <w:rFonts w:hint="eastAsia" w:ascii="宋体" w:hAnsi="宋体" w:eastAsia="方正仿宋_GBK" w:cs="方正仿宋_GBK"/>
          <w:color w:val="auto"/>
          <w:sz w:val="32"/>
          <w:szCs w:val="32"/>
        </w:rPr>
        <w:t>明确数据要素改革政策规则及各方职责要求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建立健全全区公共数据共建、共治、共享、共用的一体化协同工作机制。完善数据要素改革政策配套措施</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规范公共数据的采集、汇聚、共享、开放、使用、管理等工作。</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lang w:val="en-US"/>
        </w:rPr>
      </w:pPr>
      <w:r>
        <w:rPr>
          <w:rFonts w:hint="eastAsia" w:ascii="宋体" w:hAnsi="宋体" w:eastAsia="方正仿宋_GBK" w:cs="方正仿宋_GBK"/>
          <w:color w:val="auto"/>
          <w:sz w:val="32"/>
          <w:szCs w:val="32"/>
        </w:rPr>
        <w:t>以建立政府及部门首席数据官制度为抓手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推动数据源头治理、共享开放、有序流通、融合应用、安全监管、标准规范的一体化机制创新</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打破条块分割、数据碎片化壁垒</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营造良好的数据要素市场环境。</w:t>
      </w:r>
      <w:bookmarkEnd w:id="132"/>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133" w:name="_Toc12412"/>
      <w:bookmarkStart w:id="134" w:name="_Toc21927"/>
      <w:bookmarkStart w:id="135" w:name="_Toc11390"/>
      <w:r>
        <w:rPr>
          <w:rFonts w:hint="eastAsia" w:ascii="宋体" w:hAnsi="宋体"/>
          <w:color w:val="auto"/>
        </w:rPr>
        <w:t>提升政府的公共服务能力</w:t>
      </w:r>
      <w:bookmarkEnd w:id="133"/>
      <w:bookmarkEnd w:id="134"/>
      <w:bookmarkEnd w:id="135"/>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36" w:name="_Toc20289"/>
      <w:r>
        <w:rPr>
          <w:rFonts w:hint="eastAsia" w:ascii="宋体" w:hAnsi="宋体"/>
          <w:color w:val="auto"/>
        </w:rPr>
        <w:t>提升公共服务便利性</w:t>
      </w:r>
      <w:bookmarkEnd w:id="136"/>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在广东政务服务网源城站点基础上</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依托统一的政务信息资源共享平台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构建统一的公共服务信息系统。加快各级政务服务大厅功能升级</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推动政务服务事项分级进驻；采取“前台综合受理、后台分类审批、统一窗口出件”的服务模式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实现一站式服务。推动涉及政务服务事项的信息跨部门、跨区域、跨行业互联互通</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建立高效便民的新型“互联网+政务服务”体系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推进线上线下深度融合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实行政务服务事项的网上综合受理和全程协同办理。在安全管理的前提下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把移动客户端、自助终端、服务热线接入政务服务端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提升服务的便捷性和办事效率。整合民生服务领域的网上服务资源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不断叠加便民服务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构建便民服务“一张网”。</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37" w:name="_Toc25560"/>
      <w:r>
        <w:rPr>
          <w:rFonts w:hint="eastAsia" w:ascii="宋体" w:hAnsi="宋体"/>
          <w:color w:val="auto"/>
        </w:rPr>
        <w:t>继续推行政务服务“最多跑一次”</w:t>
      </w:r>
      <w:bookmarkEnd w:id="137"/>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rPr>
        <w:t>在服务指引、申请材料、表格填报、前置事项、跨部门审批流程、数据跑腿等方面找准影响“最多跑一次”实施的着力点。深化“一件事”主题联办。对涉及两个以上部门办理的事项大力推行“一件事”主题联办服务模式</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申请人按“一件事”的办理要求提出一次申请</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登记一份申请表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提交一套材料</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可一次性获取办理结果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部门协同联办</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牵头主责部门统一提供咨询、辅导、受理等服务。</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38" w:name="_Toc22177"/>
      <w:r>
        <w:rPr>
          <w:rFonts w:hint="eastAsia" w:ascii="宋体" w:hAnsi="宋体"/>
          <w:color w:val="auto"/>
        </w:rPr>
        <w:t>提升公共服务满意度</w:t>
      </w:r>
      <w:bookmarkEnd w:id="138"/>
    </w:p>
    <w:p>
      <w:pPr>
        <w:pageBreakBefore w:val="0"/>
        <w:widowControl w:val="0"/>
        <w:kinsoku/>
        <w:wordWrap/>
        <w:overflowPunct w:val="0"/>
        <w:topLinePunct w:val="0"/>
        <w:autoSpaceDE w:val="0"/>
        <w:autoSpaceDN w:val="0"/>
        <w:bidi w:val="0"/>
        <w:adjustRightInd/>
        <w:snapToGrid/>
        <w:spacing w:line="600" w:lineRule="exact"/>
        <w:ind w:left="0" w:leftChars="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有效整合线上线下服务的行为数据、电子证照库、政务信息资源共享平台数据库等资源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运用大数据、人工智能技术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开展跨领域、跨渠道的综合分析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不断优化资源配置</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丰富服务内容</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有效提升政务服务质量。进一步发挥12345政务</w:t>
      </w:r>
      <w:r>
        <w:rPr>
          <w:rFonts w:hint="eastAsia" w:ascii="宋体" w:hAnsi="宋体" w:eastAsia="方正仿宋_GBK" w:cs="方正仿宋_GBK"/>
          <w:color w:val="auto"/>
          <w:sz w:val="32"/>
          <w:szCs w:val="32"/>
          <w:shd w:val="clear" w:color="auto" w:fill="FFFFFF"/>
          <w:lang w:val="en-US" w:eastAsia="zh-CN"/>
        </w:rPr>
        <w:t>服务</w:t>
      </w:r>
      <w:r>
        <w:rPr>
          <w:rFonts w:hint="eastAsia" w:ascii="宋体" w:hAnsi="宋体" w:eastAsia="方正仿宋_GBK" w:cs="方正仿宋_GBK"/>
          <w:color w:val="auto"/>
          <w:sz w:val="32"/>
          <w:szCs w:val="32"/>
          <w:shd w:val="clear" w:color="auto" w:fill="FFFFFF"/>
        </w:rPr>
        <w:t>热线网上咨询投诉举报平台作用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不断改善公共服务的效率</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构建受理、处理、反馈、评价等一体化运转机制</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促进政务服务规范化、标准化、便捷化。多渠道多形式深入开展</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粤省事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粤商通</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粤政易</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粤康码</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等“粤系列”智慧移动应用平台的推广宣传工作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进一步擦亮移动应用品牌</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为企业、群众和公务人员提供更优质的服务。</w:t>
      </w:r>
    </w:p>
    <w:p>
      <w:pPr>
        <w:pStyle w:val="4"/>
        <w:pageBreakBefore w:val="0"/>
        <w:widowControl w:val="0"/>
        <w:kinsoku/>
        <w:wordWrap/>
        <w:overflowPunct w:val="0"/>
        <w:topLinePunct w:val="0"/>
        <w:autoSpaceDE w:val="0"/>
        <w:autoSpaceDN w:val="0"/>
        <w:bidi w:val="0"/>
        <w:adjustRightInd/>
        <w:snapToGrid/>
        <w:spacing w:before="0" w:after="0" w:line="600" w:lineRule="exact"/>
        <w:ind w:left="0" w:leftChars="0" w:firstLine="640" w:firstLineChars="200"/>
        <w:textAlignment w:val="auto"/>
        <w:rPr>
          <w:rFonts w:hint="eastAsia" w:ascii="宋体" w:hAnsi="宋体"/>
          <w:color w:val="auto"/>
          <w:lang w:eastAsia="zh-CN"/>
        </w:rPr>
      </w:pPr>
      <w:bookmarkStart w:id="139" w:name="_Toc20113"/>
      <w:r>
        <w:rPr>
          <w:rFonts w:hint="eastAsia" w:ascii="宋体" w:hAnsi="宋体"/>
          <w:color w:val="auto"/>
          <w:lang w:val="en-US" w:eastAsia="zh-CN"/>
        </w:rPr>
        <w:t>不断提</w:t>
      </w:r>
      <w:r>
        <w:rPr>
          <w:rFonts w:hint="eastAsia" w:ascii="宋体" w:hAnsi="宋体"/>
          <w:color w:val="auto"/>
          <w:lang w:eastAsia="zh-CN"/>
        </w:rPr>
        <w:t>升政务服务监管效能</w:t>
      </w:r>
      <w:bookmarkEnd w:id="139"/>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建立政务服务效能监督机制</w:t>
      </w:r>
    </w:p>
    <w:p>
      <w:pPr>
        <w:pageBreakBefore w:val="0"/>
        <w:widowControl w:val="0"/>
        <w:kinsoku/>
        <w:wordWrap/>
        <w:overflowPunct w:val="0"/>
        <w:topLinePunct w:val="0"/>
        <w:autoSpaceDE w:val="0"/>
        <w:autoSpaceDN w:val="0"/>
        <w:bidi w:val="0"/>
        <w:adjustRightInd w:val="0"/>
        <w:snapToGrid/>
        <w:spacing w:line="600" w:lineRule="exact"/>
        <w:ind w:left="0" w:leftChars="0" w:firstLine="640" w:firstLineChars="200"/>
        <w:textAlignment w:val="auto"/>
        <w:rPr>
          <w:rFonts w:hint="eastAsia" w:ascii="宋体" w:hAnsi="宋体" w:eastAsia="方正仿宋_GBK" w:cs="方正仿宋_GBK"/>
          <w:color w:val="auto"/>
          <w:sz w:val="32"/>
          <w:szCs w:val="32"/>
          <w:highlight w:val="none"/>
          <w:shd w:val="clear" w:color="auto" w:fill="FFFFFF"/>
        </w:rPr>
      </w:pPr>
      <w:r>
        <w:rPr>
          <w:rFonts w:hint="eastAsia" w:ascii="宋体" w:hAnsi="宋体" w:eastAsia="方正仿宋_GBK" w:cs="方正仿宋_GBK"/>
          <w:color w:val="auto"/>
          <w:sz w:val="32"/>
          <w:szCs w:val="32"/>
          <w:highlight w:val="none"/>
          <w:shd w:val="clear" w:color="auto" w:fill="FFFFFF"/>
        </w:rPr>
        <w:t>持续推进政务服务“好差评”工作</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简化评价流程</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提高群众参与积极性。</w:t>
      </w:r>
      <w:r>
        <w:rPr>
          <w:rFonts w:hint="eastAsia" w:ascii="宋体" w:hAnsi="宋体" w:eastAsia="方正仿宋_GBK" w:cs="方正仿宋_GBK"/>
          <w:color w:val="auto"/>
          <w:sz w:val="32"/>
          <w:szCs w:val="32"/>
          <w:shd w:val="clear" w:color="auto" w:fill="FFFFFF"/>
        </w:rPr>
        <w:t>组织开展“好差评”工作评价、反馈、整改、完善等各项工作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highlight w:val="none"/>
          <w:shd w:val="clear" w:color="auto" w:fill="FFFFFF"/>
        </w:rPr>
        <w:t>加强</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好差评</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数据、投诉处理数据综合分析能力</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主动高效识别政务服务堵点、难点</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有效化解问题</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有针对性的提升政务服务能力。围绕政务服务线上线下办事全局、全流程数据监测</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深化政务服务效能分析</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建立行政审批承诺制。进一步深化政务服务综合效能监督系统应用实施工作</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利用大数据技术对行政审批、大厅业务日常纪律、投诉监督以及绩效考核等工作进行全过程实时监督</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促进效能监督智能化、规范化。</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40" w:name="_Toc1848"/>
      <w:r>
        <w:rPr>
          <w:rFonts w:hint="eastAsia" w:ascii="宋体" w:hAnsi="宋体"/>
          <w:color w:val="auto"/>
        </w:rPr>
        <w:t>继续推进“互联网+监管”工作</w:t>
      </w:r>
      <w:bookmarkEnd w:id="140"/>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通过上下联动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强化各部门工作协同。积极与上级牵头和业务部门沟通</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及时掌握各部门监管事项的动态变化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及时准确的将监管行为数据录入国家“互联网+监管”系统。按照统一贯通无遗漏原则</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集中时间</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集中精力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全力推进。下一步</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将持续跟进各部门的监管事项认领工作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并按照市级要求积极做好后续系统对接及应用工作。</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41" w:name="_Toc23262"/>
      <w:bookmarkStart w:id="142" w:name="_Toc19610"/>
      <w:bookmarkStart w:id="143" w:name="_Toc4916"/>
      <w:bookmarkStart w:id="144" w:name="_Toc19765"/>
      <w:r>
        <w:rPr>
          <w:rFonts w:hint="eastAsia" w:ascii="宋体" w:hAnsi="宋体"/>
          <w:color w:val="auto"/>
          <w:lang w:val="en-US" w:eastAsia="zh-CN"/>
        </w:rPr>
        <w:t>完善安全体系</w:t>
      </w:r>
      <w:bookmarkEnd w:id="141"/>
      <w:bookmarkEnd w:id="142"/>
      <w:bookmarkEnd w:id="143"/>
      <w:bookmarkEnd w:id="144"/>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45" w:name="_Toc10006"/>
      <w:r>
        <w:rPr>
          <w:rFonts w:hint="eastAsia" w:ascii="宋体" w:hAnsi="宋体"/>
          <w:color w:val="auto"/>
        </w:rPr>
        <w:t>建立网络安全管理工作机制</w:t>
      </w:r>
      <w:bookmarkEnd w:id="145"/>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各部门建立常态化工作联动机制</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依托第三方安全技术机构</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加强日常监测预警和联合应急演练</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确保信息安全工作协同共治。</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46" w:name="_Toc12139"/>
      <w:r>
        <w:rPr>
          <w:rFonts w:hint="eastAsia" w:ascii="宋体" w:hAnsi="宋体"/>
          <w:color w:val="auto"/>
        </w:rPr>
        <w:t>建立网络安全管理责任制</w:t>
      </w:r>
      <w:bookmarkEnd w:id="146"/>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界定各部门的工作边界</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加强信息基础设施安全保护</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通过绩效考核</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落实信息基础设施安全保障主体责任。各部门在各自职责范围内负责相关网络安全保护和监督管理工作。主管部门负责指导监督数字政府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sz w:val="32"/>
          <w:szCs w:val="32"/>
          <w:shd w:val="clear" w:color="auto" w:fill="FFFFFF"/>
        </w:rPr>
        <w:t>建设运营相关部门提供网络安全保障服务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建立专业人才队伍</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提供日常安全保障、监测预警和应急响应技术支撑。相关部门负责制定、落实本部门网络安全管理规范的具体细则和应急响应预案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承担本部门主管的业务系统及接入系统的网络终端、政务网站安全主体责任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指导督促安全支撑团队做好日常安全工作。</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47" w:name="_Toc18431"/>
      <w:r>
        <w:rPr>
          <w:rFonts w:hint="eastAsia" w:ascii="宋体" w:hAnsi="宋体"/>
          <w:color w:val="auto"/>
        </w:rPr>
        <w:t>建立网络安全保密机制</w:t>
      </w:r>
      <w:bookmarkEnd w:id="147"/>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严格按照安全保密相关法律法规标准要求推进数字政府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sz w:val="32"/>
          <w:szCs w:val="32"/>
          <w:shd w:val="clear" w:color="auto" w:fill="FFFFFF"/>
        </w:rPr>
        <w:t>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落实安全保密措施</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充分落实数字政府信息安全管理的有关规定。明确安全保密主体责任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加强对参与设计、建设及运营人员的安全保密工作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确保所有人员严格遵守国家、省的保密法律、法规以及各部门的安全保密相关规章制度</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保障数字政府从建设到运营全方位的信息安全。</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48" w:name="_Toc16058"/>
      <w:r>
        <w:rPr>
          <w:rFonts w:hint="eastAsia" w:ascii="宋体" w:hAnsi="宋体"/>
          <w:color w:val="auto"/>
        </w:rPr>
        <w:t>建立安全检查机制</w:t>
      </w:r>
      <w:bookmarkEnd w:id="148"/>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落实数字政府安全监查机制</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组织定期开展网络安全专项督查</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检查安全措施和整改措施落实情况。各部门充分落实岗位安全管理制度</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确保政务应用使用安全落实到位。完善网络安全多级多部门自我监管制度</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监督数字政府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sz w:val="32"/>
          <w:szCs w:val="32"/>
          <w:shd w:val="clear" w:color="auto" w:fill="FFFFFF"/>
        </w:rPr>
        <w:t>建设运营单位落实企业安全保密监管责任。</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49" w:name="_Toc22937"/>
      <w:r>
        <w:rPr>
          <w:rFonts w:hint="eastAsia" w:ascii="宋体" w:hAnsi="宋体"/>
          <w:color w:val="auto"/>
        </w:rPr>
        <w:t>建立网络安全事件应急</w:t>
      </w:r>
      <w:r>
        <w:rPr>
          <w:rFonts w:hint="eastAsia" w:ascii="宋体" w:hAnsi="宋体"/>
          <w:color w:val="auto"/>
          <w:lang w:val="en-US" w:eastAsia="zh-CN"/>
        </w:rPr>
        <w:t>指挥</w:t>
      </w:r>
      <w:r>
        <w:rPr>
          <w:rFonts w:hint="eastAsia" w:ascii="宋体" w:hAnsi="宋体"/>
          <w:color w:val="auto"/>
        </w:rPr>
        <w:t>体系</w:t>
      </w:r>
      <w:bookmarkEnd w:id="149"/>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建立数字政府网络安全应急指挥</w:t>
      </w:r>
      <w:r>
        <w:rPr>
          <w:rFonts w:hint="eastAsia" w:ascii="宋体" w:hAnsi="宋体" w:eastAsia="方正仿宋_GBK" w:cs="方正仿宋_GBK"/>
          <w:color w:val="auto"/>
          <w:sz w:val="32"/>
          <w:szCs w:val="32"/>
          <w:shd w:val="clear" w:color="auto" w:fill="FFFFFF"/>
          <w:lang w:val="en-US" w:eastAsia="zh-CN"/>
        </w:rPr>
        <w:t>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制订突发事件应急响应预案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定期组织网络安全应急培训并开展应急演练</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不断完善预案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规范应急处理流程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明确各部门在网络安全、系统运维、公共服务等方面突发事件的应急分工及工作流程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保障数字政府健康持续发展</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组建信息安全保障团队</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配备网络、系统、应用、信息、设备、云平台等六大领域的专业人才负责日常安全保障和应急响应。</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50" w:name="_Toc2683"/>
      <w:r>
        <w:rPr>
          <w:rFonts w:hint="eastAsia" w:ascii="宋体" w:hAnsi="宋体"/>
          <w:color w:val="auto"/>
        </w:rPr>
        <w:t>建立网络安全预警防护体系</w:t>
      </w:r>
      <w:bookmarkEnd w:id="150"/>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结合网络安全态势感知、异常流量监测等安全保障技术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加强重点电子政务互联网出口网络安全监测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构建网络安全预警防护体系。充分发挥基础电信运营商在物理安全、网络安全、管理安全、数据安全等方面的运营优势</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利用互联网企业在平台安全、数据安全、应用安全方面的技术能力及优秀企业的技术优势</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共同建立政务云立体安全预警防护体系。准确把握网络安全风险规律、提升安全风险管控能力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提高数字政府信息安全主动防御安全保障能力。</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51" w:name="_Toc14149"/>
      <w:r>
        <w:rPr>
          <w:rFonts w:hint="eastAsia" w:ascii="宋体" w:hAnsi="宋体"/>
          <w:color w:val="auto"/>
        </w:rPr>
        <w:t>严格落实网络安全等级保护基本要求</w:t>
      </w:r>
      <w:bookmarkEnd w:id="151"/>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排查各部门重点业务系统信息安全等级保护建设情况</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严格落实信息安全等级保护制度要求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加强重点领域的信息安全保护。</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52" w:name="_Toc26312"/>
      <w:r>
        <w:rPr>
          <w:rFonts w:hint="eastAsia" w:ascii="宋体" w:hAnsi="宋体"/>
          <w:color w:val="auto"/>
        </w:rPr>
        <w:t>推动国产自主产品在重要领域的应用</w:t>
      </w:r>
      <w:bookmarkEnd w:id="152"/>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积极采用国产安全技术和产品</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保障数字政府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sz w:val="32"/>
          <w:szCs w:val="32"/>
          <w:shd w:val="clear" w:color="auto" w:fill="FFFFFF"/>
        </w:rPr>
        <w:t>建设安全自主可控。使用符合规范的国产密码基础设施</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完善和深化国产密码在政务云平台等政务服务系统的应用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保障数字政府网络安全、数据安全自主可控。提升密码基础支撑能力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建立健全密码应用安全性评估审查制度。在系统规划、建设和运行阶段</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开展国产商用密码应用安全性评估工作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新建网络和信息系统采用国产密码进行保护</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已建网络和信息系统逐步开展密码国产化改造。</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53" w:name="_Toc18885"/>
      <w:bookmarkStart w:id="154" w:name="_Toc10136"/>
      <w:bookmarkStart w:id="155" w:name="_Toc6665"/>
      <w:bookmarkStart w:id="156" w:name="_Toc6080"/>
      <w:r>
        <w:rPr>
          <w:rFonts w:hint="eastAsia" w:ascii="宋体" w:hAnsi="宋体"/>
          <w:color w:val="auto"/>
          <w:lang w:val="en-US" w:eastAsia="zh-CN"/>
        </w:rPr>
        <w:t>贯彻标准体系</w:t>
      </w:r>
      <w:bookmarkEnd w:id="153"/>
      <w:bookmarkEnd w:id="154"/>
      <w:bookmarkEnd w:id="155"/>
      <w:bookmarkEnd w:id="156"/>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贯彻数字政府标准体系。依托电子政务标准体系框架</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紧密衔接河源市数字政府总体框架</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突出建设具有我区特点的标准体系框架。</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57" w:name="_Toc20632"/>
      <w:r>
        <w:rPr>
          <w:rFonts w:hint="eastAsia" w:ascii="宋体" w:hAnsi="宋体"/>
          <w:color w:val="auto"/>
        </w:rPr>
        <w:t>统一数据标准</w:t>
      </w:r>
      <w:bookmarkEnd w:id="157"/>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对全区数据资源进行梳理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贯彻执行法人、自然人、地理信息、宏观经济、社会信用等核心数据资源标准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分期分批推动贯彻卫生健康、教育、住建水利、交通运输、生态环境等行业数据资源标准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并逐步扩展到民生数据、社会互联网数据等领域的标准化。贯彻政务信息资源目录体系标准、元数据标准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细化落实信息资源整合规范、资源库建设规范</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以及数据归集、整理、存储和利用等环节的数据标准和管理规范。</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58" w:name="_Toc15076"/>
      <w:r>
        <w:rPr>
          <w:rFonts w:hint="eastAsia" w:ascii="宋体" w:hAnsi="宋体"/>
          <w:color w:val="auto"/>
        </w:rPr>
        <w:t>统一技术标准</w:t>
      </w:r>
      <w:bookmarkEnd w:id="158"/>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贯彻落实核心技术体系标准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依托市政务云平台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稳步推进全区各部门应用系统上云。执行数据交换共享接口标准、明确开放与共享技术标准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实现数字政府的数据资源互联互通</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破除</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信息孤岛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。贯彻落实平台和系统建设等方面的技术标准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打破烟囱系统</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实现政务横向和纵向兼容贯通。</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59" w:name="_Toc5449"/>
      <w:r>
        <w:rPr>
          <w:rFonts w:hint="eastAsia" w:ascii="宋体" w:hAnsi="宋体"/>
          <w:color w:val="auto"/>
        </w:rPr>
        <w:t>统一管理标准</w:t>
      </w:r>
      <w:bookmarkEnd w:id="159"/>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根据实践情况调整数字政府需求侧管理、建设管理、运营管理标准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健全数字政府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sz w:val="32"/>
          <w:szCs w:val="32"/>
          <w:shd w:val="clear" w:color="auto" w:fill="FFFFFF"/>
        </w:rPr>
        <w:t>建设运维管理制度和政务信息系统运维管理细则</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明确管理职责</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实现基础设施模块化建设和管理运营维护模式。</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60" w:name="_Toc12458"/>
      <w:r>
        <w:rPr>
          <w:rFonts w:hint="eastAsia" w:ascii="宋体" w:hAnsi="宋体"/>
          <w:color w:val="auto"/>
        </w:rPr>
        <w:t>统一服务标准</w:t>
      </w:r>
      <w:bookmarkEnd w:id="160"/>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深入推进区政务服务标准体系建设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从服务流程、服务提供、质量控制、运行管理四个维度</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完善政务服务标准体系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贯彻执行全面统一的政务服务事项标准、流程标准、大厅服务标准、考核评价标准。同时</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结合实际制订托管服务、中介服务等服务标准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形成统一的业务规范</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提升服务效率。</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61" w:name="_Toc26710"/>
      <w:bookmarkStart w:id="162" w:name="_Toc15647"/>
      <w:bookmarkStart w:id="163" w:name="_Toc15240"/>
      <w:bookmarkStart w:id="164" w:name="_Toc12854"/>
      <w:r>
        <w:rPr>
          <w:rFonts w:hint="eastAsia" w:ascii="宋体" w:hAnsi="宋体"/>
          <w:color w:val="auto"/>
          <w:lang w:val="en-US" w:eastAsia="zh-CN"/>
        </w:rPr>
        <w:t>完善基础支撑</w:t>
      </w:r>
      <w:bookmarkEnd w:id="161"/>
      <w:bookmarkEnd w:id="162"/>
      <w:bookmarkEnd w:id="163"/>
      <w:bookmarkEnd w:id="164"/>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65" w:name="_Toc11739"/>
      <w:r>
        <w:rPr>
          <w:rFonts w:hint="eastAsia" w:ascii="宋体" w:hAnsi="宋体"/>
          <w:color w:val="auto"/>
        </w:rPr>
        <w:t>完善电子政务云子节点</w:t>
      </w:r>
      <w:bookmarkEnd w:id="165"/>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kern w:val="2"/>
          <w:sz w:val="32"/>
          <w:szCs w:val="32"/>
          <w:shd w:val="clear" w:color="auto" w:fill="FFFFFF"/>
        </w:rPr>
        <w:t>（1）遵守政务云“1+N+M”总体架构</w:t>
      </w:r>
      <w:r>
        <w:rPr>
          <w:rFonts w:hint="eastAsia" w:ascii="宋体" w:hAnsi="宋体" w:eastAsia="方正仿宋_GBK" w:cs="方正仿宋_GBK"/>
          <w:color w:val="auto"/>
          <w:kern w:val="2"/>
          <w:sz w:val="32"/>
          <w:szCs w:val="32"/>
          <w:shd w:val="clear" w:color="auto" w:fill="FFFFFF"/>
          <w:lang w:eastAsia="zh-CN"/>
        </w:rPr>
        <w:t>，</w:t>
      </w:r>
      <w:r>
        <w:rPr>
          <w:rFonts w:hint="eastAsia" w:ascii="宋体" w:hAnsi="宋体" w:eastAsia="方正仿宋_GBK" w:cs="方正仿宋_GBK"/>
          <w:color w:val="auto"/>
          <w:kern w:val="2"/>
          <w:sz w:val="32"/>
          <w:szCs w:val="32"/>
          <w:shd w:val="clear" w:color="auto" w:fill="FFFFFF"/>
        </w:rPr>
        <w:t>依托</w:t>
      </w:r>
      <w:r>
        <w:rPr>
          <w:rFonts w:hint="eastAsia" w:ascii="宋体" w:hAnsi="宋体" w:eastAsia="方正仿宋_GBK" w:cs="方正仿宋_GBK"/>
          <w:color w:val="auto"/>
          <w:sz w:val="32"/>
          <w:szCs w:val="32"/>
          <w:lang w:bidi="ar"/>
        </w:rPr>
        <w:t>全市统一的电子政务云平台</w:t>
      </w:r>
      <w:r>
        <w:rPr>
          <w:rFonts w:hint="eastAsia" w:ascii="宋体" w:hAnsi="宋体" w:eastAsia="方正仿宋_GBK" w:cs="方正仿宋_GBK"/>
          <w:color w:val="auto"/>
          <w:sz w:val="32"/>
          <w:szCs w:val="32"/>
          <w:lang w:eastAsia="zh-CN" w:bidi="ar"/>
        </w:rPr>
        <w:t>，</w:t>
      </w:r>
      <w:r>
        <w:rPr>
          <w:rFonts w:hint="eastAsia" w:ascii="宋体" w:hAnsi="宋体" w:eastAsia="方正仿宋_GBK" w:cs="方正仿宋_GBK"/>
          <w:color w:val="auto"/>
          <w:sz w:val="32"/>
          <w:szCs w:val="32"/>
          <w:lang w:bidi="ar"/>
        </w:rPr>
        <w:t>按照“物理分散、逻辑统一”的原则</w:t>
      </w:r>
      <w:r>
        <w:rPr>
          <w:rFonts w:hint="eastAsia" w:ascii="宋体" w:hAnsi="宋体" w:eastAsia="方正仿宋_GBK" w:cs="方正仿宋_GBK"/>
          <w:color w:val="auto"/>
          <w:sz w:val="32"/>
          <w:szCs w:val="32"/>
          <w:lang w:eastAsia="zh-CN" w:bidi="ar"/>
        </w:rPr>
        <w:t>，</w:t>
      </w:r>
      <w:r>
        <w:rPr>
          <w:rFonts w:hint="eastAsia" w:ascii="宋体" w:hAnsi="宋体" w:eastAsia="方正仿宋_GBK" w:cs="方正仿宋_GBK"/>
          <w:color w:val="auto"/>
          <w:sz w:val="32"/>
          <w:szCs w:val="32"/>
          <w:lang w:bidi="ar"/>
        </w:rPr>
        <w:t>完善源城区电子政务云子节点及云资源管理平台</w:t>
      </w:r>
      <w:r>
        <w:rPr>
          <w:rFonts w:hint="eastAsia" w:ascii="宋体" w:hAnsi="宋体" w:eastAsia="方正仿宋_GBK" w:cs="方正仿宋_GBK"/>
          <w:color w:val="auto"/>
          <w:sz w:val="32"/>
          <w:szCs w:val="32"/>
          <w:lang w:eastAsia="zh-CN" w:bidi="ar"/>
        </w:rPr>
        <w:t>，</w:t>
      </w:r>
      <w:r>
        <w:rPr>
          <w:rFonts w:hint="eastAsia" w:ascii="宋体" w:hAnsi="宋体" w:eastAsia="方正仿宋_GBK" w:cs="方正仿宋_GBK"/>
          <w:color w:val="auto"/>
          <w:sz w:val="32"/>
          <w:szCs w:val="32"/>
          <w:lang w:bidi="ar"/>
        </w:rPr>
        <w:t>实现对云资源业务、管理、设备、部署等精细化管理。</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kern w:val="2"/>
          <w:sz w:val="32"/>
          <w:szCs w:val="32"/>
          <w:shd w:val="clear" w:color="auto" w:fill="FFFFFF"/>
        </w:rPr>
        <w:t>（2）</w:t>
      </w:r>
      <w:r>
        <w:rPr>
          <w:rFonts w:hint="eastAsia" w:ascii="宋体" w:hAnsi="宋体" w:eastAsia="方正仿宋_GBK" w:cs="方正仿宋_GBK"/>
          <w:color w:val="auto"/>
          <w:sz w:val="32"/>
          <w:szCs w:val="32"/>
          <w:lang w:bidi="ar"/>
        </w:rPr>
        <w:t>以实现基础设施集约共享为出发点</w:t>
      </w:r>
      <w:r>
        <w:rPr>
          <w:rFonts w:hint="eastAsia" w:ascii="宋体" w:hAnsi="宋体" w:eastAsia="方正仿宋_GBK" w:cs="方正仿宋_GBK"/>
          <w:color w:val="auto"/>
          <w:sz w:val="32"/>
          <w:szCs w:val="32"/>
          <w:lang w:eastAsia="zh-CN" w:bidi="ar"/>
        </w:rPr>
        <w:t>，</w:t>
      </w:r>
      <w:r>
        <w:rPr>
          <w:rFonts w:hint="eastAsia" w:ascii="宋体" w:hAnsi="宋体" w:eastAsia="方正仿宋_GBK" w:cs="方正仿宋_GBK"/>
          <w:color w:val="auto"/>
          <w:sz w:val="32"/>
          <w:szCs w:val="32"/>
          <w:lang w:bidi="ar"/>
        </w:rPr>
        <w:t>大力整合各部门现有分散的基础设施资源</w:t>
      </w:r>
      <w:r>
        <w:rPr>
          <w:rFonts w:hint="eastAsia" w:ascii="宋体" w:hAnsi="宋体" w:eastAsia="方正仿宋_GBK" w:cs="方正仿宋_GBK"/>
          <w:color w:val="auto"/>
          <w:sz w:val="32"/>
          <w:szCs w:val="32"/>
          <w:lang w:eastAsia="zh-CN" w:bidi="ar"/>
        </w:rPr>
        <w:t>，</w:t>
      </w:r>
      <w:r>
        <w:rPr>
          <w:rFonts w:hint="eastAsia" w:ascii="宋体" w:hAnsi="宋体" w:eastAsia="方正仿宋_GBK" w:cs="方正仿宋_GBK"/>
          <w:color w:val="auto"/>
          <w:sz w:val="32"/>
          <w:szCs w:val="32"/>
          <w:lang w:bidi="ar"/>
        </w:rPr>
        <w:t>持续推动各部门新建、存量电子政务系统向政务云平台集中部署、迁移</w:t>
      </w:r>
      <w:r>
        <w:rPr>
          <w:rFonts w:hint="eastAsia" w:ascii="宋体" w:hAnsi="宋体" w:eastAsia="方正仿宋_GBK" w:cs="方正仿宋_GBK"/>
          <w:color w:val="auto"/>
          <w:sz w:val="32"/>
          <w:szCs w:val="32"/>
          <w:lang w:eastAsia="zh-CN" w:bidi="ar"/>
        </w:rPr>
        <w:t>，</w:t>
      </w:r>
      <w:r>
        <w:rPr>
          <w:rFonts w:hint="eastAsia" w:ascii="宋体" w:hAnsi="宋体" w:eastAsia="方正仿宋_GBK" w:cs="方正仿宋_GBK"/>
          <w:color w:val="auto"/>
          <w:sz w:val="32"/>
          <w:szCs w:val="32"/>
          <w:lang w:bidi="ar"/>
        </w:rPr>
        <w:t>实现电子政务集约化建设</w:t>
      </w:r>
      <w:r>
        <w:rPr>
          <w:rFonts w:hint="eastAsia" w:ascii="宋体" w:hAnsi="宋体" w:eastAsia="方正仿宋_GBK" w:cs="方正仿宋_GBK"/>
          <w:color w:val="auto"/>
          <w:sz w:val="32"/>
          <w:szCs w:val="32"/>
          <w:lang w:eastAsia="zh-CN" w:bidi="ar"/>
        </w:rPr>
        <w:t>，</w:t>
      </w:r>
      <w:r>
        <w:rPr>
          <w:rFonts w:hint="eastAsia" w:ascii="宋体" w:hAnsi="宋体" w:eastAsia="方正仿宋_GBK" w:cs="方正仿宋_GBK"/>
          <w:color w:val="auto"/>
          <w:sz w:val="32"/>
          <w:szCs w:val="32"/>
          <w:lang w:bidi="ar"/>
        </w:rPr>
        <w:t>避免重复投入。</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kern w:val="2"/>
          <w:sz w:val="32"/>
          <w:szCs w:val="32"/>
          <w:shd w:val="clear" w:color="auto" w:fill="FFFFFF"/>
        </w:rPr>
        <w:t>（3）</w:t>
      </w:r>
      <w:r>
        <w:rPr>
          <w:rFonts w:hint="eastAsia" w:ascii="宋体" w:hAnsi="宋体" w:eastAsia="方正仿宋_GBK" w:cs="方正仿宋_GBK"/>
          <w:color w:val="auto"/>
          <w:sz w:val="32"/>
          <w:szCs w:val="32"/>
          <w:lang w:bidi="ar"/>
        </w:rPr>
        <w:t>协同推进电子政务云数据中心同城备份建设</w:t>
      </w:r>
      <w:r>
        <w:rPr>
          <w:rFonts w:hint="eastAsia" w:ascii="宋体" w:hAnsi="宋体" w:eastAsia="方正仿宋_GBK" w:cs="方正仿宋_GBK"/>
          <w:color w:val="auto"/>
          <w:sz w:val="32"/>
          <w:szCs w:val="32"/>
          <w:lang w:eastAsia="zh-CN" w:bidi="ar"/>
        </w:rPr>
        <w:t>，</w:t>
      </w:r>
      <w:r>
        <w:rPr>
          <w:rFonts w:hint="eastAsia" w:ascii="宋体" w:hAnsi="宋体" w:eastAsia="方正仿宋_GBK" w:cs="方正仿宋_GBK"/>
          <w:color w:val="auto"/>
          <w:sz w:val="32"/>
          <w:szCs w:val="32"/>
          <w:lang w:bidi="ar"/>
        </w:rPr>
        <w:t>完善政务云平台安全防护体系</w:t>
      </w:r>
      <w:r>
        <w:rPr>
          <w:rFonts w:hint="eastAsia" w:ascii="宋体" w:hAnsi="宋体" w:eastAsia="方正仿宋_GBK" w:cs="方正仿宋_GBK"/>
          <w:color w:val="auto"/>
          <w:sz w:val="32"/>
          <w:szCs w:val="32"/>
          <w:lang w:eastAsia="zh-CN" w:bidi="ar"/>
        </w:rPr>
        <w:t>，</w:t>
      </w:r>
      <w:r>
        <w:rPr>
          <w:rFonts w:hint="eastAsia" w:ascii="宋体" w:hAnsi="宋体" w:eastAsia="方正仿宋_GBK" w:cs="方正仿宋_GBK"/>
          <w:color w:val="auto"/>
          <w:sz w:val="32"/>
          <w:szCs w:val="32"/>
          <w:lang w:bidi="ar"/>
        </w:rPr>
        <w:t>提升容灾防御能力与应急恢复能力。</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kern w:val="2"/>
          <w:sz w:val="32"/>
          <w:szCs w:val="32"/>
          <w:shd w:val="clear" w:color="auto" w:fill="FFFFFF"/>
        </w:rPr>
        <w:t>（4）</w:t>
      </w:r>
      <w:r>
        <w:rPr>
          <w:rFonts w:hint="eastAsia" w:ascii="宋体" w:hAnsi="宋体" w:eastAsia="方正仿宋_GBK" w:cs="方正仿宋_GBK"/>
          <w:color w:val="auto"/>
          <w:sz w:val="32"/>
          <w:szCs w:val="32"/>
          <w:lang w:bidi="ar"/>
        </w:rPr>
        <w:t>加强源城区电子政务云子节点基础设施服务</w:t>
      </w:r>
      <w:r>
        <w:rPr>
          <w:rFonts w:hint="eastAsia" w:ascii="宋体" w:hAnsi="宋体" w:eastAsia="方正仿宋_GBK" w:cs="方正仿宋_GBK"/>
          <w:color w:val="auto"/>
          <w:sz w:val="32"/>
          <w:szCs w:val="32"/>
          <w:lang w:eastAsia="zh-CN" w:bidi="ar"/>
        </w:rPr>
        <w:t>，</w:t>
      </w:r>
      <w:r>
        <w:rPr>
          <w:rFonts w:hint="eastAsia" w:ascii="宋体" w:hAnsi="宋体" w:eastAsia="方正仿宋_GBK" w:cs="方正仿宋_GBK"/>
          <w:color w:val="auto"/>
          <w:sz w:val="32"/>
          <w:szCs w:val="32"/>
          <w:lang w:bidi="ar"/>
        </w:rPr>
        <w:t>为各部门提供统一的机房、网络资源、存储灾备、感知体系、安全保障和运维服务</w:t>
      </w:r>
      <w:r>
        <w:rPr>
          <w:rFonts w:hint="eastAsia" w:ascii="宋体" w:hAnsi="宋体" w:eastAsia="方正仿宋_GBK" w:cs="方正仿宋_GBK"/>
          <w:color w:val="auto"/>
          <w:sz w:val="32"/>
          <w:szCs w:val="32"/>
          <w:lang w:eastAsia="zh-CN" w:bidi="ar"/>
        </w:rPr>
        <w:t>，</w:t>
      </w:r>
      <w:r>
        <w:rPr>
          <w:rFonts w:hint="eastAsia" w:ascii="宋体" w:hAnsi="宋体" w:eastAsia="方正仿宋_GBK" w:cs="方正仿宋_GBK"/>
          <w:color w:val="auto"/>
          <w:sz w:val="32"/>
          <w:szCs w:val="32"/>
          <w:lang w:bidi="ar"/>
        </w:rPr>
        <w:t>实现集中管理和统一运维。</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66" w:name="_Toc24657"/>
      <w:r>
        <w:rPr>
          <w:rFonts w:hint="eastAsia" w:ascii="宋体" w:hAnsi="宋体"/>
          <w:color w:val="auto"/>
        </w:rPr>
        <w:t>完善电子政务网络基础建设</w:t>
      </w:r>
      <w:bookmarkEnd w:id="166"/>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kern w:val="2"/>
          <w:sz w:val="32"/>
          <w:szCs w:val="32"/>
          <w:shd w:val="clear" w:color="auto" w:fill="FFFFFF"/>
        </w:rPr>
        <w:t>（1）持续</w:t>
      </w:r>
      <w:r>
        <w:rPr>
          <w:rFonts w:hint="eastAsia" w:ascii="宋体" w:hAnsi="宋体" w:eastAsia="方正仿宋_GBK" w:cs="方正仿宋_GBK"/>
          <w:color w:val="auto"/>
          <w:sz w:val="32"/>
          <w:szCs w:val="32"/>
          <w:shd w:val="clear" w:color="auto" w:fill="FFFFFF"/>
        </w:rPr>
        <w:t>推进政务外网的统一建设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实现政务外网对政务部门非涉密业务的全覆盖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为各部门提供敏捷高效的网络连接服务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满足各部门随时、随地、随需连接政务外网和访问各类政务业务系统的需要。</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kern w:val="2"/>
          <w:sz w:val="32"/>
          <w:szCs w:val="32"/>
          <w:shd w:val="clear" w:color="auto" w:fill="FFFFFF"/>
        </w:rPr>
        <w:t>（2）</w:t>
      </w:r>
      <w:r>
        <w:rPr>
          <w:rFonts w:hint="eastAsia" w:ascii="宋体" w:hAnsi="宋体" w:eastAsia="方正仿宋_GBK" w:cs="方正仿宋_GBK"/>
          <w:color w:val="auto"/>
          <w:kern w:val="2"/>
          <w:sz w:val="32"/>
          <w:szCs w:val="32"/>
          <w:shd w:val="clear" w:color="auto" w:fill="FFFFFF"/>
          <w:lang w:val="en-US" w:eastAsia="zh-CN"/>
        </w:rPr>
        <w:t>完善</w:t>
      </w:r>
      <w:r>
        <w:rPr>
          <w:rFonts w:hint="eastAsia" w:ascii="宋体" w:hAnsi="宋体" w:eastAsia="方正仿宋_GBK" w:cs="方正仿宋_GBK"/>
          <w:color w:val="auto"/>
          <w:sz w:val="32"/>
          <w:szCs w:val="32"/>
          <w:shd w:val="clear" w:color="auto" w:fill="FFFFFF"/>
        </w:rPr>
        <w:t>电子政务外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逐步实现高可靠、智能化、云网一体</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提升多业务承载能力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实现数据、视频等多业务流量统一承载</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全面实现网络业务的负载均衡和备份功能</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保障电子政务的可持续发展。</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kern w:val="2"/>
          <w:sz w:val="32"/>
          <w:szCs w:val="32"/>
          <w:shd w:val="clear" w:color="auto" w:fill="FFFFFF"/>
        </w:rPr>
        <w:t>（3）</w:t>
      </w:r>
      <w:r>
        <w:rPr>
          <w:rFonts w:hint="eastAsia" w:ascii="宋体" w:hAnsi="宋体" w:eastAsia="方正仿宋_GBK" w:cs="方正仿宋_GBK"/>
          <w:color w:val="auto"/>
          <w:sz w:val="32"/>
          <w:szCs w:val="32"/>
          <w:shd w:val="clear" w:color="auto" w:fill="FFFFFF"/>
        </w:rPr>
        <w:t>提升电子政务外网带宽</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实现电子政务外网</w:t>
      </w:r>
      <w:r>
        <w:rPr>
          <w:rFonts w:hint="eastAsia" w:ascii="宋体" w:hAnsi="宋体" w:eastAsia="方正仿宋_GBK" w:cs="方正仿宋_GBK"/>
          <w:strike w:val="0"/>
          <w:dstrike w:val="0"/>
          <w:color w:val="auto"/>
          <w:sz w:val="32"/>
          <w:szCs w:val="32"/>
          <w:highlight w:val="none"/>
          <w:shd w:val="clear" w:color="auto" w:fill="FFFFFF"/>
          <w:lang w:val="en-US" w:eastAsia="zh-CN"/>
        </w:rPr>
        <w:t>千</w:t>
      </w:r>
      <w:r>
        <w:rPr>
          <w:rFonts w:hint="eastAsia" w:ascii="宋体" w:hAnsi="宋体" w:eastAsia="方正仿宋_GBK" w:cs="方正仿宋_GBK"/>
          <w:color w:val="auto"/>
          <w:sz w:val="32"/>
          <w:szCs w:val="32"/>
          <w:shd w:val="clear" w:color="auto" w:fill="FFFFFF"/>
        </w:rPr>
        <w:t>兆到各镇（街道）、各部门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千兆到村（社区）。积极推动无线政务网、4G、5G、卫星通信等多种接入方式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打通各网络末端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完善布局</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构建“统一、高速、稳定、安全、弹性”的电子政务外网。</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kern w:val="2"/>
          <w:sz w:val="32"/>
          <w:szCs w:val="32"/>
          <w:shd w:val="clear" w:color="auto" w:fill="FFFFFF"/>
        </w:rPr>
        <w:t>（4）</w:t>
      </w:r>
      <w:r>
        <w:rPr>
          <w:rFonts w:hint="eastAsia" w:ascii="宋体" w:hAnsi="宋体" w:eastAsia="方正仿宋_GBK" w:cs="方正仿宋_GBK"/>
          <w:color w:val="auto"/>
          <w:sz w:val="32"/>
          <w:szCs w:val="32"/>
          <w:shd w:val="clear" w:color="auto" w:fill="FFFFFF"/>
        </w:rPr>
        <w:t>按照“雪亮工程”的统一部署</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将各类视频监控资源统筹规划、统筹建设、统一运营、统一运维</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形成一体化的视频融合平台。建设完善“一机一档”视频库</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实现监控点位编码、地理坐标、应用场景、行业属性、共享范围等标识统一</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形成标准统一的视频图像资源目录库和视频图像质量监测数据库。建设完善视频共享交换平台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按需向各部门开放视频图像资源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实现视频图像资源汇聚、跨行业跨层级共享、安全监测、质量评价及标准化管理。</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67" w:name="_Toc9743"/>
      <w:r>
        <w:rPr>
          <w:rFonts w:hint="eastAsia" w:ascii="宋体" w:hAnsi="宋体"/>
          <w:color w:val="auto"/>
        </w:rPr>
        <w:t>完善全面感知体系</w:t>
      </w:r>
      <w:bookmarkEnd w:id="167"/>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（1）坚持标准统一、安全可控的原则</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加强感知信息覆盖和共享共用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推动万物感知和万物互联</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构建全面感知物理社会和网络空间运行态势的感知体系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w:t>
      </w:r>
      <w:r>
        <w:rPr>
          <w:rFonts w:hint="eastAsia" w:ascii="宋体" w:hAnsi="宋体" w:eastAsia="方正仿宋_GBK" w:cs="方正仿宋_GBK"/>
          <w:color w:val="auto"/>
          <w:sz w:val="32"/>
          <w:szCs w:val="32"/>
          <w:shd w:val="clear" w:color="auto" w:fill="FFFFFF"/>
          <w:lang w:val="en-US" w:eastAsia="zh-CN"/>
        </w:rPr>
        <w:t>区</w:t>
      </w:r>
      <w:r>
        <w:rPr>
          <w:rFonts w:hint="eastAsia" w:ascii="宋体" w:hAnsi="宋体" w:eastAsia="方正仿宋_GBK" w:cs="方正仿宋_GBK"/>
          <w:color w:val="auto"/>
          <w:sz w:val="32"/>
          <w:szCs w:val="32"/>
          <w:shd w:val="clear" w:color="auto" w:fill="FFFFFF"/>
        </w:rPr>
        <w:t>政基础设施感知终端同步规划、同步建设。</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（2）推进集智慧绿色照明、Wi-Fi覆盖、环境监测、公共监控、信息发布、5G微基站、一键报警求助和智能充电桩等于一体的感知终端建设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形成共建共享、集约高效的物联感知网络建设模式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提升公共安全、城市管理、道路交通、生态环境等领域的智能感知水平。</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（3）推进遥感遥测、卫星定位、移动定位、物探、激光、雷达等各类地理空间数据和时空大数据的统一标准、统一汇聚和统一服务。</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（4）</w:t>
      </w:r>
      <w:r>
        <w:rPr>
          <w:rFonts w:hint="eastAsia" w:ascii="宋体" w:hAnsi="宋体" w:eastAsia="方正仿宋_GBK" w:cs="方正仿宋_GBK"/>
          <w:color w:val="auto"/>
          <w:sz w:val="32"/>
          <w:szCs w:val="32"/>
          <w:shd w:val="clear" w:color="auto" w:fill="FFFFFF"/>
          <w:lang w:val="en-US" w:eastAsia="zh-CN"/>
        </w:rPr>
        <w:t>探索建设</w:t>
      </w:r>
      <w:r>
        <w:rPr>
          <w:rFonts w:hint="eastAsia" w:ascii="宋体" w:hAnsi="宋体" w:eastAsia="方正仿宋_GBK" w:cs="方正仿宋_GBK"/>
          <w:color w:val="auto"/>
          <w:sz w:val="32"/>
          <w:szCs w:val="32"/>
          <w:shd w:val="clear" w:color="auto" w:fill="FFFFFF"/>
        </w:rPr>
        <w:t>开放式感知平台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加强感知数据标准化处理和共享共用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以及感知设备的规范化接入和数据汇聚</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结合互联网数据</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实现对物理社会和虚拟社会的全面感知</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形成智慧信息视图。</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（5）支持企业开展新型智能终端应用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支持企业在社区、公共场所、办公楼宇等区域部署智能服务终端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支持智能机器人、智能支付、虚拟现实等智能化应用。</w:t>
      </w:r>
    </w:p>
    <w:p>
      <w:pPr>
        <w:pStyle w:val="3"/>
        <w:pageBreakBefore w:val="0"/>
        <w:widowControl w:val="0"/>
        <w:kinsoku/>
        <w:wordWrap/>
        <w:overflowPunct w:val="0"/>
        <w:topLinePunct w:val="0"/>
        <w:autoSpaceDE w:val="0"/>
        <w:autoSpaceDN w:val="0"/>
        <w:bidi w:val="0"/>
        <w:snapToGrid/>
        <w:spacing w:before="0" w:after="0" w:line="600" w:lineRule="exact"/>
        <w:ind w:left="0" w:leftChars="0" w:firstLine="640" w:firstLineChars="200"/>
        <w:jc w:val="both"/>
        <w:textAlignment w:val="auto"/>
        <w:rPr>
          <w:rFonts w:hint="eastAsia" w:ascii="宋体" w:hAnsi="宋体"/>
          <w:color w:val="auto"/>
          <w:lang w:val="en-US" w:eastAsia="zh-CN"/>
        </w:rPr>
      </w:pPr>
      <w:bookmarkStart w:id="168" w:name="_Toc24560"/>
      <w:bookmarkStart w:id="169" w:name="_Toc21256"/>
      <w:bookmarkStart w:id="170" w:name="_Toc12007"/>
      <w:r>
        <w:rPr>
          <w:rFonts w:hint="eastAsia" w:ascii="宋体" w:hAnsi="宋体"/>
          <w:color w:val="auto"/>
          <w:lang w:val="en-US" w:eastAsia="zh-CN"/>
        </w:rPr>
        <w:t>智慧应用</w:t>
      </w:r>
      <w:bookmarkEnd w:id="168"/>
      <w:bookmarkEnd w:id="169"/>
      <w:bookmarkEnd w:id="170"/>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在数字政府整体框架下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运用“互联网+”思维充分利用政务大数据提高应用成效。以政府管理、社会保障、公共安全、社会信用、市场监管、食品药品安全、医疗卫生、国民教育、劳动就业、养老服务、公共交通等领域为重点</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全面建设智慧城市应用服务体系。基于数字政府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实现政府各部门的审批、核准、备案、监管等行政权力的网上运行</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企业、个人在线申请</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政府部门在线审批。积极规划专项政务信息化服务项目建设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大力推进</w:t>
      </w:r>
      <w:r>
        <w:rPr>
          <w:rFonts w:hint="eastAsia" w:ascii="宋体" w:hAnsi="宋体" w:eastAsia="方正仿宋_GBK" w:cs="方正仿宋_GBK"/>
          <w:color w:val="auto"/>
          <w:spacing w:val="-6"/>
          <w:sz w:val="32"/>
          <w:szCs w:val="32"/>
          <w:shd w:val="clear" w:color="auto" w:fill="FFFFFF"/>
        </w:rPr>
        <w:t>“互联网+”“雪亮工程”“数字城管”“应急指挥”“智慧城建”“明厨亮灶”等智慧应用。深化政务大数据在各部门、</w:t>
      </w:r>
      <w:r>
        <w:rPr>
          <w:rFonts w:hint="eastAsia" w:ascii="宋体" w:hAnsi="宋体" w:eastAsia="方正仿宋_GBK" w:cs="方正仿宋_GBK"/>
          <w:color w:val="auto"/>
          <w:sz w:val="32"/>
          <w:szCs w:val="32"/>
          <w:shd w:val="clear" w:color="auto" w:fill="FFFFFF"/>
        </w:rPr>
        <w:t>各行业的创新应用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不断创新各类便民事项的“互联网+政务”应用。鼓励企业和公众发掘利用开放的政务大数据资源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激发创新创业活力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面向经济社会发展需求研发政务大数据公共服务产品。</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71" w:name="_Toc13466"/>
      <w:bookmarkStart w:id="172" w:name="_Toc18275"/>
      <w:bookmarkStart w:id="218" w:name="_GoBack"/>
      <w:bookmarkEnd w:id="218"/>
      <w:r>
        <w:rPr>
          <w:rFonts w:hint="eastAsia" w:ascii="宋体" w:hAnsi="宋体"/>
          <w:color w:val="auto"/>
          <w:lang w:val="en-US" w:eastAsia="zh-CN"/>
        </w:rPr>
        <w:t>建设源城数字教育管理云平台</w:t>
      </w:r>
      <w:bookmarkEnd w:id="171"/>
      <w:bookmarkEnd w:id="172"/>
    </w:p>
    <w:p>
      <w:pPr>
        <w:pStyle w:val="42"/>
        <w:pageBreakBefore w:val="0"/>
        <w:widowControl w:val="0"/>
        <w:kinsoku/>
        <w:wordWrap/>
        <w:overflowPunct w:val="0"/>
        <w:topLinePunct w:val="0"/>
        <w:autoSpaceDE w:val="0"/>
        <w:autoSpaceDN w:val="0"/>
        <w:bidi w:val="0"/>
        <w:adjustRightInd w:val="0"/>
        <w:snapToGrid/>
        <w:spacing w:beforeLines="0" w:afterLines="0" w:line="600" w:lineRule="exact"/>
        <w:ind w:left="0" w:leftChars="0"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kern w:val="2"/>
          <w:sz w:val="32"/>
          <w:szCs w:val="32"/>
          <w:highlight w:val="none"/>
          <w:u w:val="none"/>
          <w:lang w:val="en-US" w:eastAsia="zh-CN" w:bidi="ar-SA"/>
        </w:rPr>
        <w:t>积极推进教育信息化建设，建设源城数字教育管理云平台，构建“管、教、研、评”四位一体的数据汇聚路径，实现教育信息资源共享与交换、教育运行动态监测与管理、教学质量分析与决策，提高教育信息化公共服务能力，全面助推源城教育高质量发展。</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73" w:name="_Toc26037"/>
      <w:bookmarkStart w:id="174" w:name="_Toc24540"/>
      <w:r>
        <w:rPr>
          <w:rFonts w:hint="eastAsia" w:ascii="宋体" w:hAnsi="宋体"/>
          <w:color w:val="auto"/>
          <w:lang w:val="en-US" w:eastAsia="zh-CN"/>
        </w:rPr>
        <w:t>探索构建智慧政务决策支撑系统</w:t>
      </w:r>
      <w:bookmarkEnd w:id="173"/>
      <w:bookmarkEnd w:id="174"/>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建设智能分析模型、大数据分析系统</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为政府决策提供经济运行、社会发展的实际状况和发展趋势分析等服务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不断提升政务数据保障和辅助决策能力。</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75" w:name="_Toc23816"/>
      <w:bookmarkStart w:id="176" w:name="_Toc22815"/>
      <w:r>
        <w:rPr>
          <w:rFonts w:hint="eastAsia" w:ascii="宋体" w:hAnsi="宋体"/>
          <w:color w:val="auto"/>
          <w:lang w:val="en-US" w:eastAsia="zh-CN"/>
        </w:rPr>
        <w:t>探索“互联网+政务服务”新模式</w:t>
      </w:r>
      <w:bookmarkEnd w:id="175"/>
      <w:bookmarkEnd w:id="176"/>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充分利用移动互联网、云计算、大数据、物联网、人工智能等技术手段</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以及众包、众创、众筹、众扶、共享经济、分享经济等新模式推动政务服务模式创新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促进服务效率的提升及模式变革。提供网上办事智能在线咨询、关联信息主动推送等个性化服务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建立公众评价和网上政务服务能力第三方评估机制</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全面提升用户政务服务体验</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提高政府治理社会化、法治化、智能化、专业化水平。引入社会力量开展预约查询、证照寄送、在线支付等服务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鼓励公众、企业和社会机构开发利用政务服务数据</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为企业和群众提供多样化、创新性的便民服务。</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77" w:name="_Toc17076"/>
      <w:bookmarkStart w:id="178" w:name="_Toc14490"/>
      <w:r>
        <w:rPr>
          <w:rFonts w:hint="eastAsia" w:ascii="宋体" w:hAnsi="宋体"/>
          <w:color w:val="auto"/>
          <w:lang w:val="en-US" w:eastAsia="zh-CN"/>
        </w:rPr>
        <w:t>稳步推动“数字财政”建设</w:t>
      </w:r>
      <w:bookmarkEnd w:id="177"/>
      <w:bookmarkEnd w:id="178"/>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rPr>
        <w:t>加强数字财政一体化系统建设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覆盖财政整个业务流程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提高财政管理的精细化和信息化水平。按照全省“统一规划建设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统一部署实施</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统一数据应用”的推进模式</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进一步优化区财政业务流程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统一财政核心业务标准规范</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配合推进省级横向一体化和全省核心业务纵向集中化。构建涵盖核算、项目库、预算、执行等功能的数字财政系统</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推动财政治理体系和治理能力现代化。</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79" w:name="_Toc28075"/>
      <w:bookmarkStart w:id="180" w:name="_Toc31955"/>
      <w:r>
        <w:rPr>
          <w:rFonts w:hint="eastAsia" w:ascii="宋体" w:hAnsi="宋体"/>
          <w:color w:val="auto"/>
          <w:lang w:val="en-US" w:eastAsia="zh-CN"/>
        </w:rPr>
        <w:t>加快推进“互联网+医疗健康”</w:t>
      </w:r>
      <w:bookmarkEnd w:id="179"/>
      <w:bookmarkEnd w:id="180"/>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b w:val="0"/>
          <w:bCs w:val="0"/>
          <w:color w:val="auto"/>
          <w:sz w:val="32"/>
          <w:szCs w:val="32"/>
          <w:highlight w:val="none"/>
        </w:rPr>
      </w:pPr>
      <w:r>
        <w:rPr>
          <w:rFonts w:hint="eastAsia" w:ascii="宋体" w:hAnsi="宋体" w:eastAsia="方正仿宋_GBK" w:cs="方正仿宋_GBK"/>
          <w:color w:val="auto"/>
          <w:sz w:val="32"/>
          <w:szCs w:val="32"/>
          <w:shd w:val="clear" w:color="auto" w:fill="FFFFFF"/>
        </w:rPr>
        <w:t>围绕服务健康广东战略部署和重大传染病防控要求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加快全区各级公立医疗卫生机构及村卫生站接入政务外网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健全完善全区卫生健康业务网络。初步建成全民健康信息综合管理平台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实现公共服务、医疗服务、医疗保障、药物管理、公共卫生、计划生育、综合管理等七大业务应用协同和监管。探索具有城区特色的“智慧医保”“阳光医保”“安全医保”</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构建医疗保障信息化平台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提升待遇保障、医药服务管理、医药价格和招标采购、基金监管等方面数字化水平。</w:t>
      </w:r>
      <w:r>
        <w:rPr>
          <w:rFonts w:hint="eastAsia" w:ascii="宋体" w:hAnsi="宋体" w:eastAsia="方正仿宋_GBK" w:cs="方正仿宋_GBK"/>
          <w:b w:val="0"/>
          <w:bCs w:val="0"/>
          <w:color w:val="auto"/>
          <w:sz w:val="32"/>
          <w:szCs w:val="32"/>
          <w:highlight w:val="none"/>
        </w:rPr>
        <w:t>加快远程医疗系统</w:t>
      </w:r>
      <w:r>
        <w:rPr>
          <w:rFonts w:hint="eastAsia" w:ascii="宋体" w:hAnsi="宋体" w:eastAsia="方正仿宋_GBK" w:cs="方正仿宋_GBK"/>
          <w:b w:val="0"/>
          <w:bCs w:val="0"/>
          <w:color w:val="auto"/>
          <w:sz w:val="32"/>
          <w:szCs w:val="32"/>
          <w:highlight w:val="none"/>
          <w:lang w:eastAsia="zh-CN"/>
        </w:rPr>
        <w:t>建设，</w:t>
      </w:r>
      <w:r>
        <w:rPr>
          <w:rFonts w:hint="eastAsia" w:ascii="宋体" w:hAnsi="宋体" w:eastAsia="方正仿宋_GBK" w:cs="方正仿宋_GBK"/>
          <w:b w:val="0"/>
          <w:bCs w:val="0"/>
          <w:color w:val="auto"/>
          <w:sz w:val="32"/>
          <w:szCs w:val="32"/>
          <w:highlight w:val="none"/>
        </w:rPr>
        <w:t>推动5G在移动急救、远程会诊、远程护理等场景的示范应用。积极发展“互联网+医疗”</w:t>
      </w:r>
      <w:r>
        <w:rPr>
          <w:rFonts w:hint="eastAsia" w:ascii="宋体" w:hAnsi="宋体" w:eastAsia="方正仿宋_GBK" w:cs="方正仿宋_GBK"/>
          <w:b w:val="0"/>
          <w:bCs w:val="0"/>
          <w:color w:val="auto"/>
          <w:sz w:val="32"/>
          <w:szCs w:val="32"/>
          <w:highlight w:val="none"/>
          <w:lang w:eastAsia="zh-CN"/>
        </w:rPr>
        <w:t>，</w:t>
      </w:r>
      <w:r>
        <w:rPr>
          <w:rFonts w:hint="eastAsia" w:ascii="宋体" w:hAnsi="宋体" w:eastAsia="方正仿宋_GBK" w:cs="方正仿宋_GBK"/>
          <w:b w:val="0"/>
          <w:bCs w:val="0"/>
          <w:color w:val="auto"/>
          <w:sz w:val="32"/>
          <w:szCs w:val="32"/>
          <w:highlight w:val="none"/>
        </w:rPr>
        <w:t>鼓励医疗机构发展覆盖诊前、诊中、诊后的线上线下一体化医疗服务新模式。</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81" w:name="_Toc23570"/>
      <w:bookmarkStart w:id="182" w:name="_Toc31440"/>
      <w:r>
        <w:rPr>
          <w:rFonts w:hint="eastAsia" w:ascii="宋体" w:hAnsi="宋体"/>
          <w:color w:val="auto"/>
          <w:lang w:val="en-US" w:eastAsia="zh-CN"/>
        </w:rPr>
        <w:t>深入实施“互联网+人社”行动计划</w:t>
      </w:r>
      <w:bookmarkEnd w:id="181"/>
      <w:bookmarkEnd w:id="182"/>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highlight w:val="none"/>
          <w:u w:val="none"/>
          <w:lang w:val="en-US" w:eastAsia="zh-CN"/>
        </w:rPr>
        <w:t>积极推进“智慧人社”建设，全面夯实人社业务信息资源库建设，探索建立“智慧+”就业失业监测、人才培养、工资支付等信息化应用体系。</w:t>
      </w:r>
      <w:r>
        <w:rPr>
          <w:rFonts w:hint="eastAsia" w:ascii="宋体" w:hAnsi="宋体" w:eastAsia="方正仿宋_GBK" w:cs="方正仿宋_GBK"/>
          <w:color w:val="auto"/>
          <w:sz w:val="32"/>
          <w:szCs w:val="32"/>
          <w:shd w:val="clear" w:color="auto" w:fill="FFFFFF"/>
        </w:rPr>
        <w:t>支撑养老保险、工伤保险、失业保险等省级统筹改革</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提升就业创业专项资金监管、基金风险全面防控等方面能力。加强“互联网+”公共就业创业服务平台建设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开展职业技能培训和数字化终身教育</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提升数字化、网络化、智能化精准服务水平。加快拓展第三代社保卡应用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全面推广社保卡服务向区、镇（街道）、村（社区）延伸</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推动社会保障卡线上线下应用融合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深化社会保障卡在人社、民政、惠农、扶贫、医疗等领域应用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实现政府公共服务“一卡通”。</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83" w:name="_Toc29328"/>
      <w:bookmarkStart w:id="184" w:name="_Toc4009"/>
      <w:r>
        <w:rPr>
          <w:rFonts w:hint="eastAsia" w:ascii="宋体" w:hAnsi="宋体"/>
          <w:color w:val="auto"/>
          <w:lang w:val="en-US" w:eastAsia="zh-CN"/>
        </w:rPr>
        <w:t>持续推进“智慧水利”建设</w:t>
      </w:r>
      <w:bookmarkEnd w:id="183"/>
      <w:bookmarkEnd w:id="184"/>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持续推动我区水资源保护和管理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完善水资源管理系统</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配合市做好水资源“一张图”平台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完善“互联网+河长制”信息管理平台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深化水政执法、河长制等重点业务应用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搭建覆盖全业务、全流程水政执法综合业务管理应用平台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实现涉水违法案件发现、跟踪、报警自动化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水行政执法定时、定点、可视化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以及案件处理规范化、标准化、精细化。</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85" w:name="_Toc285"/>
      <w:bookmarkStart w:id="186" w:name="_Toc21099"/>
      <w:r>
        <w:rPr>
          <w:rFonts w:hint="eastAsia" w:ascii="宋体" w:hAnsi="宋体"/>
          <w:color w:val="auto"/>
          <w:lang w:val="en-US" w:eastAsia="zh-CN"/>
        </w:rPr>
        <w:t>推动构建智慧农业新模式</w:t>
      </w:r>
      <w:bookmarkEnd w:id="185"/>
      <w:bookmarkEnd w:id="186"/>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贯彻落实数字乡村发展战略纲要</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推动完整可视的农业信息资源目录建设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探索“区块链+农业”试点工作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促进“一图、一库、一网、一平台”农业农村大数据平台应用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完善耕地、农业生产经营主体、农村集体资产等基础库及主题数据库</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逐步实现数据精准采集、预警、分析、决策辅助和共用共享</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建立以大数据为驱动的智慧农业新模式。</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87" w:name="_Toc21306"/>
      <w:bookmarkStart w:id="188" w:name="_Toc9155"/>
      <w:r>
        <w:rPr>
          <w:rFonts w:hint="eastAsia" w:ascii="宋体" w:hAnsi="宋体"/>
          <w:color w:val="auto"/>
          <w:lang w:val="en-US" w:eastAsia="zh-CN"/>
        </w:rPr>
        <w:t>加强智慧司法应用</w:t>
      </w:r>
      <w:bookmarkEnd w:id="187"/>
      <w:bookmarkEnd w:id="188"/>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依托数字政府开展“数字法治、智慧司法”建设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全面提升法治源城信息化水平</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提升法治建设、法治督察和法治源城建设考评的信息化水平</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提高规范性文件审查备案、行政复议等方面工作效能</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深入推广行政执法“两平台”应用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深化行政执法大数据分析应用。</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89" w:name="_Toc1538"/>
      <w:bookmarkStart w:id="190" w:name="_Toc3159"/>
      <w:r>
        <w:rPr>
          <w:rFonts w:hint="eastAsia" w:ascii="宋体" w:hAnsi="宋体"/>
          <w:color w:val="auto"/>
          <w:lang w:val="en-US" w:eastAsia="zh-CN"/>
        </w:rPr>
        <w:t>提升城市管理智慧化水平</w:t>
      </w:r>
      <w:bookmarkEnd w:id="189"/>
      <w:bookmarkEnd w:id="190"/>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打造体系完善、业务场景完整、智能化程度高的智慧城管</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扩大城市管理可视、可控范围</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提高应用的智能化程度、增强市民互动参与程度、优化城管体制与运行机制</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实现城市治理“快”“精”“准”。加强城市基础设施智慧化管理与监控服务</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通过整合资源建设一杆多用的智慧灯杆</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提高城市精细化管理服务水平</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推动实现城市治理体系和治理能力现代化。</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91" w:name="_Toc19200"/>
      <w:bookmarkStart w:id="192" w:name="_Toc115"/>
      <w:r>
        <w:rPr>
          <w:rFonts w:hint="eastAsia" w:ascii="宋体" w:hAnsi="宋体"/>
          <w:color w:val="auto"/>
          <w:lang w:val="en-US" w:eastAsia="zh-CN"/>
        </w:rPr>
        <w:t>继续深化“智慧应急”体系建设</w:t>
      </w:r>
      <w:bookmarkEnd w:id="191"/>
      <w:bookmarkEnd w:id="192"/>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推进应急管理现代化</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提高监测预警能力、监管执法能力、辅助指挥决策能力、救援实战能力和社会动员能力。搭建城市安全运行监测物联网</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保障“城市生命线”安全稳定运行。整合自然资源、住建水利、气象、交通、消防等部门现有监测数据</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建设统一的应急数据库</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实现数据共建共享共用。构建应急指挥信息网、卫星通信网、无线通信网、感知网络于一体的应急防控网络体系。建设覆盖应急指挥和综合研判的应急管理系统</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以满足应急管理工作在全过程管理业务、常态业务、非常态业务和综合保障业务的各项需求。</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93" w:name="_Toc6647"/>
      <w:bookmarkStart w:id="194" w:name="_Toc3974"/>
      <w:r>
        <w:rPr>
          <w:rFonts w:hint="eastAsia" w:ascii="宋体" w:hAnsi="宋体"/>
          <w:color w:val="auto"/>
          <w:lang w:val="en-US" w:eastAsia="zh-CN"/>
        </w:rPr>
        <w:t>提升社会治理智能化水平</w:t>
      </w:r>
      <w:bookmarkEnd w:id="193"/>
      <w:bookmarkEnd w:id="194"/>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创新社会治理模式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以网格化管理、社会化服务为方向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构建“网格化管理、信息化支撑、多元化采集、智能化应用、全程化服务”的社会治理新模式。继续推进人口、车辆等公安基础数据与政务数据的深度融合应用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打造“移动化”指尖警务新模式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推进智慧新指挥建设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打通市、县（区）二级指挥体系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构建扁平化、移动化的新型智慧体系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探索推出“打防管控服”智能化应用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推动社会治安防控从事后被动应对向事前精准预警、趋势预判和主动服务转变</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从“单打独斗”向“共建共治”转变</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积极支撑平安源城建设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切实提升基层社会治理智能化水平。</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95" w:name="_Toc29037"/>
      <w:bookmarkStart w:id="196" w:name="_Toc328"/>
      <w:r>
        <w:rPr>
          <w:rFonts w:hint="eastAsia" w:ascii="宋体" w:hAnsi="宋体"/>
          <w:color w:val="auto"/>
          <w:lang w:val="en-US" w:eastAsia="zh-CN"/>
        </w:rPr>
        <w:t>加强智慧消防应用</w:t>
      </w:r>
      <w:bookmarkEnd w:id="195"/>
      <w:bookmarkEnd w:id="196"/>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综合运用云计算、大数据和物联网技术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统筹构建全区智慧消防远程监控系统</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对重点消防单位、银行、政企、学校、医院、旅业场所、娱乐场所等进行全时段、可视化监测消防安全状况</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实时化、智能化评估消防安全风险</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实现对全区消防力量的精准调度</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提升消防救援队伍快速反应和作战能力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打造智慧消防安全管理新模式。</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97" w:name="_Toc874"/>
      <w:bookmarkStart w:id="198" w:name="_Toc27517"/>
      <w:r>
        <w:rPr>
          <w:rFonts w:hint="eastAsia" w:ascii="宋体" w:hAnsi="宋体"/>
          <w:color w:val="auto"/>
          <w:lang w:val="en-US" w:eastAsia="zh-CN"/>
        </w:rPr>
        <w:t>构建智慧旅游</w:t>
      </w:r>
      <w:bookmarkEnd w:id="197"/>
      <w:bookmarkEnd w:id="198"/>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利用互联网、移动互联网、云计算、大数据、人工智能、物联网等技术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采集包括景区、酒店、民宿、购物商场、交通、票务等旅游数据资源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整合各部门数据</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形成统一的旅游基础资源大数据。采用统一的数据共享和交换平台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建立集共享、营销、发布、调度、指挥、决策于一体的智慧旅游平台。</w:t>
      </w:r>
    </w:p>
    <w:p>
      <w:pPr>
        <w:pStyle w:val="3"/>
        <w:pageBreakBefore w:val="0"/>
        <w:widowControl w:val="0"/>
        <w:kinsoku/>
        <w:wordWrap/>
        <w:overflowPunct w:val="0"/>
        <w:topLinePunct w:val="0"/>
        <w:autoSpaceDE w:val="0"/>
        <w:autoSpaceDN w:val="0"/>
        <w:bidi w:val="0"/>
        <w:snapToGrid/>
        <w:spacing w:before="0" w:after="0" w:line="600" w:lineRule="exact"/>
        <w:ind w:left="0" w:leftChars="0" w:firstLine="640" w:firstLineChars="200"/>
        <w:jc w:val="both"/>
        <w:textAlignment w:val="auto"/>
        <w:rPr>
          <w:rFonts w:hint="eastAsia" w:ascii="宋体" w:hAnsi="宋体"/>
          <w:color w:val="auto"/>
          <w:lang w:val="en-US" w:eastAsia="zh-CN"/>
        </w:rPr>
      </w:pPr>
      <w:bookmarkStart w:id="199" w:name="_Toc22813"/>
      <w:bookmarkStart w:id="200" w:name="_Toc8059"/>
      <w:r>
        <w:rPr>
          <w:rFonts w:hint="eastAsia" w:ascii="宋体" w:hAnsi="宋体"/>
          <w:color w:val="auto"/>
          <w:lang w:val="en-US" w:eastAsia="zh-CN"/>
        </w:rPr>
        <w:t>保障措施</w:t>
      </w:r>
      <w:bookmarkEnd w:id="199"/>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201" w:name="_Toc2928"/>
      <w:r>
        <w:rPr>
          <w:rFonts w:hint="eastAsia" w:ascii="宋体" w:hAnsi="宋体"/>
          <w:color w:val="auto"/>
          <w:lang w:val="en-US" w:eastAsia="zh-CN"/>
        </w:rPr>
        <w:t>加强组织管理</w:t>
      </w:r>
      <w:bookmarkEnd w:id="200"/>
      <w:bookmarkEnd w:id="201"/>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outlineLvl w:val="9"/>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在区委区政府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区</w:t>
      </w:r>
      <w:r>
        <w:rPr>
          <w:rFonts w:hint="eastAsia" w:ascii="宋体" w:hAnsi="宋体" w:eastAsia="方正仿宋_GBK" w:cs="方正仿宋_GBK"/>
          <w:color w:val="auto"/>
          <w:sz w:val="32"/>
          <w:szCs w:val="32"/>
        </w:rPr>
        <w:t>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sz w:val="32"/>
          <w:szCs w:val="32"/>
        </w:rPr>
        <w:t>建设工作领导小组</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政务数据共享协调小组</w:t>
      </w:r>
      <w:r>
        <w:rPr>
          <w:rFonts w:hint="eastAsia" w:ascii="宋体" w:hAnsi="宋体" w:eastAsia="方正仿宋_GBK" w:cs="方正仿宋_GBK"/>
          <w:color w:val="auto"/>
          <w:sz w:val="32"/>
          <w:szCs w:val="32"/>
        </w:rPr>
        <w:t>和首席数据官（CDO）的宏观指导、统筹规划、跨部门协调和统一部署下，区政务数据局协调各镇（街道）、各单位要</w:t>
      </w:r>
      <w:r>
        <w:rPr>
          <w:rFonts w:hint="eastAsia" w:ascii="宋体" w:hAnsi="宋体" w:eastAsia="方正仿宋_GBK" w:cs="方正仿宋_GBK"/>
          <w:color w:val="auto"/>
          <w:sz w:val="32"/>
          <w:szCs w:val="32"/>
          <w:lang w:val="en-US" w:eastAsia="zh-CN"/>
        </w:rPr>
        <w:t>推进</w:t>
      </w:r>
      <w:r>
        <w:rPr>
          <w:rFonts w:hint="eastAsia" w:ascii="宋体" w:hAnsi="宋体" w:eastAsia="方正仿宋_GBK" w:cs="方正仿宋_GBK"/>
          <w:color w:val="auto"/>
          <w:sz w:val="32"/>
          <w:szCs w:val="32"/>
        </w:rPr>
        <w:t>数字政府改革建设工作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按照任务分工</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制订贯彻落实数字政府改革建设的工作方案</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明确目标任务和进度计划</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全力推动各项工作落到实处。</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202" w:name="_Toc17168"/>
      <w:bookmarkStart w:id="203" w:name="_Toc21117"/>
      <w:r>
        <w:rPr>
          <w:rFonts w:hint="eastAsia" w:ascii="宋体" w:hAnsi="宋体"/>
          <w:color w:val="auto"/>
          <w:lang w:val="en-US" w:eastAsia="zh-CN"/>
        </w:rPr>
        <w:t>完善政策保障</w:t>
      </w:r>
      <w:bookmarkEnd w:id="202"/>
      <w:bookmarkEnd w:id="203"/>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建立健全管理相关政策和制度</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探索免审项目制度、黑名单项目制度。制定数字政府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sz w:val="32"/>
          <w:szCs w:val="32"/>
        </w:rPr>
        <w:t>建设项目权责清单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加强对数字政府改革建设的监督和管理。建立健全数字政府宣传、培训等制度</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面向政府人员、企业和群众进行宣传推广</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对政府人员统一进行使用培训</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引导企业和群众使用信息化手段办理各类事项。</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204" w:name="_Toc12246"/>
      <w:bookmarkStart w:id="205" w:name="_Toc20900"/>
      <w:r>
        <w:rPr>
          <w:rFonts w:hint="eastAsia" w:ascii="宋体" w:hAnsi="宋体"/>
          <w:color w:val="auto"/>
          <w:lang w:val="en-US" w:eastAsia="zh-CN"/>
        </w:rPr>
        <w:t>落实财政资金</w:t>
      </w:r>
      <w:bookmarkEnd w:id="204"/>
      <w:bookmarkEnd w:id="205"/>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将数字政府改革建设项目纳入区财政专项预算</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加大数字政府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sz w:val="32"/>
          <w:szCs w:val="32"/>
        </w:rPr>
        <w:t>建设资金支持力度。统筹规划各部门建设资金</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集约建设新的政务信息系统</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避免重复建设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降低投资成本。探索建立政府投资为引导、引入社会资金</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引导企业参与数字政府改革建设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探索政府与企业共建的投融资模式</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开创合力共赢新格局。</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206" w:name="_Toc599"/>
      <w:bookmarkStart w:id="207" w:name="_Toc28741"/>
      <w:r>
        <w:rPr>
          <w:rFonts w:hint="eastAsia" w:ascii="宋体" w:hAnsi="宋体"/>
          <w:color w:val="auto"/>
          <w:lang w:val="en-US" w:eastAsia="zh-CN"/>
        </w:rPr>
        <w:t>加强人才队伍建设</w:t>
      </w:r>
      <w:bookmarkEnd w:id="206"/>
      <w:bookmarkEnd w:id="207"/>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建立形成与数字政府改革发展相适应的人才队伍。加大信息化培训力度</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全面提升运用信息技术分析问题、解决问题的能力。鼓励高校、科研院所和相关单位参与到数字政府改革建设中</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更好发挥智库作用和人才优势</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为源城区新型智慧城市建设和数字政府改革建设提供有效支撑。</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208" w:name="_Toc5539"/>
      <w:bookmarkStart w:id="209" w:name="_Toc16828"/>
      <w:r>
        <w:rPr>
          <w:rFonts w:hint="eastAsia" w:ascii="宋体" w:hAnsi="宋体"/>
          <w:color w:val="auto"/>
          <w:lang w:val="en-US" w:eastAsia="zh-CN"/>
        </w:rPr>
        <w:t>强化目标考核</w:t>
      </w:r>
      <w:bookmarkEnd w:id="208"/>
      <w:bookmarkEnd w:id="209"/>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统筹做好数字政府改革建设的监督管理</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加强数字政府改革建设项目的进度、质量的跟踪分析和监督检查</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按年度对各部门数字政府改革建设工作进行评价</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对工作落实不力的予以通报。加大督促检查力度</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建立动态通报、容错纠错机制</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加强正向激励</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督促各级各部门“比学赶超”。</w:t>
      </w:r>
    </w:p>
    <w:p>
      <w:pPr>
        <w:pStyle w:val="2"/>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kern w:val="0"/>
          <w:sz w:val="32"/>
          <w:szCs w:val="32"/>
          <w:lang w:val="zh-CN"/>
        </w:rPr>
      </w:pPr>
      <w:r>
        <w:rPr>
          <w:rFonts w:hint="eastAsia" w:ascii="宋体" w:hAnsi="宋体" w:eastAsia="方正仿宋_GBK" w:cs="方正仿宋_GBK"/>
          <w:color w:val="auto"/>
          <w:sz w:val="32"/>
          <w:szCs w:val="32"/>
        </w:rPr>
        <w:br w:type="page"/>
      </w:r>
    </w:p>
    <w:p>
      <w:pPr>
        <w:pStyle w:val="3"/>
        <w:pageBreakBefore w:val="0"/>
        <w:numPr>
          <w:ilvl w:val="0"/>
          <w:numId w:val="0"/>
        </w:numPr>
        <w:kinsoku/>
        <w:wordWrap/>
        <w:overflowPunct w:val="0"/>
        <w:topLinePunct w:val="0"/>
        <w:autoSpaceDE w:val="0"/>
        <w:autoSpaceDN w:val="0"/>
        <w:bidi w:val="0"/>
        <w:adjustRightInd w:val="0"/>
        <w:snapToGrid/>
        <w:spacing w:line="600" w:lineRule="exact"/>
        <w:ind w:firstLine="640" w:firstLineChars="200"/>
        <w:jc w:val="both"/>
        <w:textAlignment w:val="auto"/>
        <w:rPr>
          <w:rFonts w:hint="eastAsia" w:ascii="宋体" w:hAnsi="宋体" w:eastAsia="方正仿宋_GBK" w:cs="方正仿宋_GBK"/>
          <w:color w:val="auto"/>
          <w:sz w:val="32"/>
          <w:szCs w:val="32"/>
        </w:rPr>
      </w:pPr>
      <w:bookmarkStart w:id="210" w:name="_Toc16571"/>
      <w:bookmarkStart w:id="211" w:name="_Toc15173"/>
      <w:r>
        <w:rPr>
          <w:rFonts w:hint="eastAsia" w:ascii="宋体" w:hAnsi="宋体" w:eastAsia="方正仿宋_GBK" w:cs="方正仿宋_GBK"/>
          <w:color w:val="auto"/>
          <w:sz w:val="32"/>
          <w:szCs w:val="32"/>
        </w:rPr>
        <w:t>附件1</w:t>
      </w:r>
      <w:bookmarkEnd w:id="210"/>
    </w:p>
    <w:p>
      <w:pPr>
        <w:pStyle w:val="3"/>
        <w:pageBreakBefore w:val="0"/>
        <w:numPr>
          <w:ilvl w:val="0"/>
          <w:numId w:val="0"/>
        </w:numPr>
        <w:kinsoku/>
        <w:wordWrap/>
        <w:overflowPunct w:val="0"/>
        <w:topLinePunct w:val="0"/>
        <w:autoSpaceDE w:val="0"/>
        <w:autoSpaceDN w:val="0"/>
        <w:bidi w:val="0"/>
        <w:adjustRightInd w:val="0"/>
        <w:snapToGrid/>
        <w:spacing w:line="600" w:lineRule="exact"/>
        <w:jc w:val="center"/>
        <w:textAlignment w:val="auto"/>
        <w:rPr>
          <w:rFonts w:hint="eastAsia" w:ascii="宋体" w:hAnsi="宋体" w:eastAsia="方正小标宋_GBK" w:cs="方正小标宋_GBK"/>
          <w:color w:val="auto"/>
          <w:sz w:val="44"/>
          <w:szCs w:val="44"/>
        </w:rPr>
      </w:pPr>
      <w:bookmarkStart w:id="212" w:name="_Toc2617"/>
      <w:bookmarkStart w:id="213" w:name="_Toc16462"/>
      <w:r>
        <w:rPr>
          <w:rFonts w:hint="eastAsia" w:ascii="宋体" w:hAnsi="宋体" w:eastAsia="方正小标宋_GBK" w:cs="方正小标宋_GBK"/>
          <w:color w:val="auto"/>
          <w:sz w:val="44"/>
          <w:szCs w:val="44"/>
        </w:rPr>
        <w:t>指标计算方法</w:t>
      </w:r>
      <w:bookmarkEnd w:id="211"/>
      <w:bookmarkEnd w:id="212"/>
      <w:bookmarkEnd w:id="213"/>
    </w:p>
    <w:tbl>
      <w:tblPr>
        <w:tblStyle w:val="43"/>
        <w:tblW w:w="0" w:type="auto"/>
        <w:jc w:val="center"/>
        <w:tblLayout w:type="fixed"/>
        <w:tblCellMar>
          <w:top w:w="0" w:type="dxa"/>
          <w:left w:w="108" w:type="dxa"/>
          <w:bottom w:w="0" w:type="dxa"/>
          <w:right w:w="108" w:type="dxa"/>
        </w:tblCellMar>
      </w:tblPr>
      <w:tblGrid>
        <w:gridCol w:w="988"/>
        <w:gridCol w:w="3260"/>
        <w:gridCol w:w="4530"/>
      </w:tblGrid>
      <w:tr>
        <w:tblPrEx>
          <w:tblCellMar>
            <w:top w:w="0" w:type="dxa"/>
            <w:left w:w="108" w:type="dxa"/>
            <w:bottom w:w="0" w:type="dxa"/>
            <w:right w:w="108" w:type="dxa"/>
          </w:tblCellMar>
        </w:tblPrEx>
        <w:trPr>
          <w:trHeight w:val="50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序号</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640" w:firstLineChars="200"/>
              <w:jc w:val="center"/>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主要指标</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640" w:firstLineChars="200"/>
              <w:jc w:val="center"/>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计算方法</w:t>
            </w:r>
          </w:p>
        </w:tc>
      </w:tr>
      <w:tr>
        <w:tblPrEx>
          <w:tblCellMar>
            <w:top w:w="0" w:type="dxa"/>
            <w:left w:w="108" w:type="dxa"/>
            <w:bottom w:w="0" w:type="dxa"/>
            <w:right w:w="108" w:type="dxa"/>
          </w:tblCellMar>
        </w:tblPrEx>
        <w:trPr>
          <w:trHeight w:val="64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1</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“零跑动”事项覆盖率（%）</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“零跑动”事项数/许可事项总数×100%</w:t>
            </w:r>
          </w:p>
        </w:tc>
      </w:tr>
      <w:tr>
        <w:tblPrEx>
          <w:tblCellMar>
            <w:top w:w="0" w:type="dxa"/>
            <w:left w:w="108" w:type="dxa"/>
            <w:bottom w:w="0" w:type="dxa"/>
            <w:right w:w="108" w:type="dxa"/>
          </w:tblCellMar>
        </w:tblPrEx>
        <w:trPr>
          <w:trHeight w:val="98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2</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一窗综合受理率（%）</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依申请政务服务事项纳入综合</w:t>
            </w:r>
            <w:r>
              <w:rPr>
                <w:rFonts w:hint="eastAsia" w:ascii="宋体" w:hAnsi="宋体" w:eastAsia="方正仿宋_GBK" w:cs="方正仿宋_GBK"/>
                <w:color w:val="auto"/>
                <w:sz w:val="32"/>
                <w:szCs w:val="32"/>
                <w:lang w:bidi="ar"/>
              </w:rPr>
              <w:br w:type="textWrapping"/>
            </w:r>
            <w:r>
              <w:rPr>
                <w:rFonts w:hint="eastAsia" w:ascii="宋体" w:hAnsi="宋体" w:eastAsia="方正仿宋_GBK" w:cs="方正仿宋_GBK"/>
                <w:color w:val="auto"/>
                <w:sz w:val="32"/>
                <w:szCs w:val="32"/>
                <w:lang w:bidi="ar"/>
              </w:rPr>
              <w:t>窗口办理的事项数/依申请政务服务事项总数×100%</w:t>
            </w:r>
          </w:p>
        </w:tc>
      </w:tr>
      <w:tr>
        <w:tblPrEx>
          <w:tblCellMar>
            <w:top w:w="0" w:type="dxa"/>
            <w:left w:w="108" w:type="dxa"/>
            <w:bottom w:w="0" w:type="dxa"/>
            <w:right w:w="108" w:type="dxa"/>
          </w:tblCellMar>
        </w:tblPrEx>
        <w:trPr>
          <w:trHeight w:val="50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3</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“一件事”主题集成服务数量（件）</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数据统计</w:t>
            </w:r>
          </w:p>
        </w:tc>
      </w:tr>
      <w:tr>
        <w:tblPrEx>
          <w:tblCellMar>
            <w:top w:w="0" w:type="dxa"/>
            <w:left w:w="108" w:type="dxa"/>
            <w:bottom w:w="0" w:type="dxa"/>
            <w:right w:w="108" w:type="dxa"/>
          </w:tblCellMar>
        </w:tblPrEx>
        <w:trPr>
          <w:trHeight w:val="70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4</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政务服务一体机镇街覆盖率（%）</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已投放政务服务一体机的镇街</w:t>
            </w:r>
            <w:r>
              <w:rPr>
                <w:rFonts w:hint="eastAsia" w:ascii="宋体" w:hAnsi="宋体" w:eastAsia="方正仿宋_GBK" w:cs="方正仿宋_GBK"/>
                <w:color w:val="auto"/>
                <w:sz w:val="32"/>
                <w:szCs w:val="32"/>
                <w:lang w:bidi="ar"/>
              </w:rPr>
              <w:br w:type="textWrapping"/>
            </w:r>
            <w:r>
              <w:rPr>
                <w:rFonts w:hint="eastAsia" w:ascii="宋体" w:hAnsi="宋体" w:eastAsia="方正仿宋_GBK" w:cs="方正仿宋_GBK"/>
                <w:color w:val="auto"/>
                <w:sz w:val="32"/>
                <w:szCs w:val="32"/>
                <w:lang w:bidi="ar"/>
              </w:rPr>
              <w:t>数量/镇街总数×100%</w:t>
            </w:r>
          </w:p>
        </w:tc>
      </w:tr>
      <w:tr>
        <w:tblPrEx>
          <w:tblCellMar>
            <w:top w:w="0" w:type="dxa"/>
            <w:left w:w="108" w:type="dxa"/>
            <w:bottom w:w="0" w:type="dxa"/>
            <w:right w:w="108" w:type="dxa"/>
          </w:tblCellMar>
        </w:tblPrEx>
        <w:trPr>
          <w:trHeight w:val="72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5</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高频服务事项“跨域通办”比例（%)</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纳入高频事项清单里已实现跨域通办事项/清单总数×100%</w:t>
            </w:r>
          </w:p>
        </w:tc>
      </w:tr>
      <w:tr>
        <w:tblPrEx>
          <w:tblCellMar>
            <w:top w:w="0" w:type="dxa"/>
            <w:left w:w="108" w:type="dxa"/>
            <w:bottom w:w="0" w:type="dxa"/>
            <w:right w:w="108" w:type="dxa"/>
          </w:tblCellMar>
        </w:tblPrEx>
        <w:trPr>
          <w:trHeight w:val="50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6</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政务服务“好差评”（分）</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数据统计</w:t>
            </w:r>
          </w:p>
        </w:tc>
      </w:tr>
      <w:tr>
        <w:tblPrEx>
          <w:tblCellMar>
            <w:top w:w="0" w:type="dxa"/>
            <w:left w:w="108" w:type="dxa"/>
            <w:bottom w:w="0" w:type="dxa"/>
            <w:right w:w="108" w:type="dxa"/>
          </w:tblCellMar>
        </w:tblPrEx>
        <w:trPr>
          <w:trHeight w:val="50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7</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“粤省事”注册率（%)</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640" w:firstLineChars="20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数据统计</w:t>
            </w:r>
          </w:p>
        </w:tc>
      </w:tr>
      <w:tr>
        <w:tblPrEx>
          <w:tblCellMar>
            <w:top w:w="0" w:type="dxa"/>
            <w:left w:w="108" w:type="dxa"/>
            <w:bottom w:w="0" w:type="dxa"/>
            <w:right w:w="108" w:type="dxa"/>
          </w:tblCellMar>
        </w:tblPrEx>
        <w:trPr>
          <w:trHeight w:val="50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8</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“粤商通”注册率（%)</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640" w:firstLineChars="20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数据统计</w:t>
            </w:r>
          </w:p>
        </w:tc>
      </w:tr>
      <w:tr>
        <w:tblPrEx>
          <w:tblCellMar>
            <w:top w:w="0" w:type="dxa"/>
            <w:left w:w="108" w:type="dxa"/>
            <w:bottom w:w="0" w:type="dxa"/>
            <w:right w:w="108" w:type="dxa"/>
          </w:tblCellMar>
        </w:tblPrEx>
        <w:trPr>
          <w:trHeight w:val="50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9</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“一网统管”行业覆盖率（%）</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“一网统管”覆盖政府行业数/政府行业总数×100%</w:t>
            </w:r>
          </w:p>
        </w:tc>
      </w:tr>
      <w:tr>
        <w:tblPrEx>
          <w:tblCellMar>
            <w:top w:w="0" w:type="dxa"/>
            <w:left w:w="108" w:type="dxa"/>
            <w:bottom w:w="0" w:type="dxa"/>
            <w:right w:w="108" w:type="dxa"/>
          </w:tblCellMar>
        </w:tblPrEx>
        <w:trPr>
          <w:trHeight w:val="50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10</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“粤政易”日均活跃用户数（户）</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640" w:firstLineChars="20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数据统计</w:t>
            </w:r>
          </w:p>
        </w:tc>
      </w:tr>
      <w:tr>
        <w:tblPrEx>
          <w:tblCellMar>
            <w:top w:w="0" w:type="dxa"/>
            <w:left w:w="108" w:type="dxa"/>
            <w:bottom w:w="0" w:type="dxa"/>
            <w:right w:w="108" w:type="dxa"/>
          </w:tblCellMar>
        </w:tblPrEx>
        <w:trPr>
          <w:trHeight w:val="50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11</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视频终端接入大数据中心数量（路）</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640" w:firstLineChars="20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数据统计</w:t>
            </w:r>
          </w:p>
        </w:tc>
      </w:tr>
      <w:tr>
        <w:tblPrEx>
          <w:tblCellMar>
            <w:top w:w="0" w:type="dxa"/>
            <w:left w:w="108" w:type="dxa"/>
            <w:bottom w:w="0" w:type="dxa"/>
            <w:right w:w="108" w:type="dxa"/>
          </w:tblCellMar>
        </w:tblPrEx>
        <w:trPr>
          <w:trHeight w:val="50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12</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感知终端接入大数据中心数量（路）</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数据统计</w:t>
            </w:r>
          </w:p>
        </w:tc>
      </w:tr>
      <w:tr>
        <w:tblPrEx>
          <w:tblCellMar>
            <w:top w:w="0" w:type="dxa"/>
            <w:left w:w="108" w:type="dxa"/>
            <w:bottom w:w="0" w:type="dxa"/>
            <w:right w:w="108" w:type="dxa"/>
          </w:tblCellMar>
        </w:tblPrEx>
        <w:trPr>
          <w:trHeight w:val="64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13</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电子证照用证率（%）</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使用电子证照行政许可的事项数/行政许可事项数×100%</w:t>
            </w:r>
          </w:p>
        </w:tc>
      </w:tr>
      <w:tr>
        <w:tblPrEx>
          <w:tblCellMar>
            <w:top w:w="0" w:type="dxa"/>
            <w:left w:w="108" w:type="dxa"/>
            <w:bottom w:w="0" w:type="dxa"/>
            <w:right w:w="108" w:type="dxa"/>
          </w:tblCellMar>
        </w:tblPrEx>
        <w:trPr>
          <w:trHeight w:val="64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14</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政府部门电子印章覆盖率（%）</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已制发电子印章的部门数/部门总数×100%</w:t>
            </w:r>
          </w:p>
        </w:tc>
      </w:tr>
      <w:tr>
        <w:tblPrEx>
          <w:tblCellMar>
            <w:top w:w="0" w:type="dxa"/>
            <w:left w:w="108" w:type="dxa"/>
            <w:bottom w:w="0" w:type="dxa"/>
            <w:right w:w="108" w:type="dxa"/>
          </w:tblCellMar>
        </w:tblPrEx>
        <w:trPr>
          <w:trHeight w:val="78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15</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一体化政务服务平台可网办事项单点登录率（%）</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一体化政务服务平台可单点登录的事项数/事项总数×100%</w:t>
            </w:r>
          </w:p>
        </w:tc>
      </w:tr>
    </w:tbl>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Style w:val="3"/>
        <w:pageBreakBefore w:val="0"/>
        <w:numPr>
          <w:ilvl w:val="0"/>
          <w:numId w:val="0"/>
        </w:numPr>
        <w:kinsoku/>
        <w:wordWrap/>
        <w:overflowPunct w:val="0"/>
        <w:topLinePunct w:val="0"/>
        <w:autoSpaceDE w:val="0"/>
        <w:autoSpaceDN w:val="0"/>
        <w:bidi w:val="0"/>
        <w:adjustRightInd w:val="0"/>
        <w:snapToGrid/>
        <w:spacing w:line="600" w:lineRule="exact"/>
        <w:ind w:firstLine="640" w:firstLineChars="200"/>
        <w:jc w:val="both"/>
        <w:textAlignment w:val="auto"/>
        <w:outlineLvl w:val="9"/>
        <w:rPr>
          <w:rFonts w:hint="eastAsia" w:ascii="宋体" w:hAnsi="宋体" w:eastAsia="方正仿宋_GBK" w:cs="方正仿宋_GBK"/>
          <w:color w:val="auto"/>
          <w:sz w:val="32"/>
          <w:szCs w:val="32"/>
        </w:rPr>
      </w:pPr>
    </w:p>
    <w:p>
      <w:pPr>
        <w:pStyle w:val="3"/>
        <w:pageBreakBefore w:val="0"/>
        <w:numPr>
          <w:ilvl w:val="0"/>
          <w:numId w:val="0"/>
        </w:numPr>
        <w:kinsoku/>
        <w:wordWrap/>
        <w:overflowPunct w:val="0"/>
        <w:topLinePunct w:val="0"/>
        <w:autoSpaceDE w:val="0"/>
        <w:autoSpaceDN w:val="0"/>
        <w:bidi w:val="0"/>
        <w:adjustRightInd w:val="0"/>
        <w:snapToGrid/>
        <w:spacing w:line="600" w:lineRule="exact"/>
        <w:ind w:firstLine="640" w:firstLineChars="200"/>
        <w:jc w:val="both"/>
        <w:textAlignment w:val="auto"/>
        <w:outlineLvl w:val="9"/>
        <w:rPr>
          <w:rFonts w:hint="eastAsia" w:ascii="宋体" w:hAnsi="宋体" w:eastAsia="方正仿宋_GBK" w:cs="方正仿宋_GBK"/>
          <w:color w:val="auto"/>
          <w:sz w:val="32"/>
          <w:szCs w:val="32"/>
        </w:rPr>
      </w:pPr>
    </w:p>
    <w:p>
      <w:pPr>
        <w:pStyle w:val="3"/>
        <w:pageBreakBefore w:val="0"/>
        <w:numPr>
          <w:ilvl w:val="0"/>
          <w:numId w:val="0"/>
        </w:numPr>
        <w:kinsoku/>
        <w:wordWrap/>
        <w:overflowPunct w:val="0"/>
        <w:topLinePunct w:val="0"/>
        <w:autoSpaceDE w:val="0"/>
        <w:autoSpaceDN w:val="0"/>
        <w:bidi w:val="0"/>
        <w:adjustRightInd w:val="0"/>
        <w:snapToGrid/>
        <w:spacing w:line="600" w:lineRule="exact"/>
        <w:ind w:firstLine="640" w:firstLineChars="200"/>
        <w:jc w:val="both"/>
        <w:textAlignment w:val="auto"/>
        <w:outlineLvl w:val="9"/>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snapToGrid/>
        <w:spacing w:line="600" w:lineRule="exact"/>
        <w:ind w:firstLine="480" w:firstLineChars="200"/>
        <w:textAlignment w:val="auto"/>
        <w:rPr>
          <w:rFonts w:hint="eastAsia" w:ascii="宋体" w:hAnsi="宋体"/>
          <w:color w:val="auto"/>
        </w:rPr>
      </w:pPr>
    </w:p>
    <w:p>
      <w:pPr>
        <w:pStyle w:val="3"/>
        <w:pageBreakBefore w:val="0"/>
        <w:numPr>
          <w:ilvl w:val="0"/>
          <w:numId w:val="0"/>
        </w:numPr>
        <w:kinsoku/>
        <w:wordWrap/>
        <w:overflowPunct w:val="0"/>
        <w:topLinePunct w:val="0"/>
        <w:autoSpaceDE w:val="0"/>
        <w:autoSpaceDN w:val="0"/>
        <w:bidi w:val="0"/>
        <w:adjustRightInd w:val="0"/>
        <w:snapToGrid/>
        <w:spacing w:line="600" w:lineRule="exact"/>
        <w:ind w:firstLine="640" w:firstLineChars="200"/>
        <w:jc w:val="both"/>
        <w:textAlignment w:val="auto"/>
        <w:rPr>
          <w:rFonts w:hint="eastAsia" w:ascii="宋体" w:hAnsi="宋体" w:eastAsia="方正仿宋_GBK" w:cs="方正仿宋_GBK"/>
          <w:color w:val="auto"/>
          <w:sz w:val="32"/>
          <w:szCs w:val="32"/>
        </w:rPr>
      </w:pPr>
      <w:bookmarkStart w:id="214" w:name="_Toc1973"/>
      <w:bookmarkStart w:id="215" w:name="_Toc25329"/>
      <w:r>
        <w:rPr>
          <w:rFonts w:hint="eastAsia" w:ascii="宋体" w:hAnsi="宋体" w:eastAsia="方正仿宋_GBK" w:cs="方正仿宋_GBK"/>
          <w:color w:val="auto"/>
          <w:sz w:val="32"/>
          <w:szCs w:val="32"/>
        </w:rPr>
        <w:t>附件2</w:t>
      </w:r>
      <w:bookmarkEnd w:id="214"/>
    </w:p>
    <w:p>
      <w:pPr>
        <w:pStyle w:val="3"/>
        <w:pageBreakBefore w:val="0"/>
        <w:numPr>
          <w:ilvl w:val="0"/>
          <w:numId w:val="0"/>
        </w:numPr>
        <w:kinsoku/>
        <w:wordWrap/>
        <w:overflowPunct w:val="0"/>
        <w:topLinePunct w:val="0"/>
        <w:autoSpaceDE w:val="0"/>
        <w:autoSpaceDN w:val="0"/>
        <w:bidi w:val="0"/>
        <w:adjustRightInd w:val="0"/>
        <w:snapToGrid/>
        <w:spacing w:line="600" w:lineRule="exact"/>
        <w:jc w:val="center"/>
        <w:textAlignment w:val="auto"/>
        <w:rPr>
          <w:rFonts w:hint="eastAsia" w:ascii="宋体" w:hAnsi="宋体" w:eastAsia="方正小标宋_GBK" w:cs="方正小标宋_GBK"/>
          <w:color w:val="auto"/>
          <w:sz w:val="44"/>
          <w:szCs w:val="44"/>
        </w:rPr>
      </w:pPr>
      <w:bookmarkStart w:id="216" w:name="_Toc4217"/>
      <w:bookmarkStart w:id="217" w:name="_Toc17677"/>
      <w:r>
        <w:rPr>
          <w:rFonts w:hint="eastAsia" w:ascii="宋体" w:hAnsi="宋体" w:eastAsia="方正小标宋_GBK" w:cs="方正小标宋_GBK"/>
          <w:color w:val="auto"/>
          <w:sz w:val="44"/>
          <w:szCs w:val="44"/>
          <w:lang w:val="en-US" w:eastAsia="zh-CN"/>
        </w:rPr>
        <w:t>相关</w:t>
      </w:r>
      <w:r>
        <w:rPr>
          <w:rFonts w:hint="eastAsia" w:ascii="宋体" w:hAnsi="宋体" w:eastAsia="方正小标宋_GBK" w:cs="方正小标宋_GBK"/>
          <w:color w:val="auto"/>
          <w:sz w:val="44"/>
          <w:szCs w:val="44"/>
        </w:rPr>
        <w:t>名词解释</w:t>
      </w:r>
      <w:bookmarkEnd w:id="215"/>
      <w:bookmarkEnd w:id="216"/>
      <w:bookmarkEnd w:id="217"/>
    </w:p>
    <w:p>
      <w:pPr>
        <w:pageBreakBefore w:val="0"/>
        <w:kinsoku/>
        <w:wordWrap/>
        <w:overflowPunct w:val="0"/>
        <w:topLinePunct w:val="0"/>
        <w:autoSpaceDE w:val="0"/>
        <w:autoSpaceDN w:val="0"/>
        <w:bidi w:val="0"/>
        <w:adjustRightInd w:val="0"/>
        <w:snapToGrid/>
        <w:spacing w:line="600" w:lineRule="exact"/>
        <w:ind w:left="0" w:leftChars="0"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1.“一件事”：</w:t>
      </w:r>
      <w:r>
        <w:rPr>
          <w:rFonts w:hint="eastAsia" w:ascii="宋体" w:hAnsi="宋体" w:eastAsia="方正仿宋_GBK" w:cs="方正仿宋_GBK"/>
          <w:color w:val="auto"/>
          <w:sz w:val="32"/>
          <w:szCs w:val="32"/>
        </w:rPr>
        <w:t>通过多服务、多部门、多地区的系统、数据、人员相互协同</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以申请人视角提供跨部门、跨层级、跨地区的“一件事”主题集成服务。</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2.“零跑动”：</w:t>
      </w:r>
      <w:r>
        <w:rPr>
          <w:rFonts w:hint="eastAsia" w:ascii="宋体" w:hAnsi="宋体" w:eastAsia="方正仿宋_GBK" w:cs="方正仿宋_GBK"/>
          <w:color w:val="auto"/>
          <w:sz w:val="32"/>
          <w:szCs w:val="32"/>
        </w:rPr>
        <w:t>由各级各部门提供的依申请办理的行政权力和公共服务事项中</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在符合法定受理条件的前提下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企业和群众通过网上或自助终端等方式</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无需跑腿即可办理业务。</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3.“跨域通办”：</w:t>
      </w:r>
      <w:r>
        <w:rPr>
          <w:rFonts w:hint="eastAsia" w:ascii="宋体" w:hAnsi="宋体" w:eastAsia="方正仿宋_GBK" w:cs="方正仿宋_GBK"/>
          <w:color w:val="auto"/>
          <w:sz w:val="32"/>
          <w:szCs w:val="32"/>
        </w:rPr>
        <w:t>依托全国一体化政务服务平台突破户籍地、学校所在地、企业注册地、不动产登记地等地域限制</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实现政务服务线上线下跨区域办理。</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4.“一网通办”：</w:t>
      </w:r>
      <w:r>
        <w:rPr>
          <w:rFonts w:hint="eastAsia" w:ascii="宋体" w:hAnsi="宋体" w:eastAsia="方正仿宋_GBK" w:cs="方正仿宋_GBK"/>
          <w:color w:val="auto"/>
          <w:sz w:val="32"/>
          <w:szCs w:val="32"/>
        </w:rPr>
        <w:t>依托一体化在线政务服务平台</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通过规范网上办事标准、优化网上办事流程、搭建统一的互联网政务服务总门户、整合政府服务数据资源、完善配套制度等措施</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推行政务服务事项网上办理</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推动企业群众办事线上只登录一次即可全网通办。</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5.“一窗受理”:</w:t>
      </w:r>
      <w:r>
        <w:rPr>
          <w:rFonts w:hint="eastAsia" w:ascii="宋体" w:hAnsi="宋体" w:eastAsia="方正仿宋_GBK" w:cs="方正仿宋_GBK"/>
          <w:color w:val="auto"/>
          <w:sz w:val="32"/>
          <w:szCs w:val="32"/>
        </w:rPr>
        <w:t>群众办“一件事”只需到一个窗口</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不用跑多个部门。相关事项都可以在综合受理窗口申请</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工作人员全程负责事项的受理、转办、跟踪和出件。</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6.政务服务“好差评”：</w:t>
      </w:r>
      <w:r>
        <w:rPr>
          <w:rFonts w:hint="eastAsia" w:ascii="宋体" w:hAnsi="宋体" w:eastAsia="方正仿宋_GBK" w:cs="方正仿宋_GBK"/>
          <w:color w:val="auto"/>
          <w:sz w:val="32"/>
          <w:szCs w:val="32"/>
        </w:rPr>
        <w:t>对各级政务服务机构、各类政务服务平台开展“好差评”</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以“评”为手段推动政府进一步改善政务服务。</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7.“一网统管”：</w:t>
      </w:r>
      <w:r>
        <w:rPr>
          <w:rFonts w:hint="eastAsia" w:ascii="宋体" w:hAnsi="宋体" w:eastAsia="方正仿宋_GBK" w:cs="方正仿宋_GBK"/>
          <w:color w:val="auto"/>
          <w:sz w:val="32"/>
          <w:szCs w:val="32"/>
        </w:rPr>
        <w:t>“一网”是指数字政府一体化的云、网、大数据中心、公共支撑平台和感知体系等</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“统管”是指充分依托“一网”的基础能力</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围绕经济调节、市场监管、社会管理、公共服务和生态环境保护等政府五大职能</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优化管理体系和管理流程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构建横向到边、纵向到底、全闭环的数字化治理模式</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实现“一网感知态势、一网纵观全局、一网决策指挥、一网协同共治”。</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lang w:val="en-US" w:eastAsia="zh-CN"/>
        </w:rPr>
        <w:t>8</w:t>
      </w:r>
      <w:r>
        <w:rPr>
          <w:rFonts w:hint="eastAsia" w:ascii="宋体" w:hAnsi="宋体" w:eastAsia="方正仿宋_GBK" w:cs="方正仿宋_GBK"/>
          <w:b/>
          <w:bCs/>
          <w:color w:val="auto"/>
          <w:sz w:val="32"/>
          <w:szCs w:val="32"/>
        </w:rPr>
        <w:t>.雪亮工程：</w:t>
      </w:r>
      <w:r>
        <w:rPr>
          <w:rFonts w:hint="eastAsia" w:ascii="宋体" w:hAnsi="宋体" w:eastAsia="方正仿宋_GBK" w:cs="方正仿宋_GBK"/>
          <w:color w:val="auto"/>
          <w:sz w:val="32"/>
          <w:szCs w:val="32"/>
        </w:rPr>
        <w:t>以县、乡、村为指挥平台、以综治信息化为支撑、以网格化管理为基础、以公共安全视频监控联网应用为重点的“群众性治安防控工程”。</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lang w:val="en-US" w:eastAsia="zh-CN"/>
        </w:rPr>
        <w:t>9</w:t>
      </w:r>
      <w:r>
        <w:rPr>
          <w:rFonts w:hint="eastAsia" w:ascii="宋体" w:hAnsi="宋体" w:eastAsia="方正仿宋_GBK" w:cs="方正仿宋_GBK"/>
          <w:b/>
          <w:bCs/>
          <w:color w:val="auto"/>
          <w:sz w:val="32"/>
          <w:szCs w:val="32"/>
        </w:rPr>
        <w:t>.“一网协同”：</w:t>
      </w:r>
      <w:r>
        <w:rPr>
          <w:rFonts w:hint="eastAsia" w:ascii="宋体" w:hAnsi="宋体" w:eastAsia="方正仿宋_GBK" w:cs="方正仿宋_GBK"/>
          <w:color w:val="auto"/>
          <w:sz w:val="32"/>
          <w:szCs w:val="32"/>
        </w:rPr>
        <w:t>依托统一的横向到边、纵向到底的省市县镇村五级移动政务门户</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实现政府机关办文、办会、办事跨部门、跨层级、实时化业务协同联动。</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1</w:t>
      </w:r>
      <w:r>
        <w:rPr>
          <w:rFonts w:hint="eastAsia" w:ascii="宋体" w:hAnsi="宋体" w:eastAsia="方正仿宋_GBK" w:cs="方正仿宋_GBK"/>
          <w:b/>
          <w:bCs/>
          <w:color w:val="auto"/>
          <w:sz w:val="32"/>
          <w:szCs w:val="32"/>
          <w:lang w:val="en-US" w:eastAsia="zh-CN"/>
        </w:rPr>
        <w:t>0</w:t>
      </w:r>
      <w:r>
        <w:rPr>
          <w:rFonts w:hint="eastAsia" w:ascii="宋体" w:hAnsi="宋体" w:eastAsia="方正仿宋_GBK" w:cs="方正仿宋_GBK"/>
          <w:b/>
          <w:bCs/>
          <w:color w:val="auto"/>
          <w:sz w:val="32"/>
          <w:szCs w:val="32"/>
        </w:rPr>
        <w:t>.“政企合作、管运分离”：</w:t>
      </w:r>
      <w:r>
        <w:rPr>
          <w:rFonts w:hint="eastAsia" w:ascii="宋体" w:hAnsi="宋体" w:eastAsia="方正仿宋_GBK" w:cs="方正仿宋_GBK"/>
          <w:color w:val="auto"/>
          <w:sz w:val="32"/>
          <w:szCs w:val="32"/>
        </w:rPr>
        <w:t>创新政府管理、企业运营的政务信息化建设模式</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在政府统筹指导下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由企业主体负责数字政府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sz w:val="32"/>
          <w:szCs w:val="32"/>
        </w:rPr>
        <w:t>建设运营</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政府和企业共促数字政府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sz w:val="32"/>
          <w:szCs w:val="32"/>
        </w:rPr>
        <w:t>建设发展。</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1</w:t>
      </w:r>
      <w:r>
        <w:rPr>
          <w:rFonts w:hint="eastAsia" w:ascii="宋体" w:hAnsi="宋体" w:eastAsia="方正仿宋_GBK" w:cs="方正仿宋_GBK"/>
          <w:b/>
          <w:bCs/>
          <w:color w:val="auto"/>
          <w:sz w:val="32"/>
          <w:szCs w:val="32"/>
          <w:lang w:val="en-US" w:eastAsia="zh-CN"/>
        </w:rPr>
        <w:t>1</w:t>
      </w:r>
      <w:r>
        <w:rPr>
          <w:rFonts w:hint="eastAsia" w:ascii="宋体" w:hAnsi="宋体" w:eastAsia="方正仿宋_GBK" w:cs="方正仿宋_GBK"/>
          <w:b/>
          <w:bCs/>
          <w:color w:val="auto"/>
          <w:sz w:val="32"/>
          <w:szCs w:val="32"/>
        </w:rPr>
        <w:t>.“互联网+”：</w:t>
      </w:r>
      <w:r>
        <w:rPr>
          <w:rFonts w:hint="eastAsia" w:ascii="宋体" w:hAnsi="宋体" w:eastAsia="方正仿宋_GBK" w:cs="方正仿宋_GBK"/>
          <w:color w:val="auto"/>
          <w:sz w:val="32"/>
          <w:szCs w:val="32"/>
        </w:rPr>
        <w:t>依托互联网信息技术实现互联网与传统业务的联合</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以优化业务流程、更新业务体系、重构业务模式等途径来完成转型和升级。</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1</w:t>
      </w:r>
      <w:r>
        <w:rPr>
          <w:rFonts w:hint="eastAsia" w:ascii="宋体" w:hAnsi="宋体" w:eastAsia="方正仿宋_GBK" w:cs="方正仿宋_GBK"/>
          <w:b/>
          <w:bCs/>
          <w:color w:val="auto"/>
          <w:sz w:val="32"/>
          <w:szCs w:val="32"/>
          <w:lang w:val="en-US" w:eastAsia="zh-CN"/>
        </w:rPr>
        <w:t>2</w:t>
      </w:r>
      <w:r>
        <w:rPr>
          <w:rFonts w:hint="eastAsia" w:ascii="宋体" w:hAnsi="宋体" w:eastAsia="方正仿宋_GBK" w:cs="方正仿宋_GBK"/>
          <w:b/>
          <w:bCs/>
          <w:color w:val="auto"/>
          <w:sz w:val="32"/>
          <w:szCs w:val="32"/>
        </w:rPr>
        <w:t>.政务数据：</w:t>
      </w:r>
      <w:r>
        <w:rPr>
          <w:rFonts w:hint="eastAsia" w:ascii="宋体" w:hAnsi="宋体" w:eastAsia="方正仿宋_GBK" w:cs="方正仿宋_GBK"/>
          <w:color w:val="auto"/>
          <w:sz w:val="32"/>
          <w:szCs w:val="32"/>
        </w:rPr>
        <w:t>政务部门在履行职责过程中制作或获取的</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以一定形式记录、保存的文字、数字、图表、图像、音频、视频、电子证照、电子档案等各类结构化和非结构化数据资源。</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1</w:t>
      </w:r>
      <w:r>
        <w:rPr>
          <w:rFonts w:hint="eastAsia" w:ascii="宋体" w:hAnsi="宋体" w:eastAsia="方正仿宋_GBK" w:cs="方正仿宋_GBK"/>
          <w:b/>
          <w:bCs/>
          <w:color w:val="auto"/>
          <w:sz w:val="32"/>
          <w:szCs w:val="32"/>
          <w:lang w:val="en-US" w:eastAsia="zh-CN"/>
        </w:rPr>
        <w:t>3</w:t>
      </w:r>
      <w:r>
        <w:rPr>
          <w:rFonts w:hint="eastAsia" w:ascii="宋体" w:hAnsi="宋体" w:eastAsia="方正仿宋_GBK" w:cs="方正仿宋_GBK"/>
          <w:b/>
          <w:bCs/>
          <w:color w:val="auto"/>
          <w:sz w:val="32"/>
          <w:szCs w:val="32"/>
        </w:rPr>
        <w:t>.公共数据：</w:t>
      </w:r>
      <w:r>
        <w:rPr>
          <w:rFonts w:hint="eastAsia" w:ascii="宋体" w:hAnsi="宋体" w:eastAsia="方正仿宋_GBK" w:cs="方正仿宋_GBK"/>
          <w:color w:val="auto"/>
          <w:sz w:val="32"/>
          <w:szCs w:val="32"/>
        </w:rPr>
        <w:t>行政机关以及具有公共事务管理和公共服务职能的组织</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在依法履行职责过程中制作或者获取的</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以电子或者非电子形式对信息的记录。</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1</w:t>
      </w:r>
      <w:r>
        <w:rPr>
          <w:rFonts w:hint="eastAsia" w:ascii="宋体" w:hAnsi="宋体" w:eastAsia="方正仿宋_GBK" w:cs="方正仿宋_GBK"/>
          <w:b/>
          <w:bCs/>
          <w:color w:val="auto"/>
          <w:sz w:val="32"/>
          <w:szCs w:val="32"/>
          <w:lang w:val="en-US" w:eastAsia="zh-CN"/>
        </w:rPr>
        <w:t>4</w:t>
      </w:r>
      <w:r>
        <w:rPr>
          <w:rFonts w:hint="eastAsia" w:ascii="宋体" w:hAnsi="宋体" w:eastAsia="方正仿宋_GBK" w:cs="方正仿宋_GBK"/>
          <w:b/>
          <w:bCs/>
          <w:color w:val="auto"/>
          <w:sz w:val="32"/>
          <w:szCs w:val="32"/>
        </w:rPr>
        <w:t>.5G：</w:t>
      </w:r>
      <w:r>
        <w:rPr>
          <w:rFonts w:hint="eastAsia" w:ascii="宋体" w:hAnsi="宋体" w:eastAsia="方正仿宋_GBK" w:cs="方正仿宋_GBK"/>
          <w:color w:val="auto"/>
          <w:sz w:val="32"/>
          <w:szCs w:val="32"/>
        </w:rPr>
        <w:t>5th generation wireless systems的缩写</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即第五代移动通信技术。</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1</w:t>
      </w:r>
      <w:r>
        <w:rPr>
          <w:rFonts w:hint="eastAsia" w:ascii="宋体" w:hAnsi="宋体" w:eastAsia="方正仿宋_GBK" w:cs="方正仿宋_GBK"/>
          <w:b/>
          <w:bCs/>
          <w:color w:val="auto"/>
          <w:sz w:val="32"/>
          <w:szCs w:val="32"/>
          <w:lang w:val="en-US" w:eastAsia="zh-CN"/>
        </w:rPr>
        <w:t>5</w:t>
      </w:r>
      <w:r>
        <w:rPr>
          <w:rFonts w:hint="eastAsia" w:ascii="宋体" w:hAnsi="宋体" w:eastAsia="方正仿宋_GBK" w:cs="方正仿宋_GBK"/>
          <w:b/>
          <w:bCs/>
          <w:color w:val="auto"/>
          <w:sz w:val="32"/>
          <w:szCs w:val="32"/>
        </w:rPr>
        <w:t>.新基建：</w:t>
      </w:r>
      <w:r>
        <w:rPr>
          <w:rFonts w:hint="eastAsia" w:ascii="宋体" w:hAnsi="宋体" w:eastAsia="方正仿宋_GBK" w:cs="方正仿宋_GBK"/>
          <w:color w:val="auto"/>
          <w:sz w:val="32"/>
          <w:szCs w:val="32"/>
        </w:rPr>
        <w:t>新型基础设施建设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主要包括5G基站建设、特高压、城际高速铁路和城市轨道交通、新能源汽车充电桩、大数据中心、人工智能（AI）、工业互联网七大领域。</w:t>
      </w: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tabs>
          <w:tab w:val="left" w:pos="7027"/>
        </w:tabs>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ab/>
      </w:r>
    </w:p>
    <w:sectPr>
      <w:headerReference r:id="rId7" w:type="first"/>
      <w:footerReference r:id="rId10" w:type="first"/>
      <w:headerReference r:id="rId5" w:type="default"/>
      <w:footerReference r:id="rId8" w:type="default"/>
      <w:headerReference r:id="rId6" w:type="even"/>
      <w:footerReference r:id="rId9" w:type="even"/>
      <w:pgSz w:w="11906" w:h="16838"/>
      <w:pgMar w:top="1985" w:right="1474" w:bottom="1474" w:left="1474" w:header="1128" w:footer="970" w:gutter="0"/>
      <w:pgNumType w:start="1"/>
      <w:cols w:space="425"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955517-24C3-4374-A021-F58C5F8355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embedRegular r:id="rId2" w:fontKey="{7F0B8F21-18F1-4114-8880-C3BE55D9C756}"/>
  </w:font>
  <w:font w:name="方正仿宋_GBK">
    <w:panose1 w:val="03000509000000000000"/>
    <w:charset w:val="86"/>
    <w:family w:val="script"/>
    <w:pitch w:val="default"/>
    <w:sig w:usb0="00000001" w:usb1="080E0000" w:usb2="00000000" w:usb3="00000000" w:csb0="00040000" w:csb1="00000000"/>
    <w:embedRegular r:id="rId3" w:fontKey="{77D09A5A-D50B-4478-8433-BB083E928CBA}"/>
  </w:font>
  <w:font w:name="方正楷体GBK">
    <w:altName w:val="宋体"/>
    <w:panose1 w:val="00000000000000000000"/>
    <w:charset w:val="86"/>
    <w:family w:val="roman"/>
    <w:pitch w:val="default"/>
    <w:sig w:usb0="00000000" w:usb1="00000000" w:usb2="00000000" w:usb3="00000000" w:csb0="00000000" w:csb1="00000000"/>
  </w:font>
  <w:font w:name="方正仿宋GBK">
    <w:altName w:val="宋体"/>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Franklin Gothic Medium">
    <w:panose1 w:val="020B06030201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0" w:usb3="00000000" w:csb0="00000093"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4" w:fontKey="{8C6BFF97-8728-4BE9-8DFF-477B47B82759}"/>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0964944"/>
      <w:docPartObj>
        <w:docPartGallery w:val="autotext"/>
      </w:docPartObj>
    </w:sdtPr>
    <w:sdtContent>
      <w:p>
        <w:pPr>
          <w:pStyle w:val="27"/>
          <w:ind w:firstLine="360"/>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13</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2474501"/>
      <w:docPartObj>
        <w:docPartGallery w:val="autotext"/>
      </w:docPartObj>
    </w:sdtPr>
    <w:sdtEndPr>
      <w:rPr>
        <w:rFonts w:asciiTheme="minorEastAsia" w:hAnsiTheme="minorEastAsia" w:eastAsiaTheme="minorEastAsia"/>
        <w:sz w:val="28"/>
        <w:szCs w:val="28"/>
      </w:rPr>
    </w:sdtEndPr>
    <w:sdtContent>
      <w:p>
        <w:pPr>
          <w:pStyle w:val="27"/>
          <w:ind w:firstLine="360"/>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I</w:t>
        </w:r>
        <w:r>
          <w:rPr>
            <w:rFonts w:asciiTheme="minorEastAsia" w:hAnsiTheme="minorEastAsia" w:eastAsia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ind w:firstLine="480"/>
      </w:pPr>
      <w:r>
        <w:separator/>
      </w:r>
    </w:p>
  </w:footnote>
  <w:footnote w:type="continuationSeparator" w:id="1">
    <w:p>
      <w:pPr>
        <w:spacing w:line="48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B600D2"/>
    <w:multiLevelType w:val="multilevel"/>
    <w:tmpl w:val="F7B600D2"/>
    <w:lvl w:ilvl="0" w:tentative="0">
      <w:start w:val="1"/>
      <w:numFmt w:val="chineseCounting"/>
      <w:pStyle w:val="3"/>
      <w:suff w:val="space"/>
      <w:lvlText w:val="%1、"/>
      <w:lvlJc w:val="left"/>
      <w:pPr>
        <w:tabs>
          <w:tab w:val="left" w:pos="0"/>
        </w:tabs>
        <w:ind w:left="0" w:firstLine="0"/>
      </w:pPr>
      <w:rPr>
        <w:rFonts w:hint="eastAsia" w:ascii="宋体" w:hAnsi="宋体" w:eastAsia="黑体" w:cs="宋体"/>
        <w:b w:val="0"/>
        <w:i w:val="0"/>
        <w:sz w:val="32"/>
        <w:szCs w:val="36"/>
      </w:rPr>
    </w:lvl>
    <w:lvl w:ilvl="1" w:tentative="0">
      <w:start w:val="1"/>
      <w:numFmt w:val="chineseCounting"/>
      <w:pStyle w:val="4"/>
      <w:suff w:val="space"/>
      <w:lvlText w:val="（%2）"/>
      <w:lvlJc w:val="left"/>
      <w:pPr>
        <w:tabs>
          <w:tab w:val="left" w:pos="0"/>
        </w:tabs>
        <w:ind w:left="0" w:firstLine="0"/>
      </w:pPr>
      <w:rPr>
        <w:rFonts w:hint="eastAsia" w:ascii="宋体" w:hAnsi="宋体" w:eastAsia="方正楷体_GBK" w:cs="宋体"/>
        <w:b w:val="0"/>
        <w:bCs w:val="0"/>
        <w:i w:val="0"/>
        <w:iCs w:val="0"/>
        <w:caps w:val="0"/>
        <w:smallCaps w:val="0"/>
        <w:strike w:val="0"/>
        <w:dstrike w:val="0"/>
        <w:vanish w:val="0"/>
        <w:color w:val="000000"/>
        <w:spacing w:val="0"/>
        <w:position w:val="0"/>
        <w:sz w:val="32"/>
        <w:szCs w:val="30"/>
        <w:u w:val="none"/>
        <w:vertAlign w:val="baseline"/>
        <w14:shadow w14:blurRad="0" w14:dist="0" w14:dir="0" w14:sx="0" w14:sy="0" w14:kx="0" w14:ky="0" w14:algn="none">
          <w14:srgbClr w14:val="000000"/>
        </w14:shadow>
        <w14:ligatures w14:val="none"/>
        <w14:numForm w14:val="default"/>
        <w14:numSpacing w14:val="default"/>
      </w:rPr>
    </w:lvl>
    <w:lvl w:ilvl="2" w:tentative="0">
      <w:start w:val="1"/>
      <w:numFmt w:val="decimal"/>
      <w:pStyle w:val="5"/>
      <w:suff w:val="space"/>
      <w:lvlText w:val="%3."/>
      <w:lvlJc w:val="left"/>
      <w:pPr>
        <w:tabs>
          <w:tab w:val="left" w:pos="0"/>
        </w:tabs>
        <w:ind w:left="77" w:firstLine="0"/>
      </w:pPr>
      <w:rPr>
        <w:rFonts w:hint="eastAsia" w:ascii="宋体" w:hAnsi="宋体" w:eastAsia="方正仿宋_GBK" w:cs="宋体"/>
        <w:b/>
        <w:bCs w:val="0"/>
        <w:i w:val="0"/>
        <w:iCs w:val="0"/>
        <w:caps w:val="0"/>
        <w:smallCaps w:val="0"/>
        <w:strike w:val="0"/>
        <w:dstrike w:val="0"/>
        <w:vanish w:val="0"/>
        <w:color w:val="000000"/>
        <w:spacing w:val="0"/>
        <w:position w:val="0"/>
        <w:sz w:val="32"/>
        <w:szCs w:val="28"/>
        <w:u w:val="none"/>
        <w:vertAlign w:val="baseline"/>
        <w14:shadow w14:blurRad="0" w14:dist="0" w14:dir="0" w14:sx="0" w14:sy="0" w14:kx="0" w14:ky="0" w14:algn="none">
          <w14:srgbClr w14:val="000000"/>
        </w14:shadow>
        <w14:ligatures w14:val="none"/>
        <w14:numForm w14:val="default"/>
        <w14:numSpacing w14:val="default"/>
      </w:rPr>
    </w:lvl>
    <w:lvl w:ilvl="3" w:tentative="0">
      <w:start w:val="1"/>
      <w:numFmt w:val="decimal"/>
      <w:pStyle w:val="6"/>
      <w:suff w:val="space"/>
      <w:lvlText w:val="（%4）"/>
      <w:lvlJc w:val="left"/>
      <w:pPr>
        <w:tabs>
          <w:tab w:val="left" w:pos="0"/>
        </w:tabs>
        <w:ind w:left="0" w:firstLine="0"/>
      </w:pPr>
      <w:rPr>
        <w:rFonts w:hint="eastAsia" w:ascii="宋体" w:hAnsi="宋体" w:eastAsia="方正仿宋_GBK" w:cs="宋体"/>
        <w:b w:val="0"/>
        <w:bCs w:val="0"/>
        <w:i w:val="0"/>
        <w:iCs w:val="0"/>
        <w:caps w:val="0"/>
        <w:smallCaps w:val="0"/>
        <w:strike w:val="0"/>
        <w:dstrike w:val="0"/>
        <w:vanish w:val="0"/>
        <w:color w:val="auto"/>
        <w:spacing w:val="0"/>
        <w:position w:val="0"/>
        <w:sz w:val="3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none"/>
      <w:pStyle w:val="7"/>
      <w:suff w:val="space"/>
      <w:lvlText w:val=""/>
      <w:lvlJc w:val="left"/>
      <w:pPr>
        <w:tabs>
          <w:tab w:val="left" w:pos="420"/>
        </w:tabs>
        <w:ind w:left="0" w:firstLine="0"/>
      </w:pPr>
      <w:rPr>
        <w:rFonts w:hint="eastAsia" w:ascii="宋体" w:hAnsi="宋体" w:eastAsia="宋体" w:cs="宋体"/>
        <w:b/>
        <w:i w:val="0"/>
        <w:sz w:val="32"/>
      </w:rPr>
    </w:lvl>
    <w:lvl w:ilvl="5" w:tentative="0">
      <w:start w:val="1"/>
      <w:numFmt w:val="decimal"/>
      <w:pStyle w:val="8"/>
      <w:isLgl/>
      <w:suff w:val="space"/>
      <w:lvlText w:val="%1.%2.%3.%4.%5.%6 "/>
      <w:lvlJc w:val="left"/>
      <w:pPr>
        <w:tabs>
          <w:tab w:val="left" w:pos="420"/>
        </w:tabs>
        <w:ind w:left="0" w:firstLine="0"/>
      </w:pPr>
      <w:rPr>
        <w:rFonts w:hint="eastAsia" w:ascii="宋体" w:hAnsi="宋体" w:eastAsia="宋体" w:cs="宋体"/>
        <w:b w:val="0"/>
        <w:i w:val="0"/>
        <w:sz w:val="24"/>
      </w:rPr>
    </w:lvl>
    <w:lvl w:ilvl="6" w:tentative="0">
      <w:start w:val="1"/>
      <w:numFmt w:val="decimal"/>
      <w:lvlRestart w:val="1"/>
      <w:pStyle w:val="336"/>
      <w:isLgl/>
      <w:suff w:val="nothing"/>
      <w:lvlText w:val="（%1.%7）"/>
      <w:lvlJc w:val="right"/>
      <w:pPr>
        <w:tabs>
          <w:tab w:val="left" w:pos="420"/>
        </w:tabs>
        <w:ind w:left="0" w:firstLine="0"/>
      </w:pPr>
      <w:rPr>
        <w:rFonts w:hint="eastAsia" w:ascii="宋体" w:hAnsi="宋体" w:eastAsia="宋体" w:cs="宋体"/>
        <w:b w:val="0"/>
        <w:i w:val="0"/>
        <w:sz w:val="24"/>
      </w:rPr>
    </w:lvl>
    <w:lvl w:ilvl="7" w:tentative="0">
      <w:start w:val="1"/>
      <w:numFmt w:val="decimal"/>
      <w:lvlRestart w:val="1"/>
      <w:pStyle w:val="15"/>
      <w:isLgl/>
      <w:suff w:val="nothing"/>
      <w:lvlText w:val="图%1.%8"/>
      <w:lvlJc w:val="left"/>
      <w:pPr>
        <w:ind w:left="0" w:firstLine="0"/>
      </w:pPr>
      <w:rPr>
        <w:rFonts w:hint="eastAsia" w:ascii="宋体" w:hAnsi="宋体" w:eastAsia="宋体" w:cs="宋体"/>
        <w:b w:val="0"/>
        <w:i w:val="0"/>
        <w:sz w:val="21"/>
      </w:rPr>
    </w:lvl>
    <w:lvl w:ilvl="8" w:tentative="0">
      <w:start w:val="1"/>
      <w:numFmt w:val="decimal"/>
      <w:lvlRestart w:val="1"/>
      <w:pStyle w:val="337"/>
      <w:isLgl/>
      <w:suff w:val="nothing"/>
      <w:lvlText w:val="表%1.%9"/>
      <w:lvlJc w:val="left"/>
      <w:pPr>
        <w:tabs>
          <w:tab w:val="left" w:pos="420"/>
        </w:tabs>
        <w:ind w:left="0" w:firstLine="0"/>
      </w:pPr>
      <w:rPr>
        <w:rFonts w:hint="eastAsia" w:ascii="宋体" w:hAnsi="宋体" w:eastAsia="宋体" w:cs="宋体"/>
        <w:b w:val="0"/>
        <w:i w:val="0"/>
        <w:sz w:val="21"/>
      </w:rPr>
    </w:lvl>
  </w:abstractNum>
  <w:abstractNum w:abstractNumId="1">
    <w:nsid w:val="0000000E"/>
    <w:multiLevelType w:val="singleLevel"/>
    <w:tmpl w:val="0000000E"/>
    <w:lvl w:ilvl="0" w:tentative="0">
      <w:start w:val="1"/>
      <w:numFmt w:val="bullet"/>
      <w:pStyle w:val="35"/>
      <w:lvlText w:val=""/>
      <w:lvlJc w:val="left"/>
      <w:pPr>
        <w:tabs>
          <w:tab w:val="left" w:pos="425"/>
        </w:tabs>
        <w:ind w:left="425" w:hanging="425"/>
      </w:pPr>
      <w:rPr>
        <w:rFonts w:hint="default" w:ascii="Wingdings" w:hAnsi="Wingdings" w:cs="Wingdings"/>
      </w:rPr>
    </w:lvl>
  </w:abstractNum>
  <w:abstractNum w:abstractNumId="2">
    <w:nsid w:val="00000047"/>
    <w:multiLevelType w:val="multilevel"/>
    <w:tmpl w:val="00000047"/>
    <w:lvl w:ilvl="0" w:tentative="0">
      <w:start w:val="1"/>
      <w:numFmt w:val="bullet"/>
      <w:pStyle w:val="195"/>
      <w:lvlText w:val=""/>
      <w:lvlJc w:val="left"/>
      <w:pPr>
        <w:tabs>
          <w:tab w:val="left" w:pos="61"/>
        </w:tabs>
        <w:ind w:left="900"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A20317A"/>
    <w:multiLevelType w:val="multilevel"/>
    <w:tmpl w:val="0A20317A"/>
    <w:lvl w:ilvl="0" w:tentative="0">
      <w:start w:val="1"/>
      <w:numFmt w:val="chineseCountingThousand"/>
      <w:pStyle w:val="334"/>
      <w:suff w:val="space"/>
      <w:lvlText w:val="第%1章 "/>
      <w:lvlJc w:val="left"/>
      <w:pPr>
        <w:ind w:left="0" w:firstLine="0"/>
      </w:pPr>
      <w:rPr>
        <w:rFonts w:hint="eastAsia" w:ascii="黑体" w:hAnsi="黑体" w:eastAsia="黑体" w:cs="Calibri"/>
        <w:b w:val="0"/>
        <w:i w:val="0"/>
        <w:sz w:val="32"/>
        <w:szCs w:val="36"/>
      </w:rPr>
    </w:lvl>
    <w:lvl w:ilvl="1" w:tentative="0">
      <w:start w:val="1"/>
      <w:numFmt w:val="decimal"/>
      <w:isLgl/>
      <w:suff w:val="space"/>
      <w:lvlText w:val="%1.%2 "/>
      <w:lvlJc w:val="left"/>
      <w:pPr>
        <w:ind w:left="0" w:firstLine="0"/>
      </w:pPr>
      <w:rPr>
        <w:rFonts w:hint="eastAsia" w:ascii="方正仿宋GBK" w:hAnsi="黑体" w:eastAsia="方正仿宋GBK"/>
        <w:b w:val="0"/>
        <w:bCs w:val="0"/>
        <w:i w:val="0"/>
        <w:iCs w:val="0"/>
        <w:caps w:val="0"/>
        <w:smallCaps w:val="0"/>
        <w:strike w:val="0"/>
        <w:dstrike w:val="0"/>
        <w:vanish w:val="0"/>
        <w:color w:val="000000"/>
        <w:spacing w:val="0"/>
        <w:position w:val="0"/>
        <w:sz w:val="32"/>
        <w:szCs w:val="30"/>
        <w:u w:val="none"/>
        <w:vertAlign w:val="baseline"/>
        <w14:shadow w14:blurRad="0" w14:dist="0" w14:dir="0" w14:sx="0" w14:sy="0" w14:kx="0" w14:ky="0" w14:algn="none">
          <w14:srgbClr w14:val="000000"/>
        </w14:shadow>
        <w14:ligatures w14:val="none"/>
        <w14:numForm w14:val="default"/>
        <w14:numSpacing w14:val="default"/>
      </w:rPr>
    </w:lvl>
    <w:lvl w:ilvl="2" w:tentative="0">
      <w:start w:val="1"/>
      <w:numFmt w:val="decimal"/>
      <w:isLgl/>
      <w:suff w:val="space"/>
      <w:lvlText w:val="%1.%2.%3 "/>
      <w:lvlJc w:val="left"/>
      <w:pPr>
        <w:ind w:left="0" w:firstLine="0"/>
      </w:pPr>
      <w:rPr>
        <w:rFonts w:hint="eastAsia" w:ascii="方正仿宋GBK" w:hAnsi="黑体" w:eastAsia="方正仿宋GBK"/>
        <w:b w:val="0"/>
        <w:bCs w:val="0"/>
        <w:i w:val="0"/>
        <w:iCs w:val="0"/>
        <w:caps w:val="0"/>
        <w:smallCaps w:val="0"/>
        <w:strike w:val="0"/>
        <w:dstrike w:val="0"/>
        <w:vanish w:val="0"/>
        <w:color w:val="000000"/>
        <w:spacing w:val="0"/>
        <w:position w:val="0"/>
        <w:sz w:val="32"/>
        <w:szCs w:val="28"/>
        <w:u w:val="none"/>
        <w:vertAlign w:val="baseline"/>
        <w14:shadow w14:blurRad="0" w14:dist="0" w14:dir="0" w14:sx="0" w14:sy="0" w14:kx="0" w14:ky="0" w14:algn="none">
          <w14:srgbClr w14:val="000000"/>
        </w14:shadow>
        <w14:ligatures w14:val="none"/>
        <w14:numForm w14:val="default"/>
        <w14:numSpacing w14:val="default"/>
      </w:rPr>
    </w:lvl>
    <w:lvl w:ilvl="3" w:tentative="0">
      <w:start w:val="1"/>
      <w:numFmt w:val="decimal"/>
      <w:isLgl/>
      <w:suff w:val="space"/>
      <w:lvlText w:val="%1.%2.%3.%4 "/>
      <w:lvlJc w:val="left"/>
      <w:pPr>
        <w:ind w:left="0" w:firstLine="0"/>
      </w:pPr>
      <w:rPr>
        <w:rFonts w:hint="eastAsia" w:eastAsia="方正仿宋GBK" w:cs="Times New Roman"/>
        <w:b w:val="0"/>
        <w:bCs w:val="0"/>
        <w:i w:val="0"/>
        <w:iCs w:val="0"/>
        <w:caps w:val="0"/>
        <w:smallCaps w:val="0"/>
        <w:strike w:val="0"/>
        <w:dstrike w:val="0"/>
        <w:vanish w:val="0"/>
        <w:color w:val="auto"/>
        <w:spacing w:val="0"/>
        <w:position w:val="0"/>
        <w:sz w:val="3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isLgl/>
      <w:suff w:val="space"/>
      <w:lvlText w:val="%1.%2.%3.%4.%5 "/>
      <w:lvlJc w:val="left"/>
      <w:pPr>
        <w:ind w:left="0" w:firstLine="0"/>
      </w:pPr>
      <w:rPr>
        <w:rFonts w:hint="eastAsia" w:ascii="黑体" w:hAnsi="黑体" w:eastAsia="黑体" w:cs="Calibri"/>
        <w:b w:val="0"/>
        <w:i w:val="0"/>
        <w:sz w:val="24"/>
      </w:rPr>
    </w:lvl>
    <w:lvl w:ilvl="5" w:tentative="0">
      <w:start w:val="1"/>
      <w:numFmt w:val="decimal"/>
      <w:isLgl/>
      <w:suff w:val="space"/>
      <w:lvlText w:val="%1.%2.%3.%4.%5.%6 "/>
      <w:lvlJc w:val="left"/>
      <w:pPr>
        <w:ind w:left="0" w:firstLine="0"/>
      </w:pPr>
      <w:rPr>
        <w:rFonts w:hint="eastAsia" w:ascii="黑体" w:eastAsia="黑体"/>
        <w:b w:val="0"/>
        <w:i w:val="0"/>
        <w:sz w:val="24"/>
      </w:rPr>
    </w:lvl>
    <w:lvl w:ilvl="6" w:tentative="0">
      <w:start w:val="1"/>
      <w:numFmt w:val="decimal"/>
      <w:lvlRestart w:val="1"/>
      <w:isLgl/>
      <w:suff w:val="nothing"/>
      <w:lvlText w:val="（%1.%7）"/>
      <w:lvlJc w:val="right"/>
      <w:pPr>
        <w:ind w:left="0" w:firstLine="0"/>
      </w:pPr>
      <w:rPr>
        <w:rFonts w:hint="eastAsia" w:eastAsia="宋体"/>
        <w:b w:val="0"/>
        <w:i w:val="0"/>
        <w:sz w:val="24"/>
      </w:rPr>
    </w:lvl>
    <w:lvl w:ilvl="7" w:tentative="0">
      <w:start w:val="1"/>
      <w:numFmt w:val="decimal"/>
      <w:lvlRestart w:val="1"/>
      <w:isLgl/>
      <w:suff w:val="nothing"/>
      <w:lvlText w:val="图%1.%8"/>
      <w:lvlJc w:val="left"/>
      <w:pPr>
        <w:ind w:left="0" w:firstLine="0"/>
      </w:pPr>
      <w:rPr>
        <w:rFonts w:hint="eastAsia" w:eastAsia="宋体"/>
        <w:b w:val="0"/>
        <w:i w:val="0"/>
        <w:sz w:val="21"/>
      </w:rPr>
    </w:lvl>
    <w:lvl w:ilvl="8" w:tentative="0">
      <w:start w:val="1"/>
      <w:numFmt w:val="decimal"/>
      <w:lvlRestart w:val="1"/>
      <w:isLgl/>
      <w:suff w:val="nothing"/>
      <w:lvlText w:val="表%1.%9"/>
      <w:lvlJc w:val="left"/>
      <w:pPr>
        <w:ind w:left="0" w:firstLine="0"/>
      </w:pPr>
      <w:rPr>
        <w:rFonts w:hint="eastAsia" w:ascii="宋体" w:hAnsi="宋体" w:eastAsia="宋体"/>
        <w:b w:val="0"/>
        <w:i w:val="0"/>
        <w:sz w:val="21"/>
      </w:rPr>
    </w:lvl>
  </w:abstractNum>
  <w:abstractNum w:abstractNumId="4">
    <w:nsid w:val="127A072A"/>
    <w:multiLevelType w:val="multilevel"/>
    <w:tmpl w:val="127A072A"/>
    <w:lvl w:ilvl="0" w:tentative="0">
      <w:start w:val="1"/>
      <w:numFmt w:val="decimal"/>
      <w:pStyle w:val="322"/>
      <w:suff w:val="space"/>
      <w:lvlText w:val="（%1）"/>
      <w:lvlJc w:val="left"/>
      <w:pPr>
        <w:ind w:left="420" w:firstLine="0"/>
      </w:pPr>
      <w:rPr>
        <w:rFonts w:hint="eastAsia" w:ascii="Times New Roman" w:hAnsi="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pStyle w:val="320"/>
      <w:suff w:val="space"/>
      <w:lvlText w:val="%2）"/>
      <w:lvlJc w:val="left"/>
      <w:pPr>
        <w:ind w:left="839"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lowerRoman"/>
      <w:lvlText w:val="%3."/>
      <w:lvlJc w:val="right"/>
      <w:pPr>
        <w:ind w:left="420" w:firstLine="0"/>
      </w:pPr>
      <w:rPr>
        <w:rFonts w:hint="eastAsia"/>
      </w:rPr>
    </w:lvl>
    <w:lvl w:ilvl="3" w:tentative="0">
      <w:start w:val="1"/>
      <w:numFmt w:val="decimal"/>
      <w:lvlText w:val="%4."/>
      <w:lvlJc w:val="left"/>
      <w:pPr>
        <w:ind w:left="420" w:firstLine="0"/>
      </w:pPr>
      <w:rPr>
        <w:rFonts w:hint="eastAsia"/>
      </w:rPr>
    </w:lvl>
    <w:lvl w:ilvl="4" w:tentative="0">
      <w:start w:val="1"/>
      <w:numFmt w:val="lowerLetter"/>
      <w:lvlText w:val="%5)"/>
      <w:lvlJc w:val="left"/>
      <w:pPr>
        <w:ind w:left="420" w:firstLine="0"/>
      </w:pPr>
      <w:rPr>
        <w:rFonts w:hint="eastAsia"/>
      </w:rPr>
    </w:lvl>
    <w:lvl w:ilvl="5" w:tentative="0">
      <w:start w:val="1"/>
      <w:numFmt w:val="lowerRoman"/>
      <w:lvlText w:val="%6."/>
      <w:lvlJc w:val="right"/>
      <w:pPr>
        <w:ind w:left="420" w:firstLine="0"/>
      </w:pPr>
      <w:rPr>
        <w:rFonts w:hint="eastAsia"/>
      </w:rPr>
    </w:lvl>
    <w:lvl w:ilvl="6" w:tentative="0">
      <w:start w:val="1"/>
      <w:numFmt w:val="decimal"/>
      <w:lvlText w:val="%7."/>
      <w:lvlJc w:val="left"/>
      <w:pPr>
        <w:ind w:left="420" w:firstLine="0"/>
      </w:pPr>
      <w:rPr>
        <w:rFonts w:hint="eastAsia"/>
      </w:rPr>
    </w:lvl>
    <w:lvl w:ilvl="7" w:tentative="0">
      <w:start w:val="1"/>
      <w:numFmt w:val="lowerLetter"/>
      <w:lvlText w:val="%8)"/>
      <w:lvlJc w:val="left"/>
      <w:pPr>
        <w:ind w:left="420" w:firstLine="0"/>
      </w:pPr>
      <w:rPr>
        <w:rFonts w:hint="eastAsia"/>
      </w:rPr>
    </w:lvl>
    <w:lvl w:ilvl="8" w:tentative="0">
      <w:start w:val="1"/>
      <w:numFmt w:val="lowerRoman"/>
      <w:lvlText w:val="%9."/>
      <w:lvlJc w:val="right"/>
      <w:pPr>
        <w:ind w:left="420" w:firstLine="0"/>
      </w:pPr>
      <w:rPr>
        <w:rFonts w:hint="eastAsia"/>
      </w:rPr>
    </w:lvl>
  </w:abstractNum>
  <w:abstractNum w:abstractNumId="5">
    <w:nsid w:val="208A7ABE"/>
    <w:multiLevelType w:val="multilevel"/>
    <w:tmpl w:val="208A7ABE"/>
    <w:lvl w:ilvl="0" w:tentative="0">
      <w:start w:val="1"/>
      <w:numFmt w:val="decimal"/>
      <w:pStyle w:val="319"/>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A537C8A"/>
    <w:multiLevelType w:val="multilevel"/>
    <w:tmpl w:val="2A537C8A"/>
    <w:lvl w:ilvl="0" w:tentative="0">
      <w:start w:val="1"/>
      <w:numFmt w:val="chineseCountingThousand"/>
      <w:suff w:val="space"/>
      <w:lvlText w:val="第%1章 "/>
      <w:lvlJc w:val="left"/>
      <w:pPr>
        <w:ind w:left="0" w:firstLine="0"/>
      </w:pPr>
      <w:rPr>
        <w:rFonts w:hint="eastAsia" w:ascii="黑体" w:hAnsi="黑体" w:eastAsia="黑体" w:cs="Calibri"/>
        <w:b/>
        <w:i w:val="0"/>
        <w:sz w:val="32"/>
        <w:szCs w:val="36"/>
      </w:rPr>
    </w:lvl>
    <w:lvl w:ilvl="1" w:tentative="0">
      <w:start w:val="1"/>
      <w:numFmt w:val="decimal"/>
      <w:isLgl/>
      <w:suff w:val="space"/>
      <w:lvlText w:val="%1.%2 "/>
      <w:lvlJc w:val="left"/>
      <w:pPr>
        <w:ind w:left="0" w:firstLine="0"/>
      </w:pPr>
      <w:rPr>
        <w:rFonts w:hint="eastAsia" w:ascii="黑体" w:hAnsi="黑体" w:eastAsia="黑体"/>
        <w:b/>
        <w:bCs w:val="0"/>
        <w:i w:val="0"/>
        <w:iCs w:val="0"/>
        <w:caps w:val="0"/>
        <w:smallCaps w:val="0"/>
        <w:strike w:val="0"/>
        <w:dstrike w:val="0"/>
        <w:vanish w:val="0"/>
        <w:color w:val="00000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isLgl/>
      <w:suff w:val="space"/>
      <w:lvlText w:val="%1.%2.%3 "/>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sz w:val="26"/>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isLgl/>
      <w:suff w:val="space"/>
      <w:lvlText w:val="%1.%2.%3.%4 "/>
      <w:lvlJc w:val="left"/>
      <w:pPr>
        <w:ind w:left="0" w:firstLine="0"/>
      </w:pPr>
      <w:rPr>
        <w:rFonts w:hint="eastAsia" w:ascii="黑体" w:hAnsi="黑体" w:eastAsia="黑体"/>
        <w:b w:val="0"/>
        <w:bCs w:val="0"/>
        <w:i w:val="0"/>
        <w:iCs w:val="0"/>
        <w:caps w:val="0"/>
        <w:smallCaps w:val="0"/>
        <w:strike w:val="0"/>
        <w:dstrike w:val="0"/>
        <w:vanish w:val="0"/>
        <w:color w:val="auto"/>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isLgl/>
      <w:suff w:val="space"/>
      <w:lvlText w:val="%1.%2.%3.%4.%5 "/>
      <w:lvlJc w:val="left"/>
      <w:pPr>
        <w:ind w:left="0" w:firstLine="0"/>
      </w:pPr>
      <w:rPr>
        <w:rFonts w:hint="eastAsia" w:ascii="黑体" w:hAnsi="黑体" w:eastAsia="黑体" w:cs="Calibri"/>
        <w:b w:val="0"/>
        <w:i w:val="0"/>
        <w:sz w:val="24"/>
      </w:rPr>
    </w:lvl>
    <w:lvl w:ilvl="5" w:tentative="0">
      <w:start w:val="1"/>
      <w:numFmt w:val="decimal"/>
      <w:isLgl/>
      <w:lvlText w:val="%1.%2.%3.%4.%5.%6"/>
      <w:lvlJc w:val="left"/>
      <w:pPr>
        <w:ind w:left="0" w:firstLine="0"/>
      </w:pPr>
      <w:rPr>
        <w:rFonts w:hint="eastAsia"/>
      </w:rPr>
    </w:lvl>
    <w:lvl w:ilvl="6" w:tentative="0">
      <w:start w:val="1"/>
      <w:numFmt w:val="decimal"/>
      <w:pStyle w:val="9"/>
      <w:lvlText w:val="%1.%2.%3.%4.%5.%6.%7"/>
      <w:lvlJc w:val="left"/>
      <w:pPr>
        <w:ind w:left="0" w:firstLine="0"/>
      </w:pPr>
      <w:rPr>
        <w:rFonts w:hint="eastAsia"/>
      </w:rPr>
    </w:lvl>
    <w:lvl w:ilvl="7" w:tentative="0">
      <w:start w:val="1"/>
      <w:numFmt w:val="decimal"/>
      <w:lvlRestart w:val="1"/>
      <w:pStyle w:val="10"/>
      <w:isLgl/>
      <w:lvlText w:val="%1.%8 "/>
      <w:lvlJc w:val="left"/>
      <w:pPr>
        <w:ind w:left="0" w:firstLine="0"/>
      </w:pPr>
      <w:rPr>
        <w:rFonts w:hint="eastAsia" w:eastAsia="宋体"/>
        <w:b w:val="0"/>
        <w:i w:val="0"/>
        <w:sz w:val="21"/>
      </w:rPr>
    </w:lvl>
    <w:lvl w:ilvl="8" w:tentative="0">
      <w:start w:val="1"/>
      <w:numFmt w:val="decimal"/>
      <w:pStyle w:val="11"/>
      <w:lvlText w:val="%1.%2.%3.%4.%5.%6.%7.%8.%9"/>
      <w:lvlJc w:val="left"/>
      <w:pPr>
        <w:ind w:left="0" w:firstLine="0"/>
      </w:pPr>
      <w:rPr>
        <w:rFonts w:hint="eastAsia"/>
      </w:rPr>
    </w:lvl>
  </w:abstractNum>
  <w:abstractNum w:abstractNumId="7">
    <w:nsid w:val="3DA64970"/>
    <w:multiLevelType w:val="multilevel"/>
    <w:tmpl w:val="3DA64970"/>
    <w:lvl w:ilvl="0" w:tentative="0">
      <w:start w:val="1"/>
      <w:numFmt w:val="decimal"/>
      <w:suff w:val="nothing"/>
      <w:lvlText w:val="%1."/>
      <w:lvlJc w:val="left"/>
      <w:pPr>
        <w:ind w:left="0" w:firstLine="68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415C1FA1"/>
    <w:multiLevelType w:val="multilevel"/>
    <w:tmpl w:val="415C1FA1"/>
    <w:lvl w:ilvl="0" w:tentative="0">
      <w:start w:val="1"/>
      <w:numFmt w:val="bullet"/>
      <w:pStyle w:val="119"/>
      <w:lvlText w:val=""/>
      <w:lvlJc w:val="left"/>
      <w:pPr>
        <w:ind w:left="902" w:hanging="417"/>
      </w:pPr>
      <w:rPr>
        <w:rFonts w:hint="default" w:ascii="Wingdings" w:hAnsi="Wingdings"/>
      </w:rPr>
    </w:lvl>
    <w:lvl w:ilvl="1" w:tentative="0">
      <w:start w:val="1"/>
      <w:numFmt w:val="bullet"/>
      <w:lvlText w:val=""/>
      <w:lvlJc w:val="left"/>
      <w:pPr>
        <w:ind w:left="1322" w:hanging="417"/>
      </w:pPr>
      <w:rPr>
        <w:rFonts w:hint="default" w:ascii="Wingdings" w:hAnsi="Wingdings"/>
      </w:rPr>
    </w:lvl>
    <w:lvl w:ilvl="2" w:tentative="0">
      <w:start w:val="1"/>
      <w:numFmt w:val="bullet"/>
      <w:lvlText w:val=""/>
      <w:lvlJc w:val="left"/>
      <w:pPr>
        <w:ind w:left="1742" w:hanging="417"/>
      </w:pPr>
      <w:rPr>
        <w:rFonts w:hint="default" w:ascii="Wingdings" w:hAnsi="Wingdings"/>
      </w:rPr>
    </w:lvl>
    <w:lvl w:ilvl="3" w:tentative="0">
      <w:start w:val="1"/>
      <w:numFmt w:val="bullet"/>
      <w:lvlText w:val=""/>
      <w:lvlJc w:val="left"/>
      <w:pPr>
        <w:ind w:left="2162" w:hanging="417"/>
      </w:pPr>
      <w:rPr>
        <w:rFonts w:hint="default" w:ascii="Wingdings" w:hAnsi="Wingdings"/>
      </w:rPr>
    </w:lvl>
    <w:lvl w:ilvl="4" w:tentative="0">
      <w:start w:val="1"/>
      <w:numFmt w:val="bullet"/>
      <w:lvlText w:val=""/>
      <w:lvlJc w:val="left"/>
      <w:pPr>
        <w:ind w:left="2582" w:hanging="417"/>
      </w:pPr>
      <w:rPr>
        <w:rFonts w:hint="default" w:ascii="Wingdings" w:hAnsi="Wingdings"/>
      </w:rPr>
    </w:lvl>
    <w:lvl w:ilvl="5" w:tentative="0">
      <w:start w:val="1"/>
      <w:numFmt w:val="bullet"/>
      <w:lvlText w:val=""/>
      <w:lvlJc w:val="left"/>
      <w:pPr>
        <w:ind w:left="3002" w:hanging="417"/>
      </w:pPr>
      <w:rPr>
        <w:rFonts w:hint="default" w:ascii="Wingdings" w:hAnsi="Wingdings"/>
      </w:rPr>
    </w:lvl>
    <w:lvl w:ilvl="6" w:tentative="0">
      <w:start w:val="1"/>
      <w:numFmt w:val="bullet"/>
      <w:lvlText w:val=""/>
      <w:lvlJc w:val="left"/>
      <w:pPr>
        <w:ind w:left="3422" w:hanging="417"/>
      </w:pPr>
      <w:rPr>
        <w:rFonts w:hint="default" w:ascii="Wingdings" w:hAnsi="Wingdings"/>
      </w:rPr>
    </w:lvl>
    <w:lvl w:ilvl="7" w:tentative="0">
      <w:start w:val="1"/>
      <w:numFmt w:val="bullet"/>
      <w:lvlText w:val=""/>
      <w:lvlJc w:val="left"/>
      <w:pPr>
        <w:ind w:left="3842" w:hanging="417"/>
      </w:pPr>
      <w:rPr>
        <w:rFonts w:hint="default" w:ascii="Wingdings" w:hAnsi="Wingdings"/>
      </w:rPr>
    </w:lvl>
    <w:lvl w:ilvl="8" w:tentative="0">
      <w:start w:val="1"/>
      <w:numFmt w:val="bullet"/>
      <w:lvlText w:val=""/>
      <w:lvlJc w:val="left"/>
      <w:pPr>
        <w:ind w:left="4262" w:hanging="417"/>
      </w:pPr>
      <w:rPr>
        <w:rFonts w:hint="default" w:ascii="Wingdings" w:hAnsi="Wingdings"/>
      </w:rPr>
    </w:lvl>
  </w:abstractNum>
  <w:num w:numId="1">
    <w:abstractNumId w:val="0"/>
  </w:num>
  <w:num w:numId="2">
    <w:abstractNumId w:val="6"/>
  </w:num>
  <w:num w:numId="3">
    <w:abstractNumId w:val="1"/>
  </w:num>
  <w:num w:numId="4">
    <w:abstractNumId w:val="8"/>
  </w:num>
  <w:num w:numId="5">
    <w:abstractNumId w:val="2"/>
  </w:num>
  <w:num w:numId="6">
    <w:abstractNumId w:val="5"/>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mNzE2NThmNDBkMzUwYjE2YmFlOWY0MjQ2ZTkxZDMifQ=="/>
  </w:docVars>
  <w:rsids>
    <w:rsidRoot w:val="00172A27"/>
    <w:rsid w:val="0000018E"/>
    <w:rsid w:val="000010F3"/>
    <w:rsid w:val="00001A37"/>
    <w:rsid w:val="00001CF9"/>
    <w:rsid w:val="00001D1A"/>
    <w:rsid w:val="00001F95"/>
    <w:rsid w:val="00002B2A"/>
    <w:rsid w:val="000030A1"/>
    <w:rsid w:val="00003573"/>
    <w:rsid w:val="00003EC7"/>
    <w:rsid w:val="000044A7"/>
    <w:rsid w:val="00006855"/>
    <w:rsid w:val="00006872"/>
    <w:rsid w:val="0000760D"/>
    <w:rsid w:val="000104FA"/>
    <w:rsid w:val="0001062C"/>
    <w:rsid w:val="0001062D"/>
    <w:rsid w:val="00010D15"/>
    <w:rsid w:val="00011876"/>
    <w:rsid w:val="00012881"/>
    <w:rsid w:val="000135FD"/>
    <w:rsid w:val="00013646"/>
    <w:rsid w:val="000137A0"/>
    <w:rsid w:val="00013D2C"/>
    <w:rsid w:val="00013EB3"/>
    <w:rsid w:val="00015D77"/>
    <w:rsid w:val="00016972"/>
    <w:rsid w:val="00016B67"/>
    <w:rsid w:val="0002020B"/>
    <w:rsid w:val="000226B0"/>
    <w:rsid w:val="00022946"/>
    <w:rsid w:val="00022C67"/>
    <w:rsid w:val="0002395E"/>
    <w:rsid w:val="00023A4E"/>
    <w:rsid w:val="0002409A"/>
    <w:rsid w:val="00025212"/>
    <w:rsid w:val="000272DD"/>
    <w:rsid w:val="00027ADD"/>
    <w:rsid w:val="00027B80"/>
    <w:rsid w:val="000300E3"/>
    <w:rsid w:val="0003067B"/>
    <w:rsid w:val="00030787"/>
    <w:rsid w:val="0003160E"/>
    <w:rsid w:val="00032348"/>
    <w:rsid w:val="00032F33"/>
    <w:rsid w:val="00033B6B"/>
    <w:rsid w:val="00033BD0"/>
    <w:rsid w:val="0003454A"/>
    <w:rsid w:val="000375DD"/>
    <w:rsid w:val="00040596"/>
    <w:rsid w:val="000417C0"/>
    <w:rsid w:val="00041B08"/>
    <w:rsid w:val="00042891"/>
    <w:rsid w:val="00042F20"/>
    <w:rsid w:val="0004403D"/>
    <w:rsid w:val="000442EC"/>
    <w:rsid w:val="00046DB2"/>
    <w:rsid w:val="00047084"/>
    <w:rsid w:val="00047290"/>
    <w:rsid w:val="000475D4"/>
    <w:rsid w:val="00047D4A"/>
    <w:rsid w:val="0005067B"/>
    <w:rsid w:val="000519B9"/>
    <w:rsid w:val="000525BC"/>
    <w:rsid w:val="00052671"/>
    <w:rsid w:val="0005353B"/>
    <w:rsid w:val="000537FB"/>
    <w:rsid w:val="00053CFF"/>
    <w:rsid w:val="00053F02"/>
    <w:rsid w:val="00054912"/>
    <w:rsid w:val="000553C7"/>
    <w:rsid w:val="00055801"/>
    <w:rsid w:val="00055E1B"/>
    <w:rsid w:val="000565C6"/>
    <w:rsid w:val="0005683F"/>
    <w:rsid w:val="00057208"/>
    <w:rsid w:val="00060BBA"/>
    <w:rsid w:val="0006142C"/>
    <w:rsid w:val="00061A7E"/>
    <w:rsid w:val="00062ED4"/>
    <w:rsid w:val="00063A60"/>
    <w:rsid w:val="00063C0F"/>
    <w:rsid w:val="00064F51"/>
    <w:rsid w:val="00065225"/>
    <w:rsid w:val="000653EC"/>
    <w:rsid w:val="00065661"/>
    <w:rsid w:val="00065B3C"/>
    <w:rsid w:val="00066309"/>
    <w:rsid w:val="0006677A"/>
    <w:rsid w:val="000706F8"/>
    <w:rsid w:val="000718C8"/>
    <w:rsid w:val="0007316A"/>
    <w:rsid w:val="00074E93"/>
    <w:rsid w:val="0007550B"/>
    <w:rsid w:val="000758C1"/>
    <w:rsid w:val="000769A1"/>
    <w:rsid w:val="00076B35"/>
    <w:rsid w:val="00077D07"/>
    <w:rsid w:val="00083A5A"/>
    <w:rsid w:val="00084335"/>
    <w:rsid w:val="00084E33"/>
    <w:rsid w:val="00085B46"/>
    <w:rsid w:val="00085DCB"/>
    <w:rsid w:val="00085E21"/>
    <w:rsid w:val="00086B91"/>
    <w:rsid w:val="00087BAB"/>
    <w:rsid w:val="00091434"/>
    <w:rsid w:val="000915FB"/>
    <w:rsid w:val="0009187A"/>
    <w:rsid w:val="00094509"/>
    <w:rsid w:val="00094B7D"/>
    <w:rsid w:val="0009549B"/>
    <w:rsid w:val="000A14A7"/>
    <w:rsid w:val="000A1E54"/>
    <w:rsid w:val="000A2300"/>
    <w:rsid w:val="000A2809"/>
    <w:rsid w:val="000A3AED"/>
    <w:rsid w:val="000A3DFF"/>
    <w:rsid w:val="000A4BAA"/>
    <w:rsid w:val="000A55B7"/>
    <w:rsid w:val="000A59F9"/>
    <w:rsid w:val="000A60BD"/>
    <w:rsid w:val="000A650D"/>
    <w:rsid w:val="000A7133"/>
    <w:rsid w:val="000A7EFF"/>
    <w:rsid w:val="000B081E"/>
    <w:rsid w:val="000B0F14"/>
    <w:rsid w:val="000B1752"/>
    <w:rsid w:val="000B1B55"/>
    <w:rsid w:val="000B2879"/>
    <w:rsid w:val="000B2A4F"/>
    <w:rsid w:val="000B2C1D"/>
    <w:rsid w:val="000B3841"/>
    <w:rsid w:val="000B53E2"/>
    <w:rsid w:val="000B579C"/>
    <w:rsid w:val="000B68BF"/>
    <w:rsid w:val="000B73A7"/>
    <w:rsid w:val="000B7877"/>
    <w:rsid w:val="000C0A10"/>
    <w:rsid w:val="000C245D"/>
    <w:rsid w:val="000C2F32"/>
    <w:rsid w:val="000C4962"/>
    <w:rsid w:val="000C4A0F"/>
    <w:rsid w:val="000C56E0"/>
    <w:rsid w:val="000C5A80"/>
    <w:rsid w:val="000C6CB7"/>
    <w:rsid w:val="000C7587"/>
    <w:rsid w:val="000C7B46"/>
    <w:rsid w:val="000C7D53"/>
    <w:rsid w:val="000D2AF3"/>
    <w:rsid w:val="000D2EDD"/>
    <w:rsid w:val="000D3F4F"/>
    <w:rsid w:val="000D64F8"/>
    <w:rsid w:val="000D69CE"/>
    <w:rsid w:val="000D6F21"/>
    <w:rsid w:val="000E151B"/>
    <w:rsid w:val="000E1C70"/>
    <w:rsid w:val="000E2D08"/>
    <w:rsid w:val="000E2D37"/>
    <w:rsid w:val="000E2D76"/>
    <w:rsid w:val="000E3799"/>
    <w:rsid w:val="000E3B15"/>
    <w:rsid w:val="000E3E12"/>
    <w:rsid w:val="000E3FC1"/>
    <w:rsid w:val="000E414C"/>
    <w:rsid w:val="000E55D0"/>
    <w:rsid w:val="000E5A1F"/>
    <w:rsid w:val="000E7B2D"/>
    <w:rsid w:val="000F06E3"/>
    <w:rsid w:val="000F083B"/>
    <w:rsid w:val="000F1F95"/>
    <w:rsid w:val="000F416A"/>
    <w:rsid w:val="000F50FE"/>
    <w:rsid w:val="000F5BF0"/>
    <w:rsid w:val="000F6449"/>
    <w:rsid w:val="000F698E"/>
    <w:rsid w:val="000F7EAD"/>
    <w:rsid w:val="00100D64"/>
    <w:rsid w:val="00101ADB"/>
    <w:rsid w:val="0010223F"/>
    <w:rsid w:val="001026BE"/>
    <w:rsid w:val="00102D33"/>
    <w:rsid w:val="00102E77"/>
    <w:rsid w:val="00103ECE"/>
    <w:rsid w:val="00105DDA"/>
    <w:rsid w:val="00107A87"/>
    <w:rsid w:val="00107EBF"/>
    <w:rsid w:val="001102DA"/>
    <w:rsid w:val="001130E5"/>
    <w:rsid w:val="0011487F"/>
    <w:rsid w:val="00114F3A"/>
    <w:rsid w:val="00115DEB"/>
    <w:rsid w:val="00116F42"/>
    <w:rsid w:val="001174C9"/>
    <w:rsid w:val="00117C55"/>
    <w:rsid w:val="0012027D"/>
    <w:rsid w:val="00120AD2"/>
    <w:rsid w:val="00121499"/>
    <w:rsid w:val="001214A3"/>
    <w:rsid w:val="00121BFD"/>
    <w:rsid w:val="00122724"/>
    <w:rsid w:val="00122742"/>
    <w:rsid w:val="001229E9"/>
    <w:rsid w:val="00122B89"/>
    <w:rsid w:val="00122D01"/>
    <w:rsid w:val="001237F7"/>
    <w:rsid w:val="00123A89"/>
    <w:rsid w:val="0012459D"/>
    <w:rsid w:val="00124E3B"/>
    <w:rsid w:val="0012582B"/>
    <w:rsid w:val="00127DA3"/>
    <w:rsid w:val="00132571"/>
    <w:rsid w:val="00132EA9"/>
    <w:rsid w:val="0013306F"/>
    <w:rsid w:val="0013443D"/>
    <w:rsid w:val="00134AEB"/>
    <w:rsid w:val="00135B23"/>
    <w:rsid w:val="00136E02"/>
    <w:rsid w:val="001375FC"/>
    <w:rsid w:val="001403E8"/>
    <w:rsid w:val="00140A6B"/>
    <w:rsid w:val="00140CFA"/>
    <w:rsid w:val="00141096"/>
    <w:rsid w:val="001423D3"/>
    <w:rsid w:val="001426D2"/>
    <w:rsid w:val="001428DA"/>
    <w:rsid w:val="001444DD"/>
    <w:rsid w:val="00144B58"/>
    <w:rsid w:val="00145AEF"/>
    <w:rsid w:val="00145E45"/>
    <w:rsid w:val="00145FA1"/>
    <w:rsid w:val="001465A5"/>
    <w:rsid w:val="0015086B"/>
    <w:rsid w:val="00150B8F"/>
    <w:rsid w:val="001515D5"/>
    <w:rsid w:val="00152183"/>
    <w:rsid w:val="0015328E"/>
    <w:rsid w:val="00155060"/>
    <w:rsid w:val="001551A4"/>
    <w:rsid w:val="00155232"/>
    <w:rsid w:val="00155E6A"/>
    <w:rsid w:val="0015748B"/>
    <w:rsid w:val="00161B93"/>
    <w:rsid w:val="00162557"/>
    <w:rsid w:val="00164C5B"/>
    <w:rsid w:val="00165352"/>
    <w:rsid w:val="00165AD9"/>
    <w:rsid w:val="0016628D"/>
    <w:rsid w:val="00166A5A"/>
    <w:rsid w:val="00167896"/>
    <w:rsid w:val="00167F82"/>
    <w:rsid w:val="00170112"/>
    <w:rsid w:val="00170243"/>
    <w:rsid w:val="001703D0"/>
    <w:rsid w:val="001708DD"/>
    <w:rsid w:val="00171589"/>
    <w:rsid w:val="00172A27"/>
    <w:rsid w:val="0017355F"/>
    <w:rsid w:val="001747A8"/>
    <w:rsid w:val="00176232"/>
    <w:rsid w:val="00176322"/>
    <w:rsid w:val="0017785E"/>
    <w:rsid w:val="00177C21"/>
    <w:rsid w:val="0018099D"/>
    <w:rsid w:val="00181AE1"/>
    <w:rsid w:val="001822AA"/>
    <w:rsid w:val="001826D6"/>
    <w:rsid w:val="001832B5"/>
    <w:rsid w:val="00183514"/>
    <w:rsid w:val="00183F81"/>
    <w:rsid w:val="0018421C"/>
    <w:rsid w:val="00184715"/>
    <w:rsid w:val="001849D5"/>
    <w:rsid w:val="00184B5A"/>
    <w:rsid w:val="00186F1F"/>
    <w:rsid w:val="001876D5"/>
    <w:rsid w:val="00190443"/>
    <w:rsid w:val="00193230"/>
    <w:rsid w:val="00193633"/>
    <w:rsid w:val="001940DB"/>
    <w:rsid w:val="00194E2A"/>
    <w:rsid w:val="00196DF7"/>
    <w:rsid w:val="001A083D"/>
    <w:rsid w:val="001A0C45"/>
    <w:rsid w:val="001A1F99"/>
    <w:rsid w:val="001A3A3A"/>
    <w:rsid w:val="001A3EF8"/>
    <w:rsid w:val="001A4099"/>
    <w:rsid w:val="001A4B9D"/>
    <w:rsid w:val="001A4E2E"/>
    <w:rsid w:val="001A4E8A"/>
    <w:rsid w:val="001A6535"/>
    <w:rsid w:val="001A7A38"/>
    <w:rsid w:val="001A7E01"/>
    <w:rsid w:val="001B18CB"/>
    <w:rsid w:val="001B491A"/>
    <w:rsid w:val="001B55A2"/>
    <w:rsid w:val="001B5655"/>
    <w:rsid w:val="001B75B6"/>
    <w:rsid w:val="001B77B3"/>
    <w:rsid w:val="001B7EB5"/>
    <w:rsid w:val="001C06ED"/>
    <w:rsid w:val="001C0DF4"/>
    <w:rsid w:val="001C0FE5"/>
    <w:rsid w:val="001C2796"/>
    <w:rsid w:val="001C2D8A"/>
    <w:rsid w:val="001C3B22"/>
    <w:rsid w:val="001C3DDB"/>
    <w:rsid w:val="001C4006"/>
    <w:rsid w:val="001C435E"/>
    <w:rsid w:val="001C48B7"/>
    <w:rsid w:val="001C49ED"/>
    <w:rsid w:val="001C4A8E"/>
    <w:rsid w:val="001C702F"/>
    <w:rsid w:val="001C7B79"/>
    <w:rsid w:val="001C7E93"/>
    <w:rsid w:val="001D0467"/>
    <w:rsid w:val="001D0F83"/>
    <w:rsid w:val="001D12E8"/>
    <w:rsid w:val="001D1E95"/>
    <w:rsid w:val="001D2575"/>
    <w:rsid w:val="001D28E3"/>
    <w:rsid w:val="001D2CAE"/>
    <w:rsid w:val="001D3317"/>
    <w:rsid w:val="001D3BA8"/>
    <w:rsid w:val="001D3EF1"/>
    <w:rsid w:val="001D40A3"/>
    <w:rsid w:val="001D4401"/>
    <w:rsid w:val="001D7216"/>
    <w:rsid w:val="001D72D5"/>
    <w:rsid w:val="001D7A1A"/>
    <w:rsid w:val="001E04E2"/>
    <w:rsid w:val="001E2234"/>
    <w:rsid w:val="001E264C"/>
    <w:rsid w:val="001E27F0"/>
    <w:rsid w:val="001E4651"/>
    <w:rsid w:val="001E49C0"/>
    <w:rsid w:val="001E4A76"/>
    <w:rsid w:val="001E4D00"/>
    <w:rsid w:val="001E4D0E"/>
    <w:rsid w:val="001E5ED8"/>
    <w:rsid w:val="001F3525"/>
    <w:rsid w:val="001F3640"/>
    <w:rsid w:val="001F3D96"/>
    <w:rsid w:val="001F4210"/>
    <w:rsid w:val="001F73E9"/>
    <w:rsid w:val="001F787A"/>
    <w:rsid w:val="00200245"/>
    <w:rsid w:val="00201048"/>
    <w:rsid w:val="00201F69"/>
    <w:rsid w:val="0020282F"/>
    <w:rsid w:val="002037B7"/>
    <w:rsid w:val="0020439C"/>
    <w:rsid w:val="002058B1"/>
    <w:rsid w:val="00206049"/>
    <w:rsid w:val="002061B0"/>
    <w:rsid w:val="00206564"/>
    <w:rsid w:val="0020742B"/>
    <w:rsid w:val="002075BA"/>
    <w:rsid w:val="00207F61"/>
    <w:rsid w:val="002102B7"/>
    <w:rsid w:val="002105CA"/>
    <w:rsid w:val="00210A15"/>
    <w:rsid w:val="00210EB0"/>
    <w:rsid w:val="00212F23"/>
    <w:rsid w:val="002133F9"/>
    <w:rsid w:val="00213984"/>
    <w:rsid w:val="002148DD"/>
    <w:rsid w:val="00214B85"/>
    <w:rsid w:val="002157E2"/>
    <w:rsid w:val="00216029"/>
    <w:rsid w:val="00217E8B"/>
    <w:rsid w:val="002208F0"/>
    <w:rsid w:val="00220B7F"/>
    <w:rsid w:val="00222591"/>
    <w:rsid w:val="00222A36"/>
    <w:rsid w:val="00222BE6"/>
    <w:rsid w:val="00223CC1"/>
    <w:rsid w:val="002245EE"/>
    <w:rsid w:val="002247B3"/>
    <w:rsid w:val="002248AA"/>
    <w:rsid w:val="00224F33"/>
    <w:rsid w:val="0022600A"/>
    <w:rsid w:val="002266AB"/>
    <w:rsid w:val="00226FF8"/>
    <w:rsid w:val="0022738C"/>
    <w:rsid w:val="00227D09"/>
    <w:rsid w:val="00232C42"/>
    <w:rsid w:val="00233E97"/>
    <w:rsid w:val="002343C8"/>
    <w:rsid w:val="00234B36"/>
    <w:rsid w:val="00235E04"/>
    <w:rsid w:val="00236044"/>
    <w:rsid w:val="00236107"/>
    <w:rsid w:val="002362A3"/>
    <w:rsid w:val="00236439"/>
    <w:rsid w:val="00237A18"/>
    <w:rsid w:val="00237B9D"/>
    <w:rsid w:val="00240CC9"/>
    <w:rsid w:val="00241888"/>
    <w:rsid w:val="00243789"/>
    <w:rsid w:val="002437D5"/>
    <w:rsid w:val="0024502C"/>
    <w:rsid w:val="00245CBA"/>
    <w:rsid w:val="00246344"/>
    <w:rsid w:val="00246836"/>
    <w:rsid w:val="00247D67"/>
    <w:rsid w:val="002508EE"/>
    <w:rsid w:val="00251979"/>
    <w:rsid w:val="00251E16"/>
    <w:rsid w:val="0025232F"/>
    <w:rsid w:val="0025281B"/>
    <w:rsid w:val="002529F3"/>
    <w:rsid w:val="00252A3B"/>
    <w:rsid w:val="002542EA"/>
    <w:rsid w:val="0025614B"/>
    <w:rsid w:val="00257874"/>
    <w:rsid w:val="00257994"/>
    <w:rsid w:val="00257A52"/>
    <w:rsid w:val="00257FD9"/>
    <w:rsid w:val="00260BE5"/>
    <w:rsid w:val="00261C94"/>
    <w:rsid w:val="002633BD"/>
    <w:rsid w:val="00263468"/>
    <w:rsid w:val="002636D6"/>
    <w:rsid w:val="002640EE"/>
    <w:rsid w:val="00264831"/>
    <w:rsid w:val="00264DBE"/>
    <w:rsid w:val="0026519F"/>
    <w:rsid w:val="002658AC"/>
    <w:rsid w:val="0026620C"/>
    <w:rsid w:val="00266ABA"/>
    <w:rsid w:val="00266E9F"/>
    <w:rsid w:val="002706CC"/>
    <w:rsid w:val="00270EA8"/>
    <w:rsid w:val="0027204E"/>
    <w:rsid w:val="00273135"/>
    <w:rsid w:val="0027491B"/>
    <w:rsid w:val="00274BB8"/>
    <w:rsid w:val="00277CD7"/>
    <w:rsid w:val="00277E29"/>
    <w:rsid w:val="00280174"/>
    <w:rsid w:val="002803E3"/>
    <w:rsid w:val="0028079C"/>
    <w:rsid w:val="002808B9"/>
    <w:rsid w:val="0028175E"/>
    <w:rsid w:val="00281A3A"/>
    <w:rsid w:val="00281E5D"/>
    <w:rsid w:val="002824DD"/>
    <w:rsid w:val="0028286B"/>
    <w:rsid w:val="00282B1F"/>
    <w:rsid w:val="002830C1"/>
    <w:rsid w:val="0028323E"/>
    <w:rsid w:val="0028328F"/>
    <w:rsid w:val="00283722"/>
    <w:rsid w:val="0028375C"/>
    <w:rsid w:val="00285A29"/>
    <w:rsid w:val="00285DAD"/>
    <w:rsid w:val="00285F93"/>
    <w:rsid w:val="0028610B"/>
    <w:rsid w:val="00286686"/>
    <w:rsid w:val="00287464"/>
    <w:rsid w:val="00287C38"/>
    <w:rsid w:val="00287C7C"/>
    <w:rsid w:val="00287D21"/>
    <w:rsid w:val="00290968"/>
    <w:rsid w:val="00291609"/>
    <w:rsid w:val="002919F1"/>
    <w:rsid w:val="002921FA"/>
    <w:rsid w:val="002931B9"/>
    <w:rsid w:val="0029332E"/>
    <w:rsid w:val="00295222"/>
    <w:rsid w:val="00296BDB"/>
    <w:rsid w:val="00296C7F"/>
    <w:rsid w:val="002A03C7"/>
    <w:rsid w:val="002A06E4"/>
    <w:rsid w:val="002A0793"/>
    <w:rsid w:val="002A11F5"/>
    <w:rsid w:val="002A3356"/>
    <w:rsid w:val="002A485C"/>
    <w:rsid w:val="002A4AEE"/>
    <w:rsid w:val="002A6102"/>
    <w:rsid w:val="002A7884"/>
    <w:rsid w:val="002B1552"/>
    <w:rsid w:val="002B27D7"/>
    <w:rsid w:val="002B2A61"/>
    <w:rsid w:val="002B417F"/>
    <w:rsid w:val="002B451E"/>
    <w:rsid w:val="002B45C8"/>
    <w:rsid w:val="002B4736"/>
    <w:rsid w:val="002B5DC9"/>
    <w:rsid w:val="002B6031"/>
    <w:rsid w:val="002B67AA"/>
    <w:rsid w:val="002B70C4"/>
    <w:rsid w:val="002B7585"/>
    <w:rsid w:val="002B7CEF"/>
    <w:rsid w:val="002C1BD0"/>
    <w:rsid w:val="002C32AC"/>
    <w:rsid w:val="002C4817"/>
    <w:rsid w:val="002C485A"/>
    <w:rsid w:val="002D0817"/>
    <w:rsid w:val="002D1F04"/>
    <w:rsid w:val="002D2481"/>
    <w:rsid w:val="002D29E7"/>
    <w:rsid w:val="002D2F64"/>
    <w:rsid w:val="002D3822"/>
    <w:rsid w:val="002D5576"/>
    <w:rsid w:val="002D6005"/>
    <w:rsid w:val="002D6143"/>
    <w:rsid w:val="002E01D6"/>
    <w:rsid w:val="002E0C2E"/>
    <w:rsid w:val="002E1556"/>
    <w:rsid w:val="002E1BDB"/>
    <w:rsid w:val="002E3EF0"/>
    <w:rsid w:val="002E49FE"/>
    <w:rsid w:val="002E5518"/>
    <w:rsid w:val="002E6092"/>
    <w:rsid w:val="002E6776"/>
    <w:rsid w:val="002E6C8C"/>
    <w:rsid w:val="002E76CD"/>
    <w:rsid w:val="002E7CF8"/>
    <w:rsid w:val="002E7F1D"/>
    <w:rsid w:val="002F08E8"/>
    <w:rsid w:val="002F1F59"/>
    <w:rsid w:val="002F220A"/>
    <w:rsid w:val="002F251E"/>
    <w:rsid w:val="002F310C"/>
    <w:rsid w:val="002F3B2A"/>
    <w:rsid w:val="002F6C3F"/>
    <w:rsid w:val="002F71FA"/>
    <w:rsid w:val="002F77B8"/>
    <w:rsid w:val="003002CD"/>
    <w:rsid w:val="003006E3"/>
    <w:rsid w:val="00300DF5"/>
    <w:rsid w:val="00301D2C"/>
    <w:rsid w:val="003027BE"/>
    <w:rsid w:val="003044BC"/>
    <w:rsid w:val="00306A45"/>
    <w:rsid w:val="00307ADB"/>
    <w:rsid w:val="00310168"/>
    <w:rsid w:val="00310206"/>
    <w:rsid w:val="00310312"/>
    <w:rsid w:val="00312620"/>
    <w:rsid w:val="00315F6A"/>
    <w:rsid w:val="00316197"/>
    <w:rsid w:val="00316FE7"/>
    <w:rsid w:val="00317322"/>
    <w:rsid w:val="00317657"/>
    <w:rsid w:val="003177A8"/>
    <w:rsid w:val="00317A69"/>
    <w:rsid w:val="00317FCA"/>
    <w:rsid w:val="003202D0"/>
    <w:rsid w:val="00321E56"/>
    <w:rsid w:val="00321EDB"/>
    <w:rsid w:val="00323055"/>
    <w:rsid w:val="00323B8F"/>
    <w:rsid w:val="00324121"/>
    <w:rsid w:val="003254BE"/>
    <w:rsid w:val="0032601F"/>
    <w:rsid w:val="003260C4"/>
    <w:rsid w:val="00330BF0"/>
    <w:rsid w:val="00330F48"/>
    <w:rsid w:val="0033143C"/>
    <w:rsid w:val="003314CD"/>
    <w:rsid w:val="00331F67"/>
    <w:rsid w:val="0033201A"/>
    <w:rsid w:val="00332A11"/>
    <w:rsid w:val="00332A8A"/>
    <w:rsid w:val="00332CD0"/>
    <w:rsid w:val="00333CD3"/>
    <w:rsid w:val="00334317"/>
    <w:rsid w:val="00337142"/>
    <w:rsid w:val="00337A2A"/>
    <w:rsid w:val="00337BD5"/>
    <w:rsid w:val="00337D76"/>
    <w:rsid w:val="003419DD"/>
    <w:rsid w:val="00341F98"/>
    <w:rsid w:val="003421B9"/>
    <w:rsid w:val="00342B27"/>
    <w:rsid w:val="00342D62"/>
    <w:rsid w:val="00343570"/>
    <w:rsid w:val="00343C4C"/>
    <w:rsid w:val="00344318"/>
    <w:rsid w:val="00344C2D"/>
    <w:rsid w:val="003451AA"/>
    <w:rsid w:val="0034649F"/>
    <w:rsid w:val="00346592"/>
    <w:rsid w:val="00346ECE"/>
    <w:rsid w:val="00350CB8"/>
    <w:rsid w:val="00351D45"/>
    <w:rsid w:val="00352895"/>
    <w:rsid w:val="003533EE"/>
    <w:rsid w:val="003533F4"/>
    <w:rsid w:val="003538EA"/>
    <w:rsid w:val="00353DB2"/>
    <w:rsid w:val="00355465"/>
    <w:rsid w:val="0035591B"/>
    <w:rsid w:val="00355AEA"/>
    <w:rsid w:val="0035690A"/>
    <w:rsid w:val="0035724C"/>
    <w:rsid w:val="00357443"/>
    <w:rsid w:val="003576DA"/>
    <w:rsid w:val="003621B7"/>
    <w:rsid w:val="0036247D"/>
    <w:rsid w:val="003633C4"/>
    <w:rsid w:val="003644CB"/>
    <w:rsid w:val="003647FA"/>
    <w:rsid w:val="00364894"/>
    <w:rsid w:val="00364F94"/>
    <w:rsid w:val="00366848"/>
    <w:rsid w:val="00367742"/>
    <w:rsid w:val="00370D4E"/>
    <w:rsid w:val="003717F4"/>
    <w:rsid w:val="003723C4"/>
    <w:rsid w:val="0037244D"/>
    <w:rsid w:val="0037394B"/>
    <w:rsid w:val="003739EA"/>
    <w:rsid w:val="00373A0C"/>
    <w:rsid w:val="003740C2"/>
    <w:rsid w:val="00374616"/>
    <w:rsid w:val="003747E9"/>
    <w:rsid w:val="003755E5"/>
    <w:rsid w:val="00375E40"/>
    <w:rsid w:val="0037676F"/>
    <w:rsid w:val="003768B5"/>
    <w:rsid w:val="0037750F"/>
    <w:rsid w:val="00377623"/>
    <w:rsid w:val="003778D4"/>
    <w:rsid w:val="00377DD1"/>
    <w:rsid w:val="00380599"/>
    <w:rsid w:val="003806D8"/>
    <w:rsid w:val="00380946"/>
    <w:rsid w:val="003811D6"/>
    <w:rsid w:val="003817FB"/>
    <w:rsid w:val="00382BC0"/>
    <w:rsid w:val="003830BB"/>
    <w:rsid w:val="0038359E"/>
    <w:rsid w:val="00384C64"/>
    <w:rsid w:val="003850EA"/>
    <w:rsid w:val="003853FF"/>
    <w:rsid w:val="00392234"/>
    <w:rsid w:val="00392F8C"/>
    <w:rsid w:val="0039304C"/>
    <w:rsid w:val="003931EA"/>
    <w:rsid w:val="003943A4"/>
    <w:rsid w:val="0039454B"/>
    <w:rsid w:val="00395B89"/>
    <w:rsid w:val="00395E4D"/>
    <w:rsid w:val="00395EDD"/>
    <w:rsid w:val="00396F63"/>
    <w:rsid w:val="00396FE9"/>
    <w:rsid w:val="0039736C"/>
    <w:rsid w:val="003975DD"/>
    <w:rsid w:val="00397E3E"/>
    <w:rsid w:val="003A02C5"/>
    <w:rsid w:val="003A0C8E"/>
    <w:rsid w:val="003A1008"/>
    <w:rsid w:val="003A520F"/>
    <w:rsid w:val="003A5AC4"/>
    <w:rsid w:val="003B08C7"/>
    <w:rsid w:val="003B0D0D"/>
    <w:rsid w:val="003B0D1E"/>
    <w:rsid w:val="003B1712"/>
    <w:rsid w:val="003B192C"/>
    <w:rsid w:val="003B3311"/>
    <w:rsid w:val="003B408E"/>
    <w:rsid w:val="003B5257"/>
    <w:rsid w:val="003B5FC7"/>
    <w:rsid w:val="003B6162"/>
    <w:rsid w:val="003B6B79"/>
    <w:rsid w:val="003B6BA2"/>
    <w:rsid w:val="003B73C5"/>
    <w:rsid w:val="003C0E53"/>
    <w:rsid w:val="003C1025"/>
    <w:rsid w:val="003C2D7E"/>
    <w:rsid w:val="003C34B2"/>
    <w:rsid w:val="003C4205"/>
    <w:rsid w:val="003C63D3"/>
    <w:rsid w:val="003C7A3C"/>
    <w:rsid w:val="003D01F2"/>
    <w:rsid w:val="003D020F"/>
    <w:rsid w:val="003D2690"/>
    <w:rsid w:val="003D2BBF"/>
    <w:rsid w:val="003D34EA"/>
    <w:rsid w:val="003D38D9"/>
    <w:rsid w:val="003D39D6"/>
    <w:rsid w:val="003D5E3F"/>
    <w:rsid w:val="003D7171"/>
    <w:rsid w:val="003E01A8"/>
    <w:rsid w:val="003E1138"/>
    <w:rsid w:val="003E33DB"/>
    <w:rsid w:val="003E36C6"/>
    <w:rsid w:val="003E3AC2"/>
    <w:rsid w:val="003E515C"/>
    <w:rsid w:val="003E5169"/>
    <w:rsid w:val="003E5DFF"/>
    <w:rsid w:val="003E6951"/>
    <w:rsid w:val="003F05BB"/>
    <w:rsid w:val="003F13F1"/>
    <w:rsid w:val="003F1E0C"/>
    <w:rsid w:val="003F2521"/>
    <w:rsid w:val="003F2617"/>
    <w:rsid w:val="003F3065"/>
    <w:rsid w:val="003F3189"/>
    <w:rsid w:val="003F3275"/>
    <w:rsid w:val="003F349D"/>
    <w:rsid w:val="003F3ACB"/>
    <w:rsid w:val="003F3B27"/>
    <w:rsid w:val="003F3D01"/>
    <w:rsid w:val="003F3F2E"/>
    <w:rsid w:val="003F4D80"/>
    <w:rsid w:val="003F5F75"/>
    <w:rsid w:val="003F62BF"/>
    <w:rsid w:val="003F7E1C"/>
    <w:rsid w:val="00400CFD"/>
    <w:rsid w:val="00400EE4"/>
    <w:rsid w:val="00402A2E"/>
    <w:rsid w:val="00402BA0"/>
    <w:rsid w:val="004035A2"/>
    <w:rsid w:val="00403768"/>
    <w:rsid w:val="004038AD"/>
    <w:rsid w:val="00403C94"/>
    <w:rsid w:val="00403FBE"/>
    <w:rsid w:val="00405D1E"/>
    <w:rsid w:val="004069D3"/>
    <w:rsid w:val="00407D8C"/>
    <w:rsid w:val="00410079"/>
    <w:rsid w:val="00411CE0"/>
    <w:rsid w:val="004122AB"/>
    <w:rsid w:val="00412BC0"/>
    <w:rsid w:val="004153A0"/>
    <w:rsid w:val="00416BA2"/>
    <w:rsid w:val="0041768A"/>
    <w:rsid w:val="004176E8"/>
    <w:rsid w:val="00421D11"/>
    <w:rsid w:val="00422209"/>
    <w:rsid w:val="00422772"/>
    <w:rsid w:val="00422820"/>
    <w:rsid w:val="00425595"/>
    <w:rsid w:val="004259D0"/>
    <w:rsid w:val="004268DC"/>
    <w:rsid w:val="00430C89"/>
    <w:rsid w:val="00430DCB"/>
    <w:rsid w:val="00431735"/>
    <w:rsid w:val="00432D05"/>
    <w:rsid w:val="00434A62"/>
    <w:rsid w:val="004366D1"/>
    <w:rsid w:val="004378C0"/>
    <w:rsid w:val="00440224"/>
    <w:rsid w:val="004407F6"/>
    <w:rsid w:val="00443794"/>
    <w:rsid w:val="0044576B"/>
    <w:rsid w:val="0044596B"/>
    <w:rsid w:val="0044617F"/>
    <w:rsid w:val="00446298"/>
    <w:rsid w:val="004466CC"/>
    <w:rsid w:val="00447CE2"/>
    <w:rsid w:val="00450502"/>
    <w:rsid w:val="00450B82"/>
    <w:rsid w:val="0045104C"/>
    <w:rsid w:val="00451595"/>
    <w:rsid w:val="0045188A"/>
    <w:rsid w:val="00452E51"/>
    <w:rsid w:val="0045490B"/>
    <w:rsid w:val="00454A01"/>
    <w:rsid w:val="00455B50"/>
    <w:rsid w:val="00456686"/>
    <w:rsid w:val="004571C9"/>
    <w:rsid w:val="00457F02"/>
    <w:rsid w:val="004600AF"/>
    <w:rsid w:val="004600CA"/>
    <w:rsid w:val="004601F3"/>
    <w:rsid w:val="00460C13"/>
    <w:rsid w:val="0046108B"/>
    <w:rsid w:val="00461214"/>
    <w:rsid w:val="00461C50"/>
    <w:rsid w:val="00462343"/>
    <w:rsid w:val="0046250B"/>
    <w:rsid w:val="0046395D"/>
    <w:rsid w:val="00464704"/>
    <w:rsid w:val="00464B4E"/>
    <w:rsid w:val="00466B6D"/>
    <w:rsid w:val="004673DD"/>
    <w:rsid w:val="00470116"/>
    <w:rsid w:val="00470555"/>
    <w:rsid w:val="0047096B"/>
    <w:rsid w:val="0047163E"/>
    <w:rsid w:val="00471C82"/>
    <w:rsid w:val="00472176"/>
    <w:rsid w:val="00472516"/>
    <w:rsid w:val="00473040"/>
    <w:rsid w:val="00473950"/>
    <w:rsid w:val="00474773"/>
    <w:rsid w:val="00475BB7"/>
    <w:rsid w:val="00476472"/>
    <w:rsid w:val="00476D04"/>
    <w:rsid w:val="00477710"/>
    <w:rsid w:val="0048021C"/>
    <w:rsid w:val="00480C8C"/>
    <w:rsid w:val="00482719"/>
    <w:rsid w:val="00482FCE"/>
    <w:rsid w:val="004847DC"/>
    <w:rsid w:val="00484C32"/>
    <w:rsid w:val="00484C96"/>
    <w:rsid w:val="00484E26"/>
    <w:rsid w:val="00485058"/>
    <w:rsid w:val="0048524F"/>
    <w:rsid w:val="00485CB9"/>
    <w:rsid w:val="004869F5"/>
    <w:rsid w:val="00486B48"/>
    <w:rsid w:val="004871C5"/>
    <w:rsid w:val="004871C9"/>
    <w:rsid w:val="004875F1"/>
    <w:rsid w:val="004877C4"/>
    <w:rsid w:val="00492B87"/>
    <w:rsid w:val="004935CB"/>
    <w:rsid w:val="00493C54"/>
    <w:rsid w:val="00494031"/>
    <w:rsid w:val="00494E64"/>
    <w:rsid w:val="00494F74"/>
    <w:rsid w:val="0049529A"/>
    <w:rsid w:val="00495B12"/>
    <w:rsid w:val="00496786"/>
    <w:rsid w:val="0049679F"/>
    <w:rsid w:val="004A09AE"/>
    <w:rsid w:val="004A106E"/>
    <w:rsid w:val="004A124F"/>
    <w:rsid w:val="004A13C2"/>
    <w:rsid w:val="004A16CF"/>
    <w:rsid w:val="004A19AF"/>
    <w:rsid w:val="004A1DFC"/>
    <w:rsid w:val="004A2414"/>
    <w:rsid w:val="004A291C"/>
    <w:rsid w:val="004A3A44"/>
    <w:rsid w:val="004A4302"/>
    <w:rsid w:val="004A4DF8"/>
    <w:rsid w:val="004A4FFE"/>
    <w:rsid w:val="004A6577"/>
    <w:rsid w:val="004A69D9"/>
    <w:rsid w:val="004A7370"/>
    <w:rsid w:val="004A76A6"/>
    <w:rsid w:val="004A7C22"/>
    <w:rsid w:val="004B015A"/>
    <w:rsid w:val="004B154A"/>
    <w:rsid w:val="004B28D9"/>
    <w:rsid w:val="004B2D2F"/>
    <w:rsid w:val="004B346D"/>
    <w:rsid w:val="004B3D4F"/>
    <w:rsid w:val="004B4323"/>
    <w:rsid w:val="004B4BDB"/>
    <w:rsid w:val="004B5926"/>
    <w:rsid w:val="004B628E"/>
    <w:rsid w:val="004B70B7"/>
    <w:rsid w:val="004B7D60"/>
    <w:rsid w:val="004C1C9F"/>
    <w:rsid w:val="004C28FC"/>
    <w:rsid w:val="004C3422"/>
    <w:rsid w:val="004C4670"/>
    <w:rsid w:val="004C47A6"/>
    <w:rsid w:val="004C5393"/>
    <w:rsid w:val="004C560E"/>
    <w:rsid w:val="004C6057"/>
    <w:rsid w:val="004C739B"/>
    <w:rsid w:val="004C73F1"/>
    <w:rsid w:val="004C7DA4"/>
    <w:rsid w:val="004C7FD2"/>
    <w:rsid w:val="004D14BF"/>
    <w:rsid w:val="004D2CE3"/>
    <w:rsid w:val="004D5006"/>
    <w:rsid w:val="004D5FE5"/>
    <w:rsid w:val="004D6D69"/>
    <w:rsid w:val="004E0D1D"/>
    <w:rsid w:val="004E12C4"/>
    <w:rsid w:val="004E277F"/>
    <w:rsid w:val="004E3569"/>
    <w:rsid w:val="004E4903"/>
    <w:rsid w:val="004E4D7A"/>
    <w:rsid w:val="004E4F7E"/>
    <w:rsid w:val="004E524D"/>
    <w:rsid w:val="004E607E"/>
    <w:rsid w:val="004E61B4"/>
    <w:rsid w:val="004E6801"/>
    <w:rsid w:val="004E6BDC"/>
    <w:rsid w:val="004E6DA0"/>
    <w:rsid w:val="004F10DA"/>
    <w:rsid w:val="004F187B"/>
    <w:rsid w:val="004F1A6B"/>
    <w:rsid w:val="004F1B17"/>
    <w:rsid w:val="004F1D98"/>
    <w:rsid w:val="004F50FD"/>
    <w:rsid w:val="004F52E0"/>
    <w:rsid w:val="004F530D"/>
    <w:rsid w:val="004F6565"/>
    <w:rsid w:val="00500172"/>
    <w:rsid w:val="005015B7"/>
    <w:rsid w:val="005020AE"/>
    <w:rsid w:val="005023DA"/>
    <w:rsid w:val="00503230"/>
    <w:rsid w:val="00503CDC"/>
    <w:rsid w:val="005056F6"/>
    <w:rsid w:val="005056FF"/>
    <w:rsid w:val="00505704"/>
    <w:rsid w:val="0050583A"/>
    <w:rsid w:val="00506055"/>
    <w:rsid w:val="005064A2"/>
    <w:rsid w:val="00506D63"/>
    <w:rsid w:val="00507E97"/>
    <w:rsid w:val="005100FB"/>
    <w:rsid w:val="00510142"/>
    <w:rsid w:val="005103FD"/>
    <w:rsid w:val="00510C46"/>
    <w:rsid w:val="0051393C"/>
    <w:rsid w:val="005146F6"/>
    <w:rsid w:val="00514FC7"/>
    <w:rsid w:val="00515F6B"/>
    <w:rsid w:val="00517B5F"/>
    <w:rsid w:val="005212A2"/>
    <w:rsid w:val="00521B1E"/>
    <w:rsid w:val="00521C9C"/>
    <w:rsid w:val="00522176"/>
    <w:rsid w:val="00522EF7"/>
    <w:rsid w:val="00523F50"/>
    <w:rsid w:val="00524F11"/>
    <w:rsid w:val="005253B1"/>
    <w:rsid w:val="00525CEA"/>
    <w:rsid w:val="00527540"/>
    <w:rsid w:val="00527BCB"/>
    <w:rsid w:val="00527E9A"/>
    <w:rsid w:val="005305B8"/>
    <w:rsid w:val="005319AC"/>
    <w:rsid w:val="00531FB2"/>
    <w:rsid w:val="00532DCE"/>
    <w:rsid w:val="0053315E"/>
    <w:rsid w:val="0053327B"/>
    <w:rsid w:val="00533591"/>
    <w:rsid w:val="00533BCF"/>
    <w:rsid w:val="005345A7"/>
    <w:rsid w:val="00534726"/>
    <w:rsid w:val="00535693"/>
    <w:rsid w:val="00536BE0"/>
    <w:rsid w:val="00537746"/>
    <w:rsid w:val="00543374"/>
    <w:rsid w:val="005438BD"/>
    <w:rsid w:val="00543A4A"/>
    <w:rsid w:val="005445BF"/>
    <w:rsid w:val="00545AAB"/>
    <w:rsid w:val="00546E8C"/>
    <w:rsid w:val="00546FD1"/>
    <w:rsid w:val="00547BA9"/>
    <w:rsid w:val="005506A7"/>
    <w:rsid w:val="00551837"/>
    <w:rsid w:val="005529BA"/>
    <w:rsid w:val="00554653"/>
    <w:rsid w:val="00556649"/>
    <w:rsid w:val="005566EB"/>
    <w:rsid w:val="00556FC4"/>
    <w:rsid w:val="0055748B"/>
    <w:rsid w:val="00557510"/>
    <w:rsid w:val="00557A45"/>
    <w:rsid w:val="00560087"/>
    <w:rsid w:val="00560702"/>
    <w:rsid w:val="0056154C"/>
    <w:rsid w:val="00561B42"/>
    <w:rsid w:val="00562DF0"/>
    <w:rsid w:val="005630CE"/>
    <w:rsid w:val="00563823"/>
    <w:rsid w:val="00563B6A"/>
    <w:rsid w:val="00564163"/>
    <w:rsid w:val="00564531"/>
    <w:rsid w:val="00564D0D"/>
    <w:rsid w:val="005650B1"/>
    <w:rsid w:val="005657C8"/>
    <w:rsid w:val="0056581F"/>
    <w:rsid w:val="00565E16"/>
    <w:rsid w:val="00566931"/>
    <w:rsid w:val="00567AEA"/>
    <w:rsid w:val="00570410"/>
    <w:rsid w:val="0057101F"/>
    <w:rsid w:val="00571550"/>
    <w:rsid w:val="005717E4"/>
    <w:rsid w:val="00573AD6"/>
    <w:rsid w:val="00573EAF"/>
    <w:rsid w:val="00574E17"/>
    <w:rsid w:val="005757EF"/>
    <w:rsid w:val="00576E92"/>
    <w:rsid w:val="00580067"/>
    <w:rsid w:val="00580B0D"/>
    <w:rsid w:val="00581A17"/>
    <w:rsid w:val="00581AA7"/>
    <w:rsid w:val="00582332"/>
    <w:rsid w:val="00583F25"/>
    <w:rsid w:val="00584249"/>
    <w:rsid w:val="005856C0"/>
    <w:rsid w:val="005860EA"/>
    <w:rsid w:val="00586C8D"/>
    <w:rsid w:val="005872D2"/>
    <w:rsid w:val="00590F11"/>
    <w:rsid w:val="00591CCA"/>
    <w:rsid w:val="0059233A"/>
    <w:rsid w:val="00594A3F"/>
    <w:rsid w:val="00594EA5"/>
    <w:rsid w:val="00595D4E"/>
    <w:rsid w:val="005960EC"/>
    <w:rsid w:val="00596289"/>
    <w:rsid w:val="00596559"/>
    <w:rsid w:val="0059783F"/>
    <w:rsid w:val="005A1326"/>
    <w:rsid w:val="005A1CFD"/>
    <w:rsid w:val="005A2721"/>
    <w:rsid w:val="005A34A3"/>
    <w:rsid w:val="005A4D91"/>
    <w:rsid w:val="005A57D3"/>
    <w:rsid w:val="005A74A2"/>
    <w:rsid w:val="005B0325"/>
    <w:rsid w:val="005B0F4C"/>
    <w:rsid w:val="005B114D"/>
    <w:rsid w:val="005B15E4"/>
    <w:rsid w:val="005B16E1"/>
    <w:rsid w:val="005B23BE"/>
    <w:rsid w:val="005B3DBA"/>
    <w:rsid w:val="005B41DF"/>
    <w:rsid w:val="005B4B5E"/>
    <w:rsid w:val="005B7705"/>
    <w:rsid w:val="005C0D0C"/>
    <w:rsid w:val="005C11B0"/>
    <w:rsid w:val="005C1B0B"/>
    <w:rsid w:val="005C35BF"/>
    <w:rsid w:val="005C45EB"/>
    <w:rsid w:val="005C48D0"/>
    <w:rsid w:val="005C51C5"/>
    <w:rsid w:val="005C5431"/>
    <w:rsid w:val="005C59B2"/>
    <w:rsid w:val="005C65B2"/>
    <w:rsid w:val="005C7153"/>
    <w:rsid w:val="005D11E1"/>
    <w:rsid w:val="005D19A3"/>
    <w:rsid w:val="005D3EAB"/>
    <w:rsid w:val="005D45F3"/>
    <w:rsid w:val="005D5189"/>
    <w:rsid w:val="005D62F0"/>
    <w:rsid w:val="005D7269"/>
    <w:rsid w:val="005E02B0"/>
    <w:rsid w:val="005E165E"/>
    <w:rsid w:val="005E2C6D"/>
    <w:rsid w:val="005E4026"/>
    <w:rsid w:val="005E40D2"/>
    <w:rsid w:val="005E5A94"/>
    <w:rsid w:val="005E6598"/>
    <w:rsid w:val="005E6683"/>
    <w:rsid w:val="005E72A1"/>
    <w:rsid w:val="005E7C28"/>
    <w:rsid w:val="005E7D0C"/>
    <w:rsid w:val="005F1426"/>
    <w:rsid w:val="005F14AA"/>
    <w:rsid w:val="005F30C7"/>
    <w:rsid w:val="005F32C8"/>
    <w:rsid w:val="005F3440"/>
    <w:rsid w:val="005F3781"/>
    <w:rsid w:val="005F5EEC"/>
    <w:rsid w:val="005F5FFB"/>
    <w:rsid w:val="005F6FA8"/>
    <w:rsid w:val="005F7026"/>
    <w:rsid w:val="005F7FC9"/>
    <w:rsid w:val="00600485"/>
    <w:rsid w:val="0060073F"/>
    <w:rsid w:val="00601445"/>
    <w:rsid w:val="006014C9"/>
    <w:rsid w:val="00601E6F"/>
    <w:rsid w:val="0060252E"/>
    <w:rsid w:val="006035EB"/>
    <w:rsid w:val="0060404C"/>
    <w:rsid w:val="00605B33"/>
    <w:rsid w:val="00605BC3"/>
    <w:rsid w:val="00605DCE"/>
    <w:rsid w:val="006066EB"/>
    <w:rsid w:val="00606F2C"/>
    <w:rsid w:val="00607004"/>
    <w:rsid w:val="006114EE"/>
    <w:rsid w:val="00614223"/>
    <w:rsid w:val="0061531F"/>
    <w:rsid w:val="006160AA"/>
    <w:rsid w:val="00616AE6"/>
    <w:rsid w:val="00617444"/>
    <w:rsid w:val="00620914"/>
    <w:rsid w:val="0062199A"/>
    <w:rsid w:val="00622644"/>
    <w:rsid w:val="00624ACE"/>
    <w:rsid w:val="006253AE"/>
    <w:rsid w:val="00625F48"/>
    <w:rsid w:val="00627957"/>
    <w:rsid w:val="00630D7C"/>
    <w:rsid w:val="00630EA6"/>
    <w:rsid w:val="006311E6"/>
    <w:rsid w:val="00631D6F"/>
    <w:rsid w:val="00632B6A"/>
    <w:rsid w:val="00633047"/>
    <w:rsid w:val="00633B57"/>
    <w:rsid w:val="00633E59"/>
    <w:rsid w:val="00634A3D"/>
    <w:rsid w:val="00635D7A"/>
    <w:rsid w:val="00636522"/>
    <w:rsid w:val="00636CF1"/>
    <w:rsid w:val="0064024D"/>
    <w:rsid w:val="00642027"/>
    <w:rsid w:val="0064272F"/>
    <w:rsid w:val="00643487"/>
    <w:rsid w:val="0064531A"/>
    <w:rsid w:val="00645322"/>
    <w:rsid w:val="00645589"/>
    <w:rsid w:val="006464B9"/>
    <w:rsid w:val="006465F7"/>
    <w:rsid w:val="00647648"/>
    <w:rsid w:val="006476AB"/>
    <w:rsid w:val="0065041D"/>
    <w:rsid w:val="00651A37"/>
    <w:rsid w:val="006524E1"/>
    <w:rsid w:val="0065486A"/>
    <w:rsid w:val="00655B29"/>
    <w:rsid w:val="0065749A"/>
    <w:rsid w:val="0066111B"/>
    <w:rsid w:val="00661628"/>
    <w:rsid w:val="00662331"/>
    <w:rsid w:val="00665387"/>
    <w:rsid w:val="0066680E"/>
    <w:rsid w:val="00667200"/>
    <w:rsid w:val="00667996"/>
    <w:rsid w:val="00670E76"/>
    <w:rsid w:val="00671871"/>
    <w:rsid w:val="006719F0"/>
    <w:rsid w:val="00673592"/>
    <w:rsid w:val="0067484A"/>
    <w:rsid w:val="006753BE"/>
    <w:rsid w:val="00675A27"/>
    <w:rsid w:val="00677075"/>
    <w:rsid w:val="006773A0"/>
    <w:rsid w:val="00680924"/>
    <w:rsid w:val="00681194"/>
    <w:rsid w:val="0068200F"/>
    <w:rsid w:val="00684706"/>
    <w:rsid w:val="00686208"/>
    <w:rsid w:val="0068644F"/>
    <w:rsid w:val="00687873"/>
    <w:rsid w:val="00687B2B"/>
    <w:rsid w:val="00687F1A"/>
    <w:rsid w:val="00690654"/>
    <w:rsid w:val="00692690"/>
    <w:rsid w:val="00693233"/>
    <w:rsid w:val="006951F6"/>
    <w:rsid w:val="00695629"/>
    <w:rsid w:val="00695656"/>
    <w:rsid w:val="006956C2"/>
    <w:rsid w:val="006958C1"/>
    <w:rsid w:val="006966CD"/>
    <w:rsid w:val="006967D9"/>
    <w:rsid w:val="006970EF"/>
    <w:rsid w:val="00697B51"/>
    <w:rsid w:val="006A06D2"/>
    <w:rsid w:val="006A21EB"/>
    <w:rsid w:val="006A35E1"/>
    <w:rsid w:val="006A43DD"/>
    <w:rsid w:val="006A6ABD"/>
    <w:rsid w:val="006A789F"/>
    <w:rsid w:val="006B12AB"/>
    <w:rsid w:val="006B3ED8"/>
    <w:rsid w:val="006B47A4"/>
    <w:rsid w:val="006B4DF1"/>
    <w:rsid w:val="006B5BC1"/>
    <w:rsid w:val="006B5BD5"/>
    <w:rsid w:val="006B63A8"/>
    <w:rsid w:val="006B7D80"/>
    <w:rsid w:val="006C1077"/>
    <w:rsid w:val="006C1477"/>
    <w:rsid w:val="006C273C"/>
    <w:rsid w:val="006C31B1"/>
    <w:rsid w:val="006C5418"/>
    <w:rsid w:val="006C5745"/>
    <w:rsid w:val="006C69AD"/>
    <w:rsid w:val="006C73CB"/>
    <w:rsid w:val="006C751A"/>
    <w:rsid w:val="006C770E"/>
    <w:rsid w:val="006C7DD6"/>
    <w:rsid w:val="006C7F10"/>
    <w:rsid w:val="006D1DC6"/>
    <w:rsid w:val="006D2D7D"/>
    <w:rsid w:val="006D35E9"/>
    <w:rsid w:val="006D4831"/>
    <w:rsid w:val="006E02C2"/>
    <w:rsid w:val="006E145C"/>
    <w:rsid w:val="006E435C"/>
    <w:rsid w:val="006E43FE"/>
    <w:rsid w:val="006E4ACC"/>
    <w:rsid w:val="006E4AFC"/>
    <w:rsid w:val="006E7B0A"/>
    <w:rsid w:val="006E7CE1"/>
    <w:rsid w:val="006E7D25"/>
    <w:rsid w:val="006F01BE"/>
    <w:rsid w:val="006F0FED"/>
    <w:rsid w:val="006F1218"/>
    <w:rsid w:val="006F1657"/>
    <w:rsid w:val="006F47B2"/>
    <w:rsid w:val="006F4938"/>
    <w:rsid w:val="006F4CA7"/>
    <w:rsid w:val="006F5055"/>
    <w:rsid w:val="006F5518"/>
    <w:rsid w:val="006F57C5"/>
    <w:rsid w:val="006F764E"/>
    <w:rsid w:val="007000FE"/>
    <w:rsid w:val="00700448"/>
    <w:rsid w:val="007035AE"/>
    <w:rsid w:val="007035E7"/>
    <w:rsid w:val="00703912"/>
    <w:rsid w:val="00703B8F"/>
    <w:rsid w:val="007058A6"/>
    <w:rsid w:val="00706EA3"/>
    <w:rsid w:val="00707538"/>
    <w:rsid w:val="00713340"/>
    <w:rsid w:val="00713889"/>
    <w:rsid w:val="007138E7"/>
    <w:rsid w:val="00714600"/>
    <w:rsid w:val="007151C1"/>
    <w:rsid w:val="007154A4"/>
    <w:rsid w:val="0071568A"/>
    <w:rsid w:val="00720115"/>
    <w:rsid w:val="00720A74"/>
    <w:rsid w:val="00721063"/>
    <w:rsid w:val="00721654"/>
    <w:rsid w:val="00721812"/>
    <w:rsid w:val="00721883"/>
    <w:rsid w:val="00722A11"/>
    <w:rsid w:val="00725338"/>
    <w:rsid w:val="0072669E"/>
    <w:rsid w:val="00727888"/>
    <w:rsid w:val="00730682"/>
    <w:rsid w:val="007319A3"/>
    <w:rsid w:val="00737855"/>
    <w:rsid w:val="0073792D"/>
    <w:rsid w:val="00737BBF"/>
    <w:rsid w:val="007411D4"/>
    <w:rsid w:val="00742DDE"/>
    <w:rsid w:val="007436D3"/>
    <w:rsid w:val="00743803"/>
    <w:rsid w:val="00743CCC"/>
    <w:rsid w:val="00744F35"/>
    <w:rsid w:val="007451E3"/>
    <w:rsid w:val="00745389"/>
    <w:rsid w:val="0074563E"/>
    <w:rsid w:val="00747176"/>
    <w:rsid w:val="0074795E"/>
    <w:rsid w:val="007501BA"/>
    <w:rsid w:val="00750330"/>
    <w:rsid w:val="007530DC"/>
    <w:rsid w:val="007545BD"/>
    <w:rsid w:val="00755301"/>
    <w:rsid w:val="00756CDF"/>
    <w:rsid w:val="00760002"/>
    <w:rsid w:val="00760793"/>
    <w:rsid w:val="00760AF7"/>
    <w:rsid w:val="00761A36"/>
    <w:rsid w:val="0076209C"/>
    <w:rsid w:val="00762B48"/>
    <w:rsid w:val="00762BF3"/>
    <w:rsid w:val="00764567"/>
    <w:rsid w:val="0076677B"/>
    <w:rsid w:val="007670A7"/>
    <w:rsid w:val="007677A0"/>
    <w:rsid w:val="00767F67"/>
    <w:rsid w:val="00770941"/>
    <w:rsid w:val="00771399"/>
    <w:rsid w:val="007756E8"/>
    <w:rsid w:val="00776058"/>
    <w:rsid w:val="00777C2A"/>
    <w:rsid w:val="00780070"/>
    <w:rsid w:val="007807A4"/>
    <w:rsid w:val="007807F5"/>
    <w:rsid w:val="007845E2"/>
    <w:rsid w:val="007861E7"/>
    <w:rsid w:val="00786664"/>
    <w:rsid w:val="00786C28"/>
    <w:rsid w:val="00790E72"/>
    <w:rsid w:val="007914A0"/>
    <w:rsid w:val="007943A6"/>
    <w:rsid w:val="0079459E"/>
    <w:rsid w:val="00794C0D"/>
    <w:rsid w:val="007952E6"/>
    <w:rsid w:val="00796469"/>
    <w:rsid w:val="00797521"/>
    <w:rsid w:val="007977A1"/>
    <w:rsid w:val="00797BF4"/>
    <w:rsid w:val="00797D54"/>
    <w:rsid w:val="007A0A90"/>
    <w:rsid w:val="007A1465"/>
    <w:rsid w:val="007A2252"/>
    <w:rsid w:val="007A4669"/>
    <w:rsid w:val="007A5C11"/>
    <w:rsid w:val="007A63F2"/>
    <w:rsid w:val="007A66CF"/>
    <w:rsid w:val="007A71AA"/>
    <w:rsid w:val="007A7249"/>
    <w:rsid w:val="007A7890"/>
    <w:rsid w:val="007A79A4"/>
    <w:rsid w:val="007A7E28"/>
    <w:rsid w:val="007B0CDB"/>
    <w:rsid w:val="007B1210"/>
    <w:rsid w:val="007B3ED2"/>
    <w:rsid w:val="007B501C"/>
    <w:rsid w:val="007B5744"/>
    <w:rsid w:val="007B71C1"/>
    <w:rsid w:val="007C10B2"/>
    <w:rsid w:val="007C2AD3"/>
    <w:rsid w:val="007C2DA2"/>
    <w:rsid w:val="007C3029"/>
    <w:rsid w:val="007C41D2"/>
    <w:rsid w:val="007C5B60"/>
    <w:rsid w:val="007C6A06"/>
    <w:rsid w:val="007C6EE5"/>
    <w:rsid w:val="007C70CF"/>
    <w:rsid w:val="007C7547"/>
    <w:rsid w:val="007C792C"/>
    <w:rsid w:val="007D02DE"/>
    <w:rsid w:val="007D05ED"/>
    <w:rsid w:val="007D0E24"/>
    <w:rsid w:val="007D1945"/>
    <w:rsid w:val="007D26C6"/>
    <w:rsid w:val="007D29E4"/>
    <w:rsid w:val="007D2CE6"/>
    <w:rsid w:val="007D2E72"/>
    <w:rsid w:val="007D440A"/>
    <w:rsid w:val="007D53C8"/>
    <w:rsid w:val="007D6479"/>
    <w:rsid w:val="007D683C"/>
    <w:rsid w:val="007D69E3"/>
    <w:rsid w:val="007D75BA"/>
    <w:rsid w:val="007D7CB4"/>
    <w:rsid w:val="007E1465"/>
    <w:rsid w:val="007E1839"/>
    <w:rsid w:val="007E1930"/>
    <w:rsid w:val="007E19B2"/>
    <w:rsid w:val="007E4CED"/>
    <w:rsid w:val="007E5DEA"/>
    <w:rsid w:val="007E611D"/>
    <w:rsid w:val="007E7323"/>
    <w:rsid w:val="007F0CB4"/>
    <w:rsid w:val="007F10B5"/>
    <w:rsid w:val="007F2C0D"/>
    <w:rsid w:val="007F519A"/>
    <w:rsid w:val="007F68BF"/>
    <w:rsid w:val="007F7986"/>
    <w:rsid w:val="00800027"/>
    <w:rsid w:val="0080008B"/>
    <w:rsid w:val="008008A2"/>
    <w:rsid w:val="00801CE6"/>
    <w:rsid w:val="0080204F"/>
    <w:rsid w:val="00802D43"/>
    <w:rsid w:val="0080342D"/>
    <w:rsid w:val="008038EB"/>
    <w:rsid w:val="00803D1F"/>
    <w:rsid w:val="008046D3"/>
    <w:rsid w:val="008064A4"/>
    <w:rsid w:val="008073BC"/>
    <w:rsid w:val="00810C34"/>
    <w:rsid w:val="00810FFF"/>
    <w:rsid w:val="008112D7"/>
    <w:rsid w:val="008118C0"/>
    <w:rsid w:val="00811A61"/>
    <w:rsid w:val="00811E11"/>
    <w:rsid w:val="00812B8C"/>
    <w:rsid w:val="00812F8F"/>
    <w:rsid w:val="008131B6"/>
    <w:rsid w:val="008133C5"/>
    <w:rsid w:val="008137B1"/>
    <w:rsid w:val="00813A10"/>
    <w:rsid w:val="00813C70"/>
    <w:rsid w:val="00813F74"/>
    <w:rsid w:val="00815234"/>
    <w:rsid w:val="0081527E"/>
    <w:rsid w:val="008157BC"/>
    <w:rsid w:val="00815AED"/>
    <w:rsid w:val="00815CA2"/>
    <w:rsid w:val="008220AC"/>
    <w:rsid w:val="00822EAD"/>
    <w:rsid w:val="00823601"/>
    <w:rsid w:val="00823C02"/>
    <w:rsid w:val="00825AC9"/>
    <w:rsid w:val="008265CD"/>
    <w:rsid w:val="00827794"/>
    <w:rsid w:val="00827799"/>
    <w:rsid w:val="0082790F"/>
    <w:rsid w:val="00827C1C"/>
    <w:rsid w:val="00827ED9"/>
    <w:rsid w:val="008306AB"/>
    <w:rsid w:val="00831B25"/>
    <w:rsid w:val="00831CAD"/>
    <w:rsid w:val="00832C34"/>
    <w:rsid w:val="00833F04"/>
    <w:rsid w:val="0083665E"/>
    <w:rsid w:val="0083684C"/>
    <w:rsid w:val="0083707D"/>
    <w:rsid w:val="00837B9D"/>
    <w:rsid w:val="008417B7"/>
    <w:rsid w:val="00841EE8"/>
    <w:rsid w:val="00844073"/>
    <w:rsid w:val="00844B38"/>
    <w:rsid w:val="00850F99"/>
    <w:rsid w:val="008514DB"/>
    <w:rsid w:val="0085154A"/>
    <w:rsid w:val="0085183E"/>
    <w:rsid w:val="00852F72"/>
    <w:rsid w:val="0085328D"/>
    <w:rsid w:val="0085361B"/>
    <w:rsid w:val="0085458A"/>
    <w:rsid w:val="00854FC5"/>
    <w:rsid w:val="00854FDF"/>
    <w:rsid w:val="0085644A"/>
    <w:rsid w:val="008566E7"/>
    <w:rsid w:val="00856B09"/>
    <w:rsid w:val="00856E95"/>
    <w:rsid w:val="00857456"/>
    <w:rsid w:val="0086029D"/>
    <w:rsid w:val="00861427"/>
    <w:rsid w:val="00862777"/>
    <w:rsid w:val="008629D5"/>
    <w:rsid w:val="008641BF"/>
    <w:rsid w:val="00864261"/>
    <w:rsid w:val="00864C65"/>
    <w:rsid w:val="00866C45"/>
    <w:rsid w:val="00866F8A"/>
    <w:rsid w:val="008679A5"/>
    <w:rsid w:val="00867A14"/>
    <w:rsid w:val="00870299"/>
    <w:rsid w:val="008703A9"/>
    <w:rsid w:val="00870B60"/>
    <w:rsid w:val="008716BF"/>
    <w:rsid w:val="008716C3"/>
    <w:rsid w:val="00871864"/>
    <w:rsid w:val="00871A73"/>
    <w:rsid w:val="00871F94"/>
    <w:rsid w:val="00872701"/>
    <w:rsid w:val="00872843"/>
    <w:rsid w:val="00873019"/>
    <w:rsid w:val="008742B9"/>
    <w:rsid w:val="008748C1"/>
    <w:rsid w:val="0087527C"/>
    <w:rsid w:val="00875DC1"/>
    <w:rsid w:val="008763A7"/>
    <w:rsid w:val="00876F41"/>
    <w:rsid w:val="008773F8"/>
    <w:rsid w:val="00877D27"/>
    <w:rsid w:val="00880605"/>
    <w:rsid w:val="00880D00"/>
    <w:rsid w:val="00880E4D"/>
    <w:rsid w:val="00880E97"/>
    <w:rsid w:val="00883FBC"/>
    <w:rsid w:val="008842CD"/>
    <w:rsid w:val="00884787"/>
    <w:rsid w:val="00884CAC"/>
    <w:rsid w:val="00884FC0"/>
    <w:rsid w:val="00885045"/>
    <w:rsid w:val="00885DBD"/>
    <w:rsid w:val="00886817"/>
    <w:rsid w:val="008869A5"/>
    <w:rsid w:val="008869FD"/>
    <w:rsid w:val="00886E8C"/>
    <w:rsid w:val="00891B48"/>
    <w:rsid w:val="00891BE3"/>
    <w:rsid w:val="00891ED3"/>
    <w:rsid w:val="00892CC8"/>
    <w:rsid w:val="00893F27"/>
    <w:rsid w:val="00894FDF"/>
    <w:rsid w:val="00895F44"/>
    <w:rsid w:val="00896050"/>
    <w:rsid w:val="00896109"/>
    <w:rsid w:val="00896B0A"/>
    <w:rsid w:val="00897E2B"/>
    <w:rsid w:val="008A061F"/>
    <w:rsid w:val="008A1BEF"/>
    <w:rsid w:val="008A2838"/>
    <w:rsid w:val="008A3000"/>
    <w:rsid w:val="008A4FFC"/>
    <w:rsid w:val="008A509D"/>
    <w:rsid w:val="008A5674"/>
    <w:rsid w:val="008A6F77"/>
    <w:rsid w:val="008A7B87"/>
    <w:rsid w:val="008B00B4"/>
    <w:rsid w:val="008B09F1"/>
    <w:rsid w:val="008B117B"/>
    <w:rsid w:val="008B29CE"/>
    <w:rsid w:val="008B2DAA"/>
    <w:rsid w:val="008B316C"/>
    <w:rsid w:val="008B3215"/>
    <w:rsid w:val="008B3C07"/>
    <w:rsid w:val="008B6E9C"/>
    <w:rsid w:val="008B6FA7"/>
    <w:rsid w:val="008C125E"/>
    <w:rsid w:val="008C167F"/>
    <w:rsid w:val="008C1937"/>
    <w:rsid w:val="008C1E2C"/>
    <w:rsid w:val="008C34AC"/>
    <w:rsid w:val="008C420C"/>
    <w:rsid w:val="008C6760"/>
    <w:rsid w:val="008C7DA3"/>
    <w:rsid w:val="008C7E35"/>
    <w:rsid w:val="008C7F52"/>
    <w:rsid w:val="008D145C"/>
    <w:rsid w:val="008D2E72"/>
    <w:rsid w:val="008D3410"/>
    <w:rsid w:val="008D3F43"/>
    <w:rsid w:val="008D4465"/>
    <w:rsid w:val="008D5DA1"/>
    <w:rsid w:val="008D7129"/>
    <w:rsid w:val="008D7780"/>
    <w:rsid w:val="008D77A8"/>
    <w:rsid w:val="008E1B10"/>
    <w:rsid w:val="008E1E1C"/>
    <w:rsid w:val="008E4DB7"/>
    <w:rsid w:val="008E5169"/>
    <w:rsid w:val="008E55FA"/>
    <w:rsid w:val="008E6443"/>
    <w:rsid w:val="008E6536"/>
    <w:rsid w:val="008E6C89"/>
    <w:rsid w:val="008E6ED7"/>
    <w:rsid w:val="008F09A5"/>
    <w:rsid w:val="008F2203"/>
    <w:rsid w:val="008F34A3"/>
    <w:rsid w:val="008F3BD3"/>
    <w:rsid w:val="008F580B"/>
    <w:rsid w:val="008F5982"/>
    <w:rsid w:val="008F5BA2"/>
    <w:rsid w:val="008F6811"/>
    <w:rsid w:val="008F7434"/>
    <w:rsid w:val="00903936"/>
    <w:rsid w:val="00905862"/>
    <w:rsid w:val="0090689B"/>
    <w:rsid w:val="00907441"/>
    <w:rsid w:val="0090772F"/>
    <w:rsid w:val="00912A7A"/>
    <w:rsid w:val="00912DE5"/>
    <w:rsid w:val="009140A6"/>
    <w:rsid w:val="00915E33"/>
    <w:rsid w:val="00916139"/>
    <w:rsid w:val="009176A0"/>
    <w:rsid w:val="00920121"/>
    <w:rsid w:val="00920B19"/>
    <w:rsid w:val="00921172"/>
    <w:rsid w:val="00921897"/>
    <w:rsid w:val="00921CBC"/>
    <w:rsid w:val="009239A7"/>
    <w:rsid w:val="00923B49"/>
    <w:rsid w:val="00924125"/>
    <w:rsid w:val="009244F6"/>
    <w:rsid w:val="00924E83"/>
    <w:rsid w:val="009256DE"/>
    <w:rsid w:val="00925F74"/>
    <w:rsid w:val="00926275"/>
    <w:rsid w:val="0092645C"/>
    <w:rsid w:val="009268F3"/>
    <w:rsid w:val="00926D9C"/>
    <w:rsid w:val="00927917"/>
    <w:rsid w:val="0092796C"/>
    <w:rsid w:val="00930D91"/>
    <w:rsid w:val="00930FE2"/>
    <w:rsid w:val="009316F9"/>
    <w:rsid w:val="00931C80"/>
    <w:rsid w:val="00932B90"/>
    <w:rsid w:val="0093322B"/>
    <w:rsid w:val="00933C0F"/>
    <w:rsid w:val="00934A40"/>
    <w:rsid w:val="0093503A"/>
    <w:rsid w:val="00935E17"/>
    <w:rsid w:val="0093647A"/>
    <w:rsid w:val="00936A25"/>
    <w:rsid w:val="00940F30"/>
    <w:rsid w:val="0094222B"/>
    <w:rsid w:val="0094322B"/>
    <w:rsid w:val="009433A4"/>
    <w:rsid w:val="009455A4"/>
    <w:rsid w:val="00945AAF"/>
    <w:rsid w:val="00945B60"/>
    <w:rsid w:val="00945CC2"/>
    <w:rsid w:val="009462E7"/>
    <w:rsid w:val="00946465"/>
    <w:rsid w:val="009469BE"/>
    <w:rsid w:val="00947A97"/>
    <w:rsid w:val="00947DE8"/>
    <w:rsid w:val="009501A4"/>
    <w:rsid w:val="00950535"/>
    <w:rsid w:val="00952098"/>
    <w:rsid w:val="00953992"/>
    <w:rsid w:val="00953FFE"/>
    <w:rsid w:val="0095427F"/>
    <w:rsid w:val="0095489E"/>
    <w:rsid w:val="00954A92"/>
    <w:rsid w:val="00954D73"/>
    <w:rsid w:val="00954F0E"/>
    <w:rsid w:val="00955F8D"/>
    <w:rsid w:val="009566EE"/>
    <w:rsid w:val="00956A9A"/>
    <w:rsid w:val="00960018"/>
    <w:rsid w:val="0096193A"/>
    <w:rsid w:val="00961D7D"/>
    <w:rsid w:val="0096248F"/>
    <w:rsid w:val="00962C51"/>
    <w:rsid w:val="00962F43"/>
    <w:rsid w:val="00964355"/>
    <w:rsid w:val="0096474B"/>
    <w:rsid w:val="009657A1"/>
    <w:rsid w:val="00965B3F"/>
    <w:rsid w:val="0096687A"/>
    <w:rsid w:val="0096793B"/>
    <w:rsid w:val="009704FA"/>
    <w:rsid w:val="00970E0A"/>
    <w:rsid w:val="00971B9C"/>
    <w:rsid w:val="009720AB"/>
    <w:rsid w:val="009721ED"/>
    <w:rsid w:val="009724C3"/>
    <w:rsid w:val="009736E1"/>
    <w:rsid w:val="00974180"/>
    <w:rsid w:val="0097427F"/>
    <w:rsid w:val="00975C73"/>
    <w:rsid w:val="00977CD1"/>
    <w:rsid w:val="009804BC"/>
    <w:rsid w:val="0098126C"/>
    <w:rsid w:val="009817C3"/>
    <w:rsid w:val="009858B8"/>
    <w:rsid w:val="00985950"/>
    <w:rsid w:val="00986E99"/>
    <w:rsid w:val="009911DB"/>
    <w:rsid w:val="009914CD"/>
    <w:rsid w:val="00991652"/>
    <w:rsid w:val="0099172D"/>
    <w:rsid w:val="00991D45"/>
    <w:rsid w:val="00994404"/>
    <w:rsid w:val="0099459E"/>
    <w:rsid w:val="00995154"/>
    <w:rsid w:val="009952F9"/>
    <w:rsid w:val="009953BB"/>
    <w:rsid w:val="0099591A"/>
    <w:rsid w:val="00996056"/>
    <w:rsid w:val="00996EAF"/>
    <w:rsid w:val="00997302"/>
    <w:rsid w:val="00997456"/>
    <w:rsid w:val="009974E7"/>
    <w:rsid w:val="00997A16"/>
    <w:rsid w:val="00997A51"/>
    <w:rsid w:val="00997BCD"/>
    <w:rsid w:val="009A2BB0"/>
    <w:rsid w:val="009A4455"/>
    <w:rsid w:val="009A480F"/>
    <w:rsid w:val="009A65C3"/>
    <w:rsid w:val="009A7B18"/>
    <w:rsid w:val="009B09E9"/>
    <w:rsid w:val="009B23AB"/>
    <w:rsid w:val="009B493A"/>
    <w:rsid w:val="009B5649"/>
    <w:rsid w:val="009B5BFB"/>
    <w:rsid w:val="009B5C25"/>
    <w:rsid w:val="009B63F0"/>
    <w:rsid w:val="009B653D"/>
    <w:rsid w:val="009B6B73"/>
    <w:rsid w:val="009B6FF6"/>
    <w:rsid w:val="009B764C"/>
    <w:rsid w:val="009B7E14"/>
    <w:rsid w:val="009C059D"/>
    <w:rsid w:val="009C0D20"/>
    <w:rsid w:val="009C12E9"/>
    <w:rsid w:val="009C330D"/>
    <w:rsid w:val="009C3DCE"/>
    <w:rsid w:val="009C42A7"/>
    <w:rsid w:val="009C4AA2"/>
    <w:rsid w:val="009C51C4"/>
    <w:rsid w:val="009C7EE2"/>
    <w:rsid w:val="009C7F7D"/>
    <w:rsid w:val="009D0028"/>
    <w:rsid w:val="009D12CF"/>
    <w:rsid w:val="009D25BF"/>
    <w:rsid w:val="009D31F5"/>
    <w:rsid w:val="009D387F"/>
    <w:rsid w:val="009D486C"/>
    <w:rsid w:val="009D49B5"/>
    <w:rsid w:val="009D4F0C"/>
    <w:rsid w:val="009D5197"/>
    <w:rsid w:val="009D57B2"/>
    <w:rsid w:val="009D612C"/>
    <w:rsid w:val="009D6A20"/>
    <w:rsid w:val="009E1396"/>
    <w:rsid w:val="009E1B95"/>
    <w:rsid w:val="009E1EF9"/>
    <w:rsid w:val="009E353A"/>
    <w:rsid w:val="009E4601"/>
    <w:rsid w:val="009E52B2"/>
    <w:rsid w:val="009E5403"/>
    <w:rsid w:val="009E54F1"/>
    <w:rsid w:val="009E585C"/>
    <w:rsid w:val="009E6245"/>
    <w:rsid w:val="009E7184"/>
    <w:rsid w:val="009E7323"/>
    <w:rsid w:val="009E7689"/>
    <w:rsid w:val="009F06FB"/>
    <w:rsid w:val="009F0E9C"/>
    <w:rsid w:val="009F1557"/>
    <w:rsid w:val="009F2126"/>
    <w:rsid w:val="009F4231"/>
    <w:rsid w:val="009F5102"/>
    <w:rsid w:val="009F5347"/>
    <w:rsid w:val="009F5AAA"/>
    <w:rsid w:val="009F657B"/>
    <w:rsid w:val="00A009CC"/>
    <w:rsid w:val="00A01087"/>
    <w:rsid w:val="00A01508"/>
    <w:rsid w:val="00A01733"/>
    <w:rsid w:val="00A021B9"/>
    <w:rsid w:val="00A0234B"/>
    <w:rsid w:val="00A026EE"/>
    <w:rsid w:val="00A03894"/>
    <w:rsid w:val="00A044D7"/>
    <w:rsid w:val="00A0608F"/>
    <w:rsid w:val="00A06824"/>
    <w:rsid w:val="00A07745"/>
    <w:rsid w:val="00A10315"/>
    <w:rsid w:val="00A10A3B"/>
    <w:rsid w:val="00A114B0"/>
    <w:rsid w:val="00A1276E"/>
    <w:rsid w:val="00A140CD"/>
    <w:rsid w:val="00A1515D"/>
    <w:rsid w:val="00A163DB"/>
    <w:rsid w:val="00A1791C"/>
    <w:rsid w:val="00A17D74"/>
    <w:rsid w:val="00A17E25"/>
    <w:rsid w:val="00A17F37"/>
    <w:rsid w:val="00A222BA"/>
    <w:rsid w:val="00A229F2"/>
    <w:rsid w:val="00A2552C"/>
    <w:rsid w:val="00A256D1"/>
    <w:rsid w:val="00A25AF4"/>
    <w:rsid w:val="00A25D61"/>
    <w:rsid w:val="00A316E9"/>
    <w:rsid w:val="00A31DF0"/>
    <w:rsid w:val="00A32A0F"/>
    <w:rsid w:val="00A34430"/>
    <w:rsid w:val="00A34BF5"/>
    <w:rsid w:val="00A3506A"/>
    <w:rsid w:val="00A3562A"/>
    <w:rsid w:val="00A357A5"/>
    <w:rsid w:val="00A3690A"/>
    <w:rsid w:val="00A36BB0"/>
    <w:rsid w:val="00A37173"/>
    <w:rsid w:val="00A3745A"/>
    <w:rsid w:val="00A3794A"/>
    <w:rsid w:val="00A379F5"/>
    <w:rsid w:val="00A37E89"/>
    <w:rsid w:val="00A40A00"/>
    <w:rsid w:val="00A40F40"/>
    <w:rsid w:val="00A4265A"/>
    <w:rsid w:val="00A42865"/>
    <w:rsid w:val="00A42B68"/>
    <w:rsid w:val="00A43799"/>
    <w:rsid w:val="00A43878"/>
    <w:rsid w:val="00A43C91"/>
    <w:rsid w:val="00A43EDA"/>
    <w:rsid w:val="00A44F37"/>
    <w:rsid w:val="00A4506B"/>
    <w:rsid w:val="00A47BA0"/>
    <w:rsid w:val="00A52EE2"/>
    <w:rsid w:val="00A53091"/>
    <w:rsid w:val="00A53865"/>
    <w:rsid w:val="00A53C65"/>
    <w:rsid w:val="00A54580"/>
    <w:rsid w:val="00A54872"/>
    <w:rsid w:val="00A56216"/>
    <w:rsid w:val="00A569A6"/>
    <w:rsid w:val="00A577EE"/>
    <w:rsid w:val="00A605A9"/>
    <w:rsid w:val="00A60AFA"/>
    <w:rsid w:val="00A613E0"/>
    <w:rsid w:val="00A61A35"/>
    <w:rsid w:val="00A61A39"/>
    <w:rsid w:val="00A631D2"/>
    <w:rsid w:val="00A63AD3"/>
    <w:rsid w:val="00A64198"/>
    <w:rsid w:val="00A6422B"/>
    <w:rsid w:val="00A6444E"/>
    <w:rsid w:val="00A67451"/>
    <w:rsid w:val="00A67885"/>
    <w:rsid w:val="00A67B31"/>
    <w:rsid w:val="00A70368"/>
    <w:rsid w:val="00A70560"/>
    <w:rsid w:val="00A706EF"/>
    <w:rsid w:val="00A70A43"/>
    <w:rsid w:val="00A712C4"/>
    <w:rsid w:val="00A718B4"/>
    <w:rsid w:val="00A71E11"/>
    <w:rsid w:val="00A72149"/>
    <w:rsid w:val="00A747D2"/>
    <w:rsid w:val="00A7499B"/>
    <w:rsid w:val="00A74B9D"/>
    <w:rsid w:val="00A74F9C"/>
    <w:rsid w:val="00A75574"/>
    <w:rsid w:val="00A76CF5"/>
    <w:rsid w:val="00A82C19"/>
    <w:rsid w:val="00A82F07"/>
    <w:rsid w:val="00A83DEC"/>
    <w:rsid w:val="00A84245"/>
    <w:rsid w:val="00A850EF"/>
    <w:rsid w:val="00A852C1"/>
    <w:rsid w:val="00A856C1"/>
    <w:rsid w:val="00A91708"/>
    <w:rsid w:val="00A932AA"/>
    <w:rsid w:val="00A93B02"/>
    <w:rsid w:val="00A94A5A"/>
    <w:rsid w:val="00A95805"/>
    <w:rsid w:val="00A96895"/>
    <w:rsid w:val="00A97403"/>
    <w:rsid w:val="00AA00F5"/>
    <w:rsid w:val="00AA2D75"/>
    <w:rsid w:val="00AA2E03"/>
    <w:rsid w:val="00AA4104"/>
    <w:rsid w:val="00AA7155"/>
    <w:rsid w:val="00AA7C01"/>
    <w:rsid w:val="00AB015C"/>
    <w:rsid w:val="00AB228A"/>
    <w:rsid w:val="00AB2A06"/>
    <w:rsid w:val="00AB2D54"/>
    <w:rsid w:val="00AB3F10"/>
    <w:rsid w:val="00AB641E"/>
    <w:rsid w:val="00AB7F6E"/>
    <w:rsid w:val="00AC0183"/>
    <w:rsid w:val="00AC044B"/>
    <w:rsid w:val="00AC06E5"/>
    <w:rsid w:val="00AC10E2"/>
    <w:rsid w:val="00AC29C1"/>
    <w:rsid w:val="00AC388E"/>
    <w:rsid w:val="00AC3AD6"/>
    <w:rsid w:val="00AC4E8B"/>
    <w:rsid w:val="00AC6D67"/>
    <w:rsid w:val="00AC73E4"/>
    <w:rsid w:val="00AD030B"/>
    <w:rsid w:val="00AD03EE"/>
    <w:rsid w:val="00AD0E7E"/>
    <w:rsid w:val="00AD17EC"/>
    <w:rsid w:val="00AD43AA"/>
    <w:rsid w:val="00AD4F3E"/>
    <w:rsid w:val="00AD52A9"/>
    <w:rsid w:val="00AD52D1"/>
    <w:rsid w:val="00AD55AB"/>
    <w:rsid w:val="00AD5B68"/>
    <w:rsid w:val="00AD79BF"/>
    <w:rsid w:val="00AE034D"/>
    <w:rsid w:val="00AE1496"/>
    <w:rsid w:val="00AE1CC5"/>
    <w:rsid w:val="00AE374F"/>
    <w:rsid w:val="00AE3BA5"/>
    <w:rsid w:val="00AE3E17"/>
    <w:rsid w:val="00AE4791"/>
    <w:rsid w:val="00AE4A07"/>
    <w:rsid w:val="00AE555B"/>
    <w:rsid w:val="00AE66FD"/>
    <w:rsid w:val="00AE6CCE"/>
    <w:rsid w:val="00AE6FDD"/>
    <w:rsid w:val="00AE7C39"/>
    <w:rsid w:val="00AE7EFF"/>
    <w:rsid w:val="00AF0AD8"/>
    <w:rsid w:val="00AF126F"/>
    <w:rsid w:val="00AF1D46"/>
    <w:rsid w:val="00AF1E7F"/>
    <w:rsid w:val="00AF24F2"/>
    <w:rsid w:val="00AF338E"/>
    <w:rsid w:val="00AF3592"/>
    <w:rsid w:val="00AF365F"/>
    <w:rsid w:val="00AF4163"/>
    <w:rsid w:val="00AF450D"/>
    <w:rsid w:val="00AF5304"/>
    <w:rsid w:val="00AF559E"/>
    <w:rsid w:val="00AF5FFE"/>
    <w:rsid w:val="00AF61BF"/>
    <w:rsid w:val="00AF6926"/>
    <w:rsid w:val="00AF7FAB"/>
    <w:rsid w:val="00B00809"/>
    <w:rsid w:val="00B00A81"/>
    <w:rsid w:val="00B00D0B"/>
    <w:rsid w:val="00B0213D"/>
    <w:rsid w:val="00B02866"/>
    <w:rsid w:val="00B02D68"/>
    <w:rsid w:val="00B03538"/>
    <w:rsid w:val="00B03F12"/>
    <w:rsid w:val="00B049C8"/>
    <w:rsid w:val="00B04B34"/>
    <w:rsid w:val="00B05FE0"/>
    <w:rsid w:val="00B066D0"/>
    <w:rsid w:val="00B06BC9"/>
    <w:rsid w:val="00B0701F"/>
    <w:rsid w:val="00B07842"/>
    <w:rsid w:val="00B1042E"/>
    <w:rsid w:val="00B10ACD"/>
    <w:rsid w:val="00B110E4"/>
    <w:rsid w:val="00B12624"/>
    <w:rsid w:val="00B12F27"/>
    <w:rsid w:val="00B14427"/>
    <w:rsid w:val="00B14944"/>
    <w:rsid w:val="00B1528B"/>
    <w:rsid w:val="00B154D8"/>
    <w:rsid w:val="00B15E36"/>
    <w:rsid w:val="00B1652D"/>
    <w:rsid w:val="00B168AF"/>
    <w:rsid w:val="00B1722C"/>
    <w:rsid w:val="00B174CD"/>
    <w:rsid w:val="00B17C18"/>
    <w:rsid w:val="00B20159"/>
    <w:rsid w:val="00B21342"/>
    <w:rsid w:val="00B22D73"/>
    <w:rsid w:val="00B24756"/>
    <w:rsid w:val="00B24F9C"/>
    <w:rsid w:val="00B25CEF"/>
    <w:rsid w:val="00B26226"/>
    <w:rsid w:val="00B26D60"/>
    <w:rsid w:val="00B27109"/>
    <w:rsid w:val="00B276D9"/>
    <w:rsid w:val="00B27CA3"/>
    <w:rsid w:val="00B31959"/>
    <w:rsid w:val="00B31FCC"/>
    <w:rsid w:val="00B33E95"/>
    <w:rsid w:val="00B35302"/>
    <w:rsid w:val="00B35A67"/>
    <w:rsid w:val="00B3647D"/>
    <w:rsid w:val="00B3686E"/>
    <w:rsid w:val="00B4017D"/>
    <w:rsid w:val="00B4057F"/>
    <w:rsid w:val="00B4199D"/>
    <w:rsid w:val="00B41D03"/>
    <w:rsid w:val="00B42DE4"/>
    <w:rsid w:val="00B42F1D"/>
    <w:rsid w:val="00B43321"/>
    <w:rsid w:val="00B436B1"/>
    <w:rsid w:val="00B43CC2"/>
    <w:rsid w:val="00B4455B"/>
    <w:rsid w:val="00B44A92"/>
    <w:rsid w:val="00B453DF"/>
    <w:rsid w:val="00B454FF"/>
    <w:rsid w:val="00B4569F"/>
    <w:rsid w:val="00B45D4E"/>
    <w:rsid w:val="00B46CC3"/>
    <w:rsid w:val="00B51BD2"/>
    <w:rsid w:val="00B53402"/>
    <w:rsid w:val="00B537C3"/>
    <w:rsid w:val="00B543BC"/>
    <w:rsid w:val="00B5680E"/>
    <w:rsid w:val="00B568DC"/>
    <w:rsid w:val="00B5725C"/>
    <w:rsid w:val="00B60299"/>
    <w:rsid w:val="00B611B1"/>
    <w:rsid w:val="00B616D3"/>
    <w:rsid w:val="00B62375"/>
    <w:rsid w:val="00B6260B"/>
    <w:rsid w:val="00B6317D"/>
    <w:rsid w:val="00B63A26"/>
    <w:rsid w:val="00B63B8F"/>
    <w:rsid w:val="00B6463D"/>
    <w:rsid w:val="00B66155"/>
    <w:rsid w:val="00B6728B"/>
    <w:rsid w:val="00B67400"/>
    <w:rsid w:val="00B67512"/>
    <w:rsid w:val="00B67B4C"/>
    <w:rsid w:val="00B70B88"/>
    <w:rsid w:val="00B715AB"/>
    <w:rsid w:val="00B71641"/>
    <w:rsid w:val="00B72FA1"/>
    <w:rsid w:val="00B73993"/>
    <w:rsid w:val="00B74AFC"/>
    <w:rsid w:val="00B74B80"/>
    <w:rsid w:val="00B7591B"/>
    <w:rsid w:val="00B76679"/>
    <w:rsid w:val="00B77005"/>
    <w:rsid w:val="00B8009E"/>
    <w:rsid w:val="00B83024"/>
    <w:rsid w:val="00B84C83"/>
    <w:rsid w:val="00B851A3"/>
    <w:rsid w:val="00B87346"/>
    <w:rsid w:val="00B87FC3"/>
    <w:rsid w:val="00B90DD7"/>
    <w:rsid w:val="00B90F74"/>
    <w:rsid w:val="00B91643"/>
    <w:rsid w:val="00B923C6"/>
    <w:rsid w:val="00B937FF"/>
    <w:rsid w:val="00B93E9D"/>
    <w:rsid w:val="00BA00C8"/>
    <w:rsid w:val="00BA1FC9"/>
    <w:rsid w:val="00BA20E7"/>
    <w:rsid w:val="00BA330B"/>
    <w:rsid w:val="00BA3C6C"/>
    <w:rsid w:val="00BA6BAD"/>
    <w:rsid w:val="00BA72D5"/>
    <w:rsid w:val="00BB07DF"/>
    <w:rsid w:val="00BB16BC"/>
    <w:rsid w:val="00BB2012"/>
    <w:rsid w:val="00BB49ED"/>
    <w:rsid w:val="00BB6BB3"/>
    <w:rsid w:val="00BB7FAF"/>
    <w:rsid w:val="00BC026C"/>
    <w:rsid w:val="00BC160E"/>
    <w:rsid w:val="00BC1DF1"/>
    <w:rsid w:val="00BC2EFE"/>
    <w:rsid w:val="00BC3186"/>
    <w:rsid w:val="00BC3945"/>
    <w:rsid w:val="00BC3A86"/>
    <w:rsid w:val="00BC4F71"/>
    <w:rsid w:val="00BC5563"/>
    <w:rsid w:val="00BC5CEB"/>
    <w:rsid w:val="00BC64F4"/>
    <w:rsid w:val="00BC782D"/>
    <w:rsid w:val="00BC78CA"/>
    <w:rsid w:val="00BD1662"/>
    <w:rsid w:val="00BD2A37"/>
    <w:rsid w:val="00BD3443"/>
    <w:rsid w:val="00BD43F6"/>
    <w:rsid w:val="00BD60D9"/>
    <w:rsid w:val="00BD7076"/>
    <w:rsid w:val="00BD73B5"/>
    <w:rsid w:val="00BD7634"/>
    <w:rsid w:val="00BE12F7"/>
    <w:rsid w:val="00BE2117"/>
    <w:rsid w:val="00BE36E4"/>
    <w:rsid w:val="00BE4472"/>
    <w:rsid w:val="00BE4547"/>
    <w:rsid w:val="00BE5C30"/>
    <w:rsid w:val="00BE67BB"/>
    <w:rsid w:val="00BE7134"/>
    <w:rsid w:val="00BF0291"/>
    <w:rsid w:val="00BF0880"/>
    <w:rsid w:val="00BF1122"/>
    <w:rsid w:val="00BF15E3"/>
    <w:rsid w:val="00BF386B"/>
    <w:rsid w:val="00BF611B"/>
    <w:rsid w:val="00C00673"/>
    <w:rsid w:val="00C00966"/>
    <w:rsid w:val="00C00FEC"/>
    <w:rsid w:val="00C02615"/>
    <w:rsid w:val="00C0287D"/>
    <w:rsid w:val="00C02B80"/>
    <w:rsid w:val="00C036DD"/>
    <w:rsid w:val="00C049DC"/>
    <w:rsid w:val="00C06DB9"/>
    <w:rsid w:val="00C06FEF"/>
    <w:rsid w:val="00C10EF3"/>
    <w:rsid w:val="00C12628"/>
    <w:rsid w:val="00C12DDB"/>
    <w:rsid w:val="00C1386B"/>
    <w:rsid w:val="00C13ACE"/>
    <w:rsid w:val="00C14BD7"/>
    <w:rsid w:val="00C1546D"/>
    <w:rsid w:val="00C15EA6"/>
    <w:rsid w:val="00C16DCA"/>
    <w:rsid w:val="00C17BC1"/>
    <w:rsid w:val="00C205A5"/>
    <w:rsid w:val="00C228BC"/>
    <w:rsid w:val="00C22AE4"/>
    <w:rsid w:val="00C231EF"/>
    <w:rsid w:val="00C240C7"/>
    <w:rsid w:val="00C24545"/>
    <w:rsid w:val="00C246E5"/>
    <w:rsid w:val="00C255DF"/>
    <w:rsid w:val="00C259A6"/>
    <w:rsid w:val="00C26E4E"/>
    <w:rsid w:val="00C277A5"/>
    <w:rsid w:val="00C27909"/>
    <w:rsid w:val="00C3161D"/>
    <w:rsid w:val="00C32D2B"/>
    <w:rsid w:val="00C35117"/>
    <w:rsid w:val="00C36521"/>
    <w:rsid w:val="00C377D9"/>
    <w:rsid w:val="00C40D3B"/>
    <w:rsid w:val="00C412FC"/>
    <w:rsid w:val="00C41B2A"/>
    <w:rsid w:val="00C42B54"/>
    <w:rsid w:val="00C4333B"/>
    <w:rsid w:val="00C43998"/>
    <w:rsid w:val="00C43CC1"/>
    <w:rsid w:val="00C442E9"/>
    <w:rsid w:val="00C44930"/>
    <w:rsid w:val="00C44935"/>
    <w:rsid w:val="00C4495E"/>
    <w:rsid w:val="00C451E0"/>
    <w:rsid w:val="00C45B54"/>
    <w:rsid w:val="00C50C38"/>
    <w:rsid w:val="00C50F44"/>
    <w:rsid w:val="00C50FBD"/>
    <w:rsid w:val="00C510B0"/>
    <w:rsid w:val="00C53788"/>
    <w:rsid w:val="00C54C27"/>
    <w:rsid w:val="00C54DC4"/>
    <w:rsid w:val="00C557AF"/>
    <w:rsid w:val="00C5610C"/>
    <w:rsid w:val="00C569D4"/>
    <w:rsid w:val="00C56B70"/>
    <w:rsid w:val="00C56C8A"/>
    <w:rsid w:val="00C64AA4"/>
    <w:rsid w:val="00C67498"/>
    <w:rsid w:val="00C70089"/>
    <w:rsid w:val="00C7026D"/>
    <w:rsid w:val="00C7046B"/>
    <w:rsid w:val="00C71C37"/>
    <w:rsid w:val="00C720EA"/>
    <w:rsid w:val="00C7224D"/>
    <w:rsid w:val="00C739B3"/>
    <w:rsid w:val="00C749D0"/>
    <w:rsid w:val="00C74E32"/>
    <w:rsid w:val="00C80637"/>
    <w:rsid w:val="00C82C85"/>
    <w:rsid w:val="00C83A75"/>
    <w:rsid w:val="00C83C9A"/>
    <w:rsid w:val="00C8452E"/>
    <w:rsid w:val="00C850B3"/>
    <w:rsid w:val="00C854B9"/>
    <w:rsid w:val="00C85722"/>
    <w:rsid w:val="00C85834"/>
    <w:rsid w:val="00C86A2E"/>
    <w:rsid w:val="00C8761E"/>
    <w:rsid w:val="00C87A55"/>
    <w:rsid w:val="00C9028F"/>
    <w:rsid w:val="00C902FB"/>
    <w:rsid w:val="00C904EB"/>
    <w:rsid w:val="00C90F6C"/>
    <w:rsid w:val="00C90FA1"/>
    <w:rsid w:val="00C91014"/>
    <w:rsid w:val="00C91690"/>
    <w:rsid w:val="00C941AF"/>
    <w:rsid w:val="00C9670C"/>
    <w:rsid w:val="00CA008D"/>
    <w:rsid w:val="00CA0D73"/>
    <w:rsid w:val="00CA3A7B"/>
    <w:rsid w:val="00CA47D8"/>
    <w:rsid w:val="00CB012A"/>
    <w:rsid w:val="00CB07E9"/>
    <w:rsid w:val="00CB1F17"/>
    <w:rsid w:val="00CB2941"/>
    <w:rsid w:val="00CB3866"/>
    <w:rsid w:val="00CB39B9"/>
    <w:rsid w:val="00CB5AD1"/>
    <w:rsid w:val="00CB7126"/>
    <w:rsid w:val="00CC066D"/>
    <w:rsid w:val="00CC0EB7"/>
    <w:rsid w:val="00CC1F8D"/>
    <w:rsid w:val="00CC20DA"/>
    <w:rsid w:val="00CC2229"/>
    <w:rsid w:val="00CC2CEF"/>
    <w:rsid w:val="00CC43DD"/>
    <w:rsid w:val="00CC5735"/>
    <w:rsid w:val="00CC57CD"/>
    <w:rsid w:val="00CC599F"/>
    <w:rsid w:val="00CC7227"/>
    <w:rsid w:val="00CC7FA8"/>
    <w:rsid w:val="00CD0458"/>
    <w:rsid w:val="00CD098D"/>
    <w:rsid w:val="00CD103F"/>
    <w:rsid w:val="00CD1CAA"/>
    <w:rsid w:val="00CD302D"/>
    <w:rsid w:val="00CD311A"/>
    <w:rsid w:val="00CD3900"/>
    <w:rsid w:val="00CD3A53"/>
    <w:rsid w:val="00CD3C21"/>
    <w:rsid w:val="00CD4520"/>
    <w:rsid w:val="00CD4B50"/>
    <w:rsid w:val="00CD6B0B"/>
    <w:rsid w:val="00CE0769"/>
    <w:rsid w:val="00CE20B7"/>
    <w:rsid w:val="00CE2552"/>
    <w:rsid w:val="00CE2AF8"/>
    <w:rsid w:val="00CE4112"/>
    <w:rsid w:val="00CE5E4D"/>
    <w:rsid w:val="00CE72E8"/>
    <w:rsid w:val="00CF004C"/>
    <w:rsid w:val="00CF0615"/>
    <w:rsid w:val="00CF282C"/>
    <w:rsid w:val="00CF30EA"/>
    <w:rsid w:val="00CF3BAB"/>
    <w:rsid w:val="00CF4073"/>
    <w:rsid w:val="00CF4689"/>
    <w:rsid w:val="00CF4E58"/>
    <w:rsid w:val="00CF6EAC"/>
    <w:rsid w:val="00D01B6F"/>
    <w:rsid w:val="00D01D96"/>
    <w:rsid w:val="00D0424D"/>
    <w:rsid w:val="00D05943"/>
    <w:rsid w:val="00D0656C"/>
    <w:rsid w:val="00D070FF"/>
    <w:rsid w:val="00D107E6"/>
    <w:rsid w:val="00D21893"/>
    <w:rsid w:val="00D222F0"/>
    <w:rsid w:val="00D225C7"/>
    <w:rsid w:val="00D22AC8"/>
    <w:rsid w:val="00D232EE"/>
    <w:rsid w:val="00D23739"/>
    <w:rsid w:val="00D23F86"/>
    <w:rsid w:val="00D2483E"/>
    <w:rsid w:val="00D265A9"/>
    <w:rsid w:val="00D2751D"/>
    <w:rsid w:val="00D27C3C"/>
    <w:rsid w:val="00D27D9B"/>
    <w:rsid w:val="00D302C6"/>
    <w:rsid w:val="00D31972"/>
    <w:rsid w:val="00D34657"/>
    <w:rsid w:val="00D369CA"/>
    <w:rsid w:val="00D37481"/>
    <w:rsid w:val="00D379CE"/>
    <w:rsid w:val="00D4021F"/>
    <w:rsid w:val="00D411F0"/>
    <w:rsid w:val="00D411FC"/>
    <w:rsid w:val="00D419E2"/>
    <w:rsid w:val="00D4229A"/>
    <w:rsid w:val="00D422F7"/>
    <w:rsid w:val="00D425E2"/>
    <w:rsid w:val="00D42C9C"/>
    <w:rsid w:val="00D444C1"/>
    <w:rsid w:val="00D44A44"/>
    <w:rsid w:val="00D46CE6"/>
    <w:rsid w:val="00D4702B"/>
    <w:rsid w:val="00D50C5F"/>
    <w:rsid w:val="00D52494"/>
    <w:rsid w:val="00D52D1E"/>
    <w:rsid w:val="00D5310A"/>
    <w:rsid w:val="00D54FAA"/>
    <w:rsid w:val="00D55714"/>
    <w:rsid w:val="00D557C1"/>
    <w:rsid w:val="00D5768E"/>
    <w:rsid w:val="00D578C3"/>
    <w:rsid w:val="00D609FF"/>
    <w:rsid w:val="00D60CB0"/>
    <w:rsid w:val="00D60DCF"/>
    <w:rsid w:val="00D61004"/>
    <w:rsid w:val="00D61820"/>
    <w:rsid w:val="00D61B38"/>
    <w:rsid w:val="00D62C75"/>
    <w:rsid w:val="00D648FF"/>
    <w:rsid w:val="00D65B01"/>
    <w:rsid w:val="00D66B78"/>
    <w:rsid w:val="00D67F7A"/>
    <w:rsid w:val="00D70769"/>
    <w:rsid w:val="00D72385"/>
    <w:rsid w:val="00D74108"/>
    <w:rsid w:val="00D75582"/>
    <w:rsid w:val="00D76792"/>
    <w:rsid w:val="00D76D7B"/>
    <w:rsid w:val="00D77FF2"/>
    <w:rsid w:val="00D809A5"/>
    <w:rsid w:val="00D81640"/>
    <w:rsid w:val="00D82152"/>
    <w:rsid w:val="00D8253F"/>
    <w:rsid w:val="00D83522"/>
    <w:rsid w:val="00D84941"/>
    <w:rsid w:val="00D85081"/>
    <w:rsid w:val="00D856CA"/>
    <w:rsid w:val="00D8613C"/>
    <w:rsid w:val="00D86731"/>
    <w:rsid w:val="00D86E9B"/>
    <w:rsid w:val="00D871B7"/>
    <w:rsid w:val="00D87EA4"/>
    <w:rsid w:val="00D87EBC"/>
    <w:rsid w:val="00D91242"/>
    <w:rsid w:val="00D926FD"/>
    <w:rsid w:val="00D92C5F"/>
    <w:rsid w:val="00D92C77"/>
    <w:rsid w:val="00D93AD2"/>
    <w:rsid w:val="00D9425C"/>
    <w:rsid w:val="00D95EBC"/>
    <w:rsid w:val="00D966C6"/>
    <w:rsid w:val="00D96984"/>
    <w:rsid w:val="00D96C47"/>
    <w:rsid w:val="00D96F60"/>
    <w:rsid w:val="00D971B2"/>
    <w:rsid w:val="00DA16D2"/>
    <w:rsid w:val="00DA27E4"/>
    <w:rsid w:val="00DA2A8E"/>
    <w:rsid w:val="00DA3234"/>
    <w:rsid w:val="00DA49CE"/>
    <w:rsid w:val="00DA539E"/>
    <w:rsid w:val="00DA54A7"/>
    <w:rsid w:val="00DA5CE1"/>
    <w:rsid w:val="00DA7321"/>
    <w:rsid w:val="00DB0DF6"/>
    <w:rsid w:val="00DB0F0C"/>
    <w:rsid w:val="00DB1CD4"/>
    <w:rsid w:val="00DB313E"/>
    <w:rsid w:val="00DB42D8"/>
    <w:rsid w:val="00DB5B99"/>
    <w:rsid w:val="00DB722B"/>
    <w:rsid w:val="00DC0639"/>
    <w:rsid w:val="00DC0CEA"/>
    <w:rsid w:val="00DC1DC4"/>
    <w:rsid w:val="00DC30C1"/>
    <w:rsid w:val="00DC3338"/>
    <w:rsid w:val="00DC59A7"/>
    <w:rsid w:val="00DC5EC1"/>
    <w:rsid w:val="00DC6B3E"/>
    <w:rsid w:val="00DD013B"/>
    <w:rsid w:val="00DD1FC3"/>
    <w:rsid w:val="00DD30E5"/>
    <w:rsid w:val="00DD4BB3"/>
    <w:rsid w:val="00DD73A5"/>
    <w:rsid w:val="00DD7EFF"/>
    <w:rsid w:val="00DE0BE1"/>
    <w:rsid w:val="00DE410E"/>
    <w:rsid w:val="00DE4420"/>
    <w:rsid w:val="00DE515D"/>
    <w:rsid w:val="00DE5417"/>
    <w:rsid w:val="00DE6A4A"/>
    <w:rsid w:val="00DE72B2"/>
    <w:rsid w:val="00DE7FDC"/>
    <w:rsid w:val="00DF0055"/>
    <w:rsid w:val="00DF0311"/>
    <w:rsid w:val="00DF23B6"/>
    <w:rsid w:val="00DF3B7C"/>
    <w:rsid w:val="00DF3E8D"/>
    <w:rsid w:val="00DF4EE3"/>
    <w:rsid w:val="00DF620C"/>
    <w:rsid w:val="00DF6D9E"/>
    <w:rsid w:val="00E0025B"/>
    <w:rsid w:val="00E013DE"/>
    <w:rsid w:val="00E01DB7"/>
    <w:rsid w:val="00E02783"/>
    <w:rsid w:val="00E03B7C"/>
    <w:rsid w:val="00E042DE"/>
    <w:rsid w:val="00E04ABE"/>
    <w:rsid w:val="00E06C03"/>
    <w:rsid w:val="00E078D7"/>
    <w:rsid w:val="00E10132"/>
    <w:rsid w:val="00E116E3"/>
    <w:rsid w:val="00E12688"/>
    <w:rsid w:val="00E13F38"/>
    <w:rsid w:val="00E14635"/>
    <w:rsid w:val="00E15963"/>
    <w:rsid w:val="00E1756C"/>
    <w:rsid w:val="00E2037B"/>
    <w:rsid w:val="00E2068A"/>
    <w:rsid w:val="00E2089B"/>
    <w:rsid w:val="00E2112E"/>
    <w:rsid w:val="00E218BF"/>
    <w:rsid w:val="00E22E4B"/>
    <w:rsid w:val="00E234E5"/>
    <w:rsid w:val="00E247C8"/>
    <w:rsid w:val="00E24C0A"/>
    <w:rsid w:val="00E26918"/>
    <w:rsid w:val="00E306DC"/>
    <w:rsid w:val="00E33753"/>
    <w:rsid w:val="00E3657A"/>
    <w:rsid w:val="00E375CE"/>
    <w:rsid w:val="00E3781F"/>
    <w:rsid w:val="00E37CEB"/>
    <w:rsid w:val="00E37D6A"/>
    <w:rsid w:val="00E37DCA"/>
    <w:rsid w:val="00E40A63"/>
    <w:rsid w:val="00E40B62"/>
    <w:rsid w:val="00E422A7"/>
    <w:rsid w:val="00E42F8D"/>
    <w:rsid w:val="00E43215"/>
    <w:rsid w:val="00E43625"/>
    <w:rsid w:val="00E45396"/>
    <w:rsid w:val="00E45540"/>
    <w:rsid w:val="00E45DCB"/>
    <w:rsid w:val="00E47B70"/>
    <w:rsid w:val="00E47D92"/>
    <w:rsid w:val="00E50654"/>
    <w:rsid w:val="00E51710"/>
    <w:rsid w:val="00E51ED2"/>
    <w:rsid w:val="00E51EEA"/>
    <w:rsid w:val="00E5453D"/>
    <w:rsid w:val="00E54DD3"/>
    <w:rsid w:val="00E54E32"/>
    <w:rsid w:val="00E55C9E"/>
    <w:rsid w:val="00E56C56"/>
    <w:rsid w:val="00E56F51"/>
    <w:rsid w:val="00E576B3"/>
    <w:rsid w:val="00E57822"/>
    <w:rsid w:val="00E57FDA"/>
    <w:rsid w:val="00E62204"/>
    <w:rsid w:val="00E629FE"/>
    <w:rsid w:val="00E63D04"/>
    <w:rsid w:val="00E641F9"/>
    <w:rsid w:val="00E647E3"/>
    <w:rsid w:val="00E65E89"/>
    <w:rsid w:val="00E6659D"/>
    <w:rsid w:val="00E6715A"/>
    <w:rsid w:val="00E6777E"/>
    <w:rsid w:val="00E70787"/>
    <w:rsid w:val="00E7125D"/>
    <w:rsid w:val="00E71ED7"/>
    <w:rsid w:val="00E731AA"/>
    <w:rsid w:val="00E736F7"/>
    <w:rsid w:val="00E753A3"/>
    <w:rsid w:val="00E80AA5"/>
    <w:rsid w:val="00E816DF"/>
    <w:rsid w:val="00E81A7E"/>
    <w:rsid w:val="00E81F11"/>
    <w:rsid w:val="00E860CB"/>
    <w:rsid w:val="00E872FB"/>
    <w:rsid w:val="00E87C3D"/>
    <w:rsid w:val="00E905E7"/>
    <w:rsid w:val="00E90914"/>
    <w:rsid w:val="00E91341"/>
    <w:rsid w:val="00E915FA"/>
    <w:rsid w:val="00E918F9"/>
    <w:rsid w:val="00E92A94"/>
    <w:rsid w:val="00E92D12"/>
    <w:rsid w:val="00E93006"/>
    <w:rsid w:val="00E942EB"/>
    <w:rsid w:val="00E94BCE"/>
    <w:rsid w:val="00E9623A"/>
    <w:rsid w:val="00E964C0"/>
    <w:rsid w:val="00E96817"/>
    <w:rsid w:val="00E976D1"/>
    <w:rsid w:val="00EA198B"/>
    <w:rsid w:val="00EA1C95"/>
    <w:rsid w:val="00EA23C3"/>
    <w:rsid w:val="00EA24D8"/>
    <w:rsid w:val="00EA2716"/>
    <w:rsid w:val="00EA44E6"/>
    <w:rsid w:val="00EA5F09"/>
    <w:rsid w:val="00EA6B90"/>
    <w:rsid w:val="00EB072D"/>
    <w:rsid w:val="00EB080A"/>
    <w:rsid w:val="00EB1DDD"/>
    <w:rsid w:val="00EB1F98"/>
    <w:rsid w:val="00EB2A2C"/>
    <w:rsid w:val="00EB3248"/>
    <w:rsid w:val="00EB3A0E"/>
    <w:rsid w:val="00EB47B7"/>
    <w:rsid w:val="00EB4975"/>
    <w:rsid w:val="00EB5A8E"/>
    <w:rsid w:val="00EB6137"/>
    <w:rsid w:val="00EB6DF8"/>
    <w:rsid w:val="00EB7720"/>
    <w:rsid w:val="00EB7F19"/>
    <w:rsid w:val="00EC12B9"/>
    <w:rsid w:val="00EC2931"/>
    <w:rsid w:val="00EC337A"/>
    <w:rsid w:val="00EC359A"/>
    <w:rsid w:val="00EC6D52"/>
    <w:rsid w:val="00EC7CC3"/>
    <w:rsid w:val="00ED1E02"/>
    <w:rsid w:val="00ED27F1"/>
    <w:rsid w:val="00ED3655"/>
    <w:rsid w:val="00ED3EC8"/>
    <w:rsid w:val="00ED5D2A"/>
    <w:rsid w:val="00ED5D7D"/>
    <w:rsid w:val="00ED6904"/>
    <w:rsid w:val="00ED70D2"/>
    <w:rsid w:val="00EE026B"/>
    <w:rsid w:val="00EE0D5C"/>
    <w:rsid w:val="00EE1052"/>
    <w:rsid w:val="00EE1340"/>
    <w:rsid w:val="00EE1F5D"/>
    <w:rsid w:val="00EE54BF"/>
    <w:rsid w:val="00EE5B80"/>
    <w:rsid w:val="00EE79A7"/>
    <w:rsid w:val="00EE79BE"/>
    <w:rsid w:val="00EF162A"/>
    <w:rsid w:val="00EF1A30"/>
    <w:rsid w:val="00EF3369"/>
    <w:rsid w:val="00EF47DA"/>
    <w:rsid w:val="00EF5E95"/>
    <w:rsid w:val="00EF64C8"/>
    <w:rsid w:val="00F01889"/>
    <w:rsid w:val="00F03011"/>
    <w:rsid w:val="00F03D4D"/>
    <w:rsid w:val="00F041A7"/>
    <w:rsid w:val="00F0580B"/>
    <w:rsid w:val="00F05CF9"/>
    <w:rsid w:val="00F10752"/>
    <w:rsid w:val="00F11245"/>
    <w:rsid w:val="00F1204F"/>
    <w:rsid w:val="00F138F0"/>
    <w:rsid w:val="00F14F5D"/>
    <w:rsid w:val="00F152FA"/>
    <w:rsid w:val="00F16CCF"/>
    <w:rsid w:val="00F16E36"/>
    <w:rsid w:val="00F1757F"/>
    <w:rsid w:val="00F17E24"/>
    <w:rsid w:val="00F20579"/>
    <w:rsid w:val="00F20DDA"/>
    <w:rsid w:val="00F21424"/>
    <w:rsid w:val="00F21791"/>
    <w:rsid w:val="00F25681"/>
    <w:rsid w:val="00F25F66"/>
    <w:rsid w:val="00F26115"/>
    <w:rsid w:val="00F2622A"/>
    <w:rsid w:val="00F26736"/>
    <w:rsid w:val="00F27541"/>
    <w:rsid w:val="00F27B40"/>
    <w:rsid w:val="00F304BC"/>
    <w:rsid w:val="00F308D7"/>
    <w:rsid w:val="00F31F22"/>
    <w:rsid w:val="00F3288E"/>
    <w:rsid w:val="00F35301"/>
    <w:rsid w:val="00F35B34"/>
    <w:rsid w:val="00F35FB6"/>
    <w:rsid w:val="00F3615A"/>
    <w:rsid w:val="00F36859"/>
    <w:rsid w:val="00F3692E"/>
    <w:rsid w:val="00F40AA8"/>
    <w:rsid w:val="00F40CA2"/>
    <w:rsid w:val="00F4122E"/>
    <w:rsid w:val="00F4316A"/>
    <w:rsid w:val="00F437F8"/>
    <w:rsid w:val="00F43AD8"/>
    <w:rsid w:val="00F44362"/>
    <w:rsid w:val="00F4576F"/>
    <w:rsid w:val="00F50FF3"/>
    <w:rsid w:val="00F51616"/>
    <w:rsid w:val="00F51631"/>
    <w:rsid w:val="00F52A4B"/>
    <w:rsid w:val="00F52DA7"/>
    <w:rsid w:val="00F53827"/>
    <w:rsid w:val="00F5530C"/>
    <w:rsid w:val="00F556E9"/>
    <w:rsid w:val="00F55976"/>
    <w:rsid w:val="00F5632B"/>
    <w:rsid w:val="00F564CC"/>
    <w:rsid w:val="00F56B76"/>
    <w:rsid w:val="00F6291B"/>
    <w:rsid w:val="00F630B7"/>
    <w:rsid w:val="00F7006D"/>
    <w:rsid w:val="00F71AE2"/>
    <w:rsid w:val="00F71C16"/>
    <w:rsid w:val="00F7203D"/>
    <w:rsid w:val="00F72139"/>
    <w:rsid w:val="00F749AF"/>
    <w:rsid w:val="00F766E7"/>
    <w:rsid w:val="00F768C4"/>
    <w:rsid w:val="00F76955"/>
    <w:rsid w:val="00F77BB0"/>
    <w:rsid w:val="00F8001D"/>
    <w:rsid w:val="00F82D08"/>
    <w:rsid w:val="00F83C4B"/>
    <w:rsid w:val="00F852E0"/>
    <w:rsid w:val="00F85FF7"/>
    <w:rsid w:val="00F87C5E"/>
    <w:rsid w:val="00F906CB"/>
    <w:rsid w:val="00F908C2"/>
    <w:rsid w:val="00F90C57"/>
    <w:rsid w:val="00F90FDC"/>
    <w:rsid w:val="00F9180C"/>
    <w:rsid w:val="00F926F3"/>
    <w:rsid w:val="00F931B6"/>
    <w:rsid w:val="00F9347E"/>
    <w:rsid w:val="00F94792"/>
    <w:rsid w:val="00F95659"/>
    <w:rsid w:val="00F965D0"/>
    <w:rsid w:val="00F96BA0"/>
    <w:rsid w:val="00F974C5"/>
    <w:rsid w:val="00F97C76"/>
    <w:rsid w:val="00FA0385"/>
    <w:rsid w:val="00FA2B03"/>
    <w:rsid w:val="00FA3F75"/>
    <w:rsid w:val="00FA6932"/>
    <w:rsid w:val="00FA6E34"/>
    <w:rsid w:val="00FA6E86"/>
    <w:rsid w:val="00FA74EB"/>
    <w:rsid w:val="00FA7F71"/>
    <w:rsid w:val="00FB0140"/>
    <w:rsid w:val="00FB028A"/>
    <w:rsid w:val="00FB04C6"/>
    <w:rsid w:val="00FB0B94"/>
    <w:rsid w:val="00FB0C5E"/>
    <w:rsid w:val="00FB0E20"/>
    <w:rsid w:val="00FB1946"/>
    <w:rsid w:val="00FB3B5C"/>
    <w:rsid w:val="00FB3DF6"/>
    <w:rsid w:val="00FB4125"/>
    <w:rsid w:val="00FB47C2"/>
    <w:rsid w:val="00FB4DE9"/>
    <w:rsid w:val="00FB51A9"/>
    <w:rsid w:val="00FB5BFE"/>
    <w:rsid w:val="00FB7486"/>
    <w:rsid w:val="00FC0F16"/>
    <w:rsid w:val="00FC24C8"/>
    <w:rsid w:val="00FC3090"/>
    <w:rsid w:val="00FC38E3"/>
    <w:rsid w:val="00FC3C4B"/>
    <w:rsid w:val="00FC464B"/>
    <w:rsid w:val="00FC4EE7"/>
    <w:rsid w:val="00FC577A"/>
    <w:rsid w:val="00FC58EC"/>
    <w:rsid w:val="00FD07C7"/>
    <w:rsid w:val="00FD12CE"/>
    <w:rsid w:val="00FD38EC"/>
    <w:rsid w:val="00FD42C3"/>
    <w:rsid w:val="00FD4346"/>
    <w:rsid w:val="00FD4B17"/>
    <w:rsid w:val="00FD50D0"/>
    <w:rsid w:val="00FD5AC9"/>
    <w:rsid w:val="00FD63CE"/>
    <w:rsid w:val="00FD64E5"/>
    <w:rsid w:val="00FD6752"/>
    <w:rsid w:val="00FE0415"/>
    <w:rsid w:val="00FE210F"/>
    <w:rsid w:val="00FE2754"/>
    <w:rsid w:val="00FE3AB5"/>
    <w:rsid w:val="00FE5051"/>
    <w:rsid w:val="00FE517E"/>
    <w:rsid w:val="00FE6820"/>
    <w:rsid w:val="00FE6C46"/>
    <w:rsid w:val="00FE6F98"/>
    <w:rsid w:val="00FE7834"/>
    <w:rsid w:val="00FE7DBD"/>
    <w:rsid w:val="00FF06FB"/>
    <w:rsid w:val="00FF219B"/>
    <w:rsid w:val="00FF2721"/>
    <w:rsid w:val="00FF2DC0"/>
    <w:rsid w:val="00FF2E38"/>
    <w:rsid w:val="00FF3FB8"/>
    <w:rsid w:val="00FF5703"/>
    <w:rsid w:val="00FF58E4"/>
    <w:rsid w:val="00FF63AA"/>
    <w:rsid w:val="00FF6A7B"/>
    <w:rsid w:val="00FF7A89"/>
    <w:rsid w:val="01510EA1"/>
    <w:rsid w:val="02813F47"/>
    <w:rsid w:val="02FC1E59"/>
    <w:rsid w:val="0318033F"/>
    <w:rsid w:val="04361B5C"/>
    <w:rsid w:val="054F1D33"/>
    <w:rsid w:val="055324A0"/>
    <w:rsid w:val="06CA750B"/>
    <w:rsid w:val="08215018"/>
    <w:rsid w:val="0A5258BC"/>
    <w:rsid w:val="0DD64E00"/>
    <w:rsid w:val="0E7A7B2F"/>
    <w:rsid w:val="0EB818CE"/>
    <w:rsid w:val="102D78C2"/>
    <w:rsid w:val="140E0D3E"/>
    <w:rsid w:val="180E254D"/>
    <w:rsid w:val="1A106690"/>
    <w:rsid w:val="20227F3D"/>
    <w:rsid w:val="20E31C03"/>
    <w:rsid w:val="24494493"/>
    <w:rsid w:val="24570EAB"/>
    <w:rsid w:val="24C63527"/>
    <w:rsid w:val="24C85B52"/>
    <w:rsid w:val="257F5811"/>
    <w:rsid w:val="25C81E3B"/>
    <w:rsid w:val="27965D39"/>
    <w:rsid w:val="2C1D539A"/>
    <w:rsid w:val="2CA270FC"/>
    <w:rsid w:val="2DAB5CAD"/>
    <w:rsid w:val="2EC16517"/>
    <w:rsid w:val="2FFC0EA0"/>
    <w:rsid w:val="30474D2C"/>
    <w:rsid w:val="317E403C"/>
    <w:rsid w:val="32A92F3C"/>
    <w:rsid w:val="36FC01BC"/>
    <w:rsid w:val="37AF00D9"/>
    <w:rsid w:val="387F34DB"/>
    <w:rsid w:val="39B63BB8"/>
    <w:rsid w:val="3A0658E3"/>
    <w:rsid w:val="3A700139"/>
    <w:rsid w:val="3B6921B8"/>
    <w:rsid w:val="3CF0331F"/>
    <w:rsid w:val="3D722D54"/>
    <w:rsid w:val="3D9D1CFC"/>
    <w:rsid w:val="42885221"/>
    <w:rsid w:val="44A568ED"/>
    <w:rsid w:val="4843163A"/>
    <w:rsid w:val="4959346D"/>
    <w:rsid w:val="4A2F3B7F"/>
    <w:rsid w:val="4A3E4761"/>
    <w:rsid w:val="4A745CF5"/>
    <w:rsid w:val="4D121CBC"/>
    <w:rsid w:val="4EA763C9"/>
    <w:rsid w:val="4FAB7BCA"/>
    <w:rsid w:val="4FDC332F"/>
    <w:rsid w:val="50646321"/>
    <w:rsid w:val="50707C11"/>
    <w:rsid w:val="53534575"/>
    <w:rsid w:val="55B12FB0"/>
    <w:rsid w:val="5AF90E33"/>
    <w:rsid w:val="5B820547"/>
    <w:rsid w:val="5C771D94"/>
    <w:rsid w:val="5D0500AC"/>
    <w:rsid w:val="650C5180"/>
    <w:rsid w:val="656E3DC4"/>
    <w:rsid w:val="65E847B6"/>
    <w:rsid w:val="67981582"/>
    <w:rsid w:val="67D17772"/>
    <w:rsid w:val="67E5031C"/>
    <w:rsid w:val="68DA6750"/>
    <w:rsid w:val="68E81906"/>
    <w:rsid w:val="6CD20D8B"/>
    <w:rsid w:val="6D47132D"/>
    <w:rsid w:val="6D4E681C"/>
    <w:rsid w:val="73777CCB"/>
    <w:rsid w:val="74D352D4"/>
    <w:rsid w:val="74DB4DEB"/>
    <w:rsid w:val="74E5605D"/>
    <w:rsid w:val="751A7283"/>
    <w:rsid w:val="755A2249"/>
    <w:rsid w:val="75BE2FF6"/>
    <w:rsid w:val="75E949B1"/>
    <w:rsid w:val="76C9723B"/>
    <w:rsid w:val="783B584A"/>
    <w:rsid w:val="796A7276"/>
    <w:rsid w:val="7A4B7655"/>
    <w:rsid w:val="7A4E103A"/>
    <w:rsid w:val="7A857299"/>
    <w:rsid w:val="7B095F9A"/>
    <w:rsid w:val="7D973620"/>
    <w:rsid w:val="7DD7224C"/>
    <w:rsid w:val="7F386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99" w:semiHidden="0" w:name="heading 7"/>
    <w:lsdException w:qFormat="1" w:uiPriority="99" w:semiHidden="0" w:name="heading 8"/>
    <w:lsdException w:qFormat="1" w:uiPriority="9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auto"/>
      <w:ind w:firstLine="482" w:firstLineChars="200"/>
      <w:jc w:val="both"/>
    </w:pPr>
    <w:rPr>
      <w:rFonts w:ascii="楷体" w:hAnsi="楷体" w:eastAsia="宋体" w:cstheme="minorBidi"/>
      <w:kern w:val="2"/>
      <w:sz w:val="24"/>
      <w:szCs w:val="28"/>
      <w:lang w:val="en-US" w:eastAsia="zh-CN" w:bidi="ar-SA"/>
    </w:rPr>
  </w:style>
  <w:style w:type="paragraph" w:styleId="3">
    <w:name w:val="heading 1"/>
    <w:basedOn w:val="1"/>
    <w:next w:val="1"/>
    <w:link w:val="54"/>
    <w:qFormat/>
    <w:uiPriority w:val="9"/>
    <w:pPr>
      <w:keepNext/>
      <w:keepLines/>
      <w:numPr>
        <w:ilvl w:val="0"/>
        <w:numId w:val="1"/>
      </w:numPr>
      <w:spacing w:before="480" w:after="360" w:line="600" w:lineRule="exact"/>
      <w:ind w:firstLineChars="0"/>
      <w:jc w:val="center"/>
      <w:outlineLvl w:val="0"/>
    </w:pPr>
    <w:rPr>
      <w:rFonts w:ascii="黑体" w:hAnsi="黑体" w:eastAsia="黑体" w:cs="Times New Roman"/>
      <w:bCs/>
      <w:kern w:val="0"/>
      <w:sz w:val="32"/>
    </w:rPr>
  </w:style>
  <w:style w:type="paragraph" w:styleId="4">
    <w:name w:val="heading 2"/>
    <w:basedOn w:val="1"/>
    <w:next w:val="1"/>
    <w:link w:val="55"/>
    <w:unhideWhenUsed/>
    <w:qFormat/>
    <w:uiPriority w:val="9"/>
    <w:pPr>
      <w:keepNext/>
      <w:keepLines/>
      <w:numPr>
        <w:ilvl w:val="1"/>
        <w:numId w:val="1"/>
      </w:numPr>
      <w:spacing w:before="480" w:after="120" w:line="600" w:lineRule="exact"/>
      <w:ind w:firstLineChars="0"/>
      <w:jc w:val="left"/>
      <w:outlineLvl w:val="1"/>
    </w:pPr>
    <w:rPr>
      <w:rFonts w:ascii="方正楷体GBK" w:hAnsi="方正楷体GBK" w:eastAsia="方正楷体_GBK" w:cs="Times New Roman"/>
      <w:bCs/>
      <w:kern w:val="0"/>
      <w:sz w:val="32"/>
    </w:rPr>
  </w:style>
  <w:style w:type="paragraph" w:styleId="5">
    <w:name w:val="heading 3"/>
    <w:basedOn w:val="1"/>
    <w:next w:val="1"/>
    <w:link w:val="56"/>
    <w:unhideWhenUsed/>
    <w:qFormat/>
    <w:uiPriority w:val="0"/>
    <w:pPr>
      <w:keepNext/>
      <w:keepLines/>
      <w:numPr>
        <w:ilvl w:val="2"/>
        <w:numId w:val="1"/>
      </w:numPr>
      <w:spacing w:before="240" w:after="120" w:line="600" w:lineRule="exact"/>
      <w:ind w:firstLineChars="0"/>
      <w:jc w:val="left"/>
      <w:outlineLvl w:val="2"/>
    </w:pPr>
    <w:rPr>
      <w:rFonts w:ascii="方正仿宋GBK" w:hAnsi="方正仿宋GBK" w:eastAsia="方正仿宋_GBK" w:cs="Times New Roman"/>
      <w:b/>
      <w:bCs/>
      <w:kern w:val="0"/>
      <w:sz w:val="32"/>
    </w:rPr>
  </w:style>
  <w:style w:type="paragraph" w:styleId="6">
    <w:name w:val="heading 4"/>
    <w:basedOn w:val="1"/>
    <w:next w:val="1"/>
    <w:link w:val="57"/>
    <w:unhideWhenUsed/>
    <w:qFormat/>
    <w:uiPriority w:val="0"/>
    <w:pPr>
      <w:numPr>
        <w:ilvl w:val="3"/>
        <w:numId w:val="1"/>
      </w:numPr>
      <w:spacing w:before="240" w:after="120" w:line="600" w:lineRule="exact"/>
      <w:ind w:firstLineChars="0"/>
      <w:jc w:val="left"/>
      <w:outlineLvl w:val="3"/>
    </w:pPr>
    <w:rPr>
      <w:rFonts w:ascii="方正仿宋GBK" w:hAnsi="方正仿宋GBK" w:eastAsia="方正仿宋_GBK" w:cs="Times New Roman"/>
      <w:bCs/>
      <w:sz w:val="32"/>
    </w:rPr>
  </w:style>
  <w:style w:type="paragraph" w:styleId="7">
    <w:name w:val="heading 5"/>
    <w:basedOn w:val="1"/>
    <w:next w:val="1"/>
    <w:link w:val="58"/>
    <w:unhideWhenUsed/>
    <w:qFormat/>
    <w:uiPriority w:val="0"/>
    <w:pPr>
      <w:numPr>
        <w:ilvl w:val="4"/>
        <w:numId w:val="1"/>
      </w:numPr>
      <w:spacing w:before="240" w:after="120" w:line="600" w:lineRule="exact"/>
      <w:ind w:firstLineChars="0"/>
      <w:jc w:val="left"/>
      <w:outlineLvl w:val="4"/>
    </w:pPr>
    <w:rPr>
      <w:rFonts w:ascii="黑体" w:hAnsi="黑体" w:eastAsia="黑体" w:cs="Times New Roman"/>
      <w:szCs w:val="24"/>
    </w:rPr>
  </w:style>
  <w:style w:type="paragraph" w:styleId="8">
    <w:name w:val="heading 6"/>
    <w:basedOn w:val="7"/>
    <w:next w:val="1"/>
    <w:link w:val="59"/>
    <w:unhideWhenUsed/>
    <w:qFormat/>
    <w:uiPriority w:val="0"/>
    <w:pPr>
      <w:keepNext/>
      <w:keepLines/>
      <w:numPr>
        <w:ilvl w:val="5"/>
      </w:numPr>
      <w:outlineLvl w:val="5"/>
    </w:pPr>
    <w:rPr>
      <w:bCs/>
    </w:rPr>
  </w:style>
  <w:style w:type="paragraph" w:styleId="9">
    <w:name w:val="heading 7"/>
    <w:basedOn w:val="1"/>
    <w:next w:val="1"/>
    <w:link w:val="60"/>
    <w:unhideWhenUsed/>
    <w:qFormat/>
    <w:uiPriority w:val="99"/>
    <w:pPr>
      <w:keepNext/>
      <w:keepLines/>
      <w:numPr>
        <w:ilvl w:val="6"/>
        <w:numId w:val="2"/>
      </w:numPr>
      <w:spacing w:before="240" w:after="64" w:line="320" w:lineRule="auto"/>
      <w:ind w:firstLineChars="0"/>
      <w:outlineLvl w:val="6"/>
    </w:pPr>
    <w:rPr>
      <w:rFonts w:ascii="Calibri" w:hAnsi="Calibri" w:cs="Times New Roman"/>
      <w:b/>
      <w:bCs/>
      <w:szCs w:val="24"/>
    </w:rPr>
  </w:style>
  <w:style w:type="paragraph" w:styleId="10">
    <w:name w:val="heading 8"/>
    <w:basedOn w:val="1"/>
    <w:next w:val="1"/>
    <w:link w:val="61"/>
    <w:unhideWhenUsed/>
    <w:qFormat/>
    <w:uiPriority w:val="99"/>
    <w:pPr>
      <w:keepNext/>
      <w:keepLines/>
      <w:numPr>
        <w:ilvl w:val="7"/>
        <w:numId w:val="2"/>
      </w:numPr>
      <w:spacing w:before="240" w:after="64" w:line="320" w:lineRule="auto"/>
      <w:ind w:firstLineChars="0"/>
      <w:outlineLvl w:val="7"/>
    </w:pPr>
    <w:rPr>
      <w:rFonts w:ascii="Cambria" w:hAnsi="Cambria" w:cs="Times New Roman"/>
      <w:szCs w:val="24"/>
    </w:rPr>
  </w:style>
  <w:style w:type="paragraph" w:styleId="11">
    <w:name w:val="heading 9"/>
    <w:basedOn w:val="1"/>
    <w:next w:val="1"/>
    <w:link w:val="62"/>
    <w:unhideWhenUsed/>
    <w:qFormat/>
    <w:uiPriority w:val="99"/>
    <w:pPr>
      <w:keepNext/>
      <w:keepLines/>
      <w:numPr>
        <w:ilvl w:val="8"/>
        <w:numId w:val="2"/>
      </w:numPr>
      <w:spacing w:before="240" w:after="64" w:line="320" w:lineRule="auto"/>
      <w:ind w:firstLineChars="0"/>
      <w:outlineLvl w:val="8"/>
    </w:pPr>
    <w:rPr>
      <w:rFonts w:ascii="Cambria" w:hAnsi="Cambria" w:cs="Times New Roman"/>
      <w:szCs w:val="21"/>
    </w:rPr>
  </w:style>
  <w:style w:type="character" w:default="1" w:styleId="47">
    <w:name w:val="Default Paragraph Font"/>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2"/>
    <w:unhideWhenUsed/>
    <w:qFormat/>
    <w:uiPriority w:val="99"/>
    <w:pPr>
      <w:spacing w:after="120" w:line="120" w:lineRule="atLeast"/>
      <w:ind w:firstLine="0" w:firstLineChars="0"/>
    </w:pPr>
  </w:style>
  <w:style w:type="paragraph" w:styleId="12">
    <w:name w:val="toc 7"/>
    <w:basedOn w:val="1"/>
    <w:next w:val="1"/>
    <w:unhideWhenUsed/>
    <w:qFormat/>
    <w:uiPriority w:val="39"/>
    <w:pPr>
      <w:ind w:left="2520" w:leftChars="1200"/>
    </w:pPr>
  </w:style>
  <w:style w:type="paragraph" w:styleId="13">
    <w:name w:val="List Number"/>
    <w:basedOn w:val="1"/>
    <w:qFormat/>
    <w:uiPriority w:val="0"/>
    <w:pPr>
      <w:spacing w:beforeLines="50" w:afterLines="50" w:line="360" w:lineRule="auto"/>
      <w:ind w:left="846" w:hanging="420" w:firstLineChars="0"/>
    </w:pPr>
    <w:rPr>
      <w:rFonts w:ascii="Calibri" w:hAnsi="Calibri" w:cs="Times New Roman"/>
      <w:szCs w:val="24"/>
    </w:rPr>
  </w:style>
  <w:style w:type="paragraph" w:styleId="14">
    <w:name w:val="Normal Indent"/>
    <w:basedOn w:val="1"/>
    <w:link w:val="170"/>
    <w:qFormat/>
    <w:uiPriority w:val="0"/>
    <w:pPr>
      <w:spacing w:before="156" w:after="156"/>
      <w:ind w:firstLine="480" w:firstLineChars="0"/>
    </w:pPr>
    <w:rPr>
      <w:sz w:val="21"/>
      <w:szCs w:val="20"/>
    </w:rPr>
  </w:style>
  <w:style w:type="paragraph" w:styleId="15">
    <w:name w:val="caption"/>
    <w:basedOn w:val="1"/>
    <w:next w:val="1"/>
    <w:link w:val="153"/>
    <w:unhideWhenUsed/>
    <w:qFormat/>
    <w:uiPriority w:val="35"/>
    <w:pPr>
      <w:numPr>
        <w:ilvl w:val="7"/>
        <w:numId w:val="1"/>
      </w:numPr>
      <w:spacing w:before="120" w:after="240" w:line="240" w:lineRule="auto"/>
      <w:ind w:firstLineChars="0"/>
      <w:jc w:val="center"/>
      <w:outlineLvl w:val="7"/>
    </w:pPr>
    <w:rPr>
      <w:rFonts w:ascii="宋体" w:hAnsi="宋体" w:cstheme="majorBidi"/>
      <w:kern w:val="0"/>
      <w:sz w:val="21"/>
      <w:szCs w:val="20"/>
    </w:rPr>
  </w:style>
  <w:style w:type="paragraph" w:styleId="16">
    <w:name w:val="List Bullet"/>
    <w:basedOn w:val="1"/>
    <w:qFormat/>
    <w:uiPriority w:val="0"/>
    <w:pPr>
      <w:tabs>
        <w:tab w:val="left" w:pos="1494"/>
      </w:tabs>
      <w:spacing w:line="240" w:lineRule="atLeast"/>
      <w:ind w:left="1474" w:hanging="340" w:firstLineChars="0"/>
    </w:pPr>
    <w:rPr>
      <w:rFonts w:ascii="Calibri" w:hAnsi="Calibri" w:cs="Times New Roman"/>
      <w:sz w:val="28"/>
      <w:szCs w:val="20"/>
    </w:rPr>
  </w:style>
  <w:style w:type="paragraph" w:styleId="17">
    <w:name w:val="Document Map"/>
    <w:basedOn w:val="1"/>
    <w:link w:val="124"/>
    <w:qFormat/>
    <w:uiPriority w:val="0"/>
    <w:pPr>
      <w:spacing w:beforeLines="50" w:afterLines="50" w:line="360" w:lineRule="auto"/>
      <w:ind w:firstLine="0" w:firstLineChars="0"/>
    </w:pPr>
    <w:rPr>
      <w:rFonts w:ascii="宋体" w:hAnsi="Calibri" w:cs="Times New Roman"/>
      <w:sz w:val="18"/>
      <w:szCs w:val="18"/>
    </w:rPr>
  </w:style>
  <w:style w:type="paragraph" w:styleId="18">
    <w:name w:val="toa heading"/>
    <w:basedOn w:val="1"/>
    <w:next w:val="1"/>
    <w:qFormat/>
    <w:uiPriority w:val="0"/>
    <w:pPr>
      <w:tabs>
        <w:tab w:val="left" w:pos="780"/>
      </w:tabs>
      <w:autoSpaceDE w:val="0"/>
      <w:autoSpaceDN w:val="0"/>
      <w:adjustRightInd w:val="0"/>
      <w:spacing w:before="120" w:beforeLines="50" w:after="120" w:afterLines="50" w:line="240" w:lineRule="auto"/>
      <w:ind w:firstLine="0" w:firstLineChars="0"/>
    </w:pPr>
    <w:rPr>
      <w:rFonts w:ascii="Calibri" w:hAnsi="Calibri" w:eastAsia="仿宋_GB2312" w:cs="Times New Roman"/>
      <w:b/>
      <w:kern w:val="0"/>
      <w:szCs w:val="20"/>
    </w:rPr>
  </w:style>
  <w:style w:type="paragraph" w:styleId="19">
    <w:name w:val="annotation text"/>
    <w:basedOn w:val="1"/>
    <w:link w:val="125"/>
    <w:qFormat/>
    <w:uiPriority w:val="0"/>
    <w:pPr>
      <w:spacing w:beforeLines="50" w:afterLines="50" w:line="360" w:lineRule="auto"/>
      <w:ind w:firstLine="0" w:firstLineChars="0"/>
      <w:jc w:val="left"/>
    </w:pPr>
    <w:rPr>
      <w:rFonts w:ascii="Calibri" w:hAnsi="Calibri" w:cs="Times New Roman"/>
      <w:szCs w:val="24"/>
    </w:rPr>
  </w:style>
  <w:style w:type="paragraph" w:styleId="20">
    <w:name w:val="Body Text Indent"/>
    <w:basedOn w:val="1"/>
    <w:link w:val="126"/>
    <w:qFormat/>
    <w:uiPriority w:val="0"/>
    <w:pPr>
      <w:spacing w:beforeLines="50" w:line="360" w:lineRule="auto"/>
      <w:ind w:left="420" w:leftChars="200" w:firstLine="0" w:firstLineChars="0"/>
    </w:pPr>
    <w:rPr>
      <w:rFonts w:ascii="Calibri" w:hAnsi="Calibri" w:cs="Times New Roman"/>
      <w:szCs w:val="24"/>
    </w:rPr>
  </w:style>
  <w:style w:type="paragraph" w:styleId="21">
    <w:name w:val="toc 5"/>
    <w:basedOn w:val="1"/>
    <w:next w:val="1"/>
    <w:unhideWhenUsed/>
    <w:qFormat/>
    <w:uiPriority w:val="39"/>
    <w:pPr>
      <w:ind w:left="1680" w:leftChars="800"/>
    </w:pPr>
  </w:style>
  <w:style w:type="paragraph" w:styleId="22">
    <w:name w:val="toc 3"/>
    <w:basedOn w:val="1"/>
    <w:next w:val="1"/>
    <w:unhideWhenUsed/>
    <w:qFormat/>
    <w:uiPriority w:val="39"/>
    <w:pPr>
      <w:ind w:left="840" w:leftChars="400"/>
    </w:pPr>
    <w:rPr>
      <w:rFonts w:eastAsia="方正仿宋_GBK"/>
      <w:sz w:val="32"/>
    </w:rPr>
  </w:style>
  <w:style w:type="paragraph" w:styleId="23">
    <w:name w:val="Plain Text"/>
    <w:basedOn w:val="1"/>
    <w:link w:val="127"/>
    <w:qFormat/>
    <w:uiPriority w:val="0"/>
    <w:pPr>
      <w:spacing w:line="240" w:lineRule="auto"/>
      <w:ind w:firstLine="0" w:firstLineChars="0"/>
    </w:pPr>
    <w:rPr>
      <w:rFonts w:ascii="宋体" w:hAnsi="Courier New" w:cs="Times New Roman"/>
      <w:sz w:val="21"/>
      <w:szCs w:val="20"/>
    </w:rPr>
  </w:style>
  <w:style w:type="paragraph" w:styleId="24">
    <w:name w:val="toc 8"/>
    <w:basedOn w:val="1"/>
    <w:next w:val="1"/>
    <w:unhideWhenUsed/>
    <w:qFormat/>
    <w:uiPriority w:val="39"/>
    <w:pPr>
      <w:ind w:left="2940" w:leftChars="1400"/>
    </w:pPr>
  </w:style>
  <w:style w:type="paragraph" w:styleId="25">
    <w:name w:val="Body Text Indent 2"/>
    <w:basedOn w:val="1"/>
    <w:link w:val="128"/>
    <w:qFormat/>
    <w:uiPriority w:val="0"/>
    <w:pPr>
      <w:spacing w:beforeLines="50"/>
      <w:ind w:left="420" w:leftChars="200" w:firstLine="0" w:firstLineChars="0"/>
    </w:pPr>
    <w:rPr>
      <w:rFonts w:ascii="Calibri" w:hAnsi="Calibri" w:cs="Times New Roman"/>
      <w:szCs w:val="24"/>
    </w:rPr>
  </w:style>
  <w:style w:type="paragraph" w:styleId="26">
    <w:name w:val="Balloon Text"/>
    <w:basedOn w:val="1"/>
    <w:link w:val="68"/>
    <w:unhideWhenUsed/>
    <w:qFormat/>
    <w:uiPriority w:val="0"/>
    <w:rPr>
      <w:sz w:val="18"/>
      <w:szCs w:val="18"/>
    </w:rPr>
  </w:style>
  <w:style w:type="paragraph" w:styleId="27">
    <w:name w:val="footer"/>
    <w:basedOn w:val="1"/>
    <w:link w:val="95"/>
    <w:unhideWhenUsed/>
    <w:qFormat/>
    <w:uiPriority w:val="99"/>
    <w:pPr>
      <w:tabs>
        <w:tab w:val="center" w:pos="4153"/>
        <w:tab w:val="right" w:pos="8306"/>
      </w:tabs>
      <w:snapToGrid w:val="0"/>
      <w:spacing w:line="240" w:lineRule="auto"/>
      <w:jc w:val="left"/>
    </w:pPr>
    <w:rPr>
      <w:sz w:val="18"/>
      <w:szCs w:val="18"/>
    </w:rPr>
  </w:style>
  <w:style w:type="paragraph" w:styleId="28">
    <w:name w:val="header"/>
    <w:basedOn w:val="1"/>
    <w:link w:val="63"/>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pPr>
      <w:ind w:firstLine="0"/>
    </w:pPr>
    <w:rPr>
      <w:rFonts w:ascii="宋体" w:hAnsi="宋体" w:eastAsia="黑体"/>
      <w:sz w:val="32"/>
    </w:rPr>
  </w:style>
  <w:style w:type="paragraph" w:styleId="30">
    <w:name w:val="toc 4"/>
    <w:basedOn w:val="1"/>
    <w:next w:val="1"/>
    <w:unhideWhenUsed/>
    <w:qFormat/>
    <w:uiPriority w:val="39"/>
    <w:pPr>
      <w:ind w:left="1260" w:leftChars="600"/>
    </w:pPr>
    <w:rPr>
      <w:rFonts w:eastAsia="方正仿宋_GBK"/>
      <w:sz w:val="32"/>
    </w:rPr>
  </w:style>
  <w:style w:type="paragraph" w:styleId="31">
    <w:name w:val="toc 6"/>
    <w:basedOn w:val="1"/>
    <w:next w:val="1"/>
    <w:unhideWhenUsed/>
    <w:qFormat/>
    <w:uiPriority w:val="39"/>
    <w:pPr>
      <w:ind w:left="2100" w:leftChars="1000"/>
    </w:pPr>
  </w:style>
  <w:style w:type="paragraph" w:styleId="32">
    <w:name w:val="Body Text Indent 3"/>
    <w:basedOn w:val="1"/>
    <w:link w:val="129"/>
    <w:qFormat/>
    <w:uiPriority w:val="0"/>
    <w:pPr>
      <w:spacing w:beforeLines="50" w:line="360" w:lineRule="auto"/>
      <w:ind w:left="420" w:leftChars="200" w:firstLine="0" w:firstLineChars="0"/>
    </w:pPr>
    <w:rPr>
      <w:rFonts w:ascii="Calibri" w:hAnsi="Calibri" w:cs="Times New Roman"/>
      <w:sz w:val="16"/>
      <w:szCs w:val="16"/>
    </w:rPr>
  </w:style>
  <w:style w:type="paragraph" w:styleId="33">
    <w:name w:val="toc 2"/>
    <w:basedOn w:val="1"/>
    <w:next w:val="1"/>
    <w:unhideWhenUsed/>
    <w:qFormat/>
    <w:uiPriority w:val="39"/>
    <w:pPr>
      <w:ind w:left="420" w:leftChars="200"/>
    </w:pPr>
    <w:rPr>
      <w:rFonts w:eastAsia="方正楷体_GBK"/>
      <w:sz w:val="32"/>
    </w:rPr>
  </w:style>
  <w:style w:type="paragraph" w:styleId="34">
    <w:name w:val="toc 9"/>
    <w:basedOn w:val="1"/>
    <w:next w:val="1"/>
    <w:unhideWhenUsed/>
    <w:qFormat/>
    <w:uiPriority w:val="39"/>
    <w:pPr>
      <w:ind w:left="3360" w:leftChars="1600"/>
    </w:pPr>
  </w:style>
  <w:style w:type="paragraph" w:styleId="35">
    <w:name w:val="Body Text 2"/>
    <w:basedOn w:val="1"/>
    <w:link w:val="130"/>
    <w:qFormat/>
    <w:uiPriority w:val="0"/>
    <w:pPr>
      <w:numPr>
        <w:ilvl w:val="0"/>
        <w:numId w:val="3"/>
      </w:numPr>
      <w:spacing w:line="360" w:lineRule="auto"/>
      <w:ind w:firstLine="0" w:firstLineChars="0"/>
    </w:pPr>
    <w:rPr>
      <w:rFonts w:ascii="Times New Roman" w:hAnsi="Times New Roman" w:cs="Times New Roman"/>
      <w:szCs w:val="24"/>
    </w:rPr>
  </w:style>
  <w:style w:type="paragraph" w:styleId="36">
    <w:name w:val="HTML Preformatted"/>
    <w:basedOn w:val="1"/>
    <w:link w:val="1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cs="Times New Roman"/>
      <w:kern w:val="0"/>
      <w:szCs w:val="24"/>
    </w:rPr>
  </w:style>
  <w:style w:type="paragraph" w:styleId="37">
    <w:name w:val="Normal (Web)"/>
    <w:basedOn w:val="1"/>
    <w:link w:val="208"/>
    <w:unhideWhenUsed/>
    <w:qFormat/>
    <w:uiPriority w:val="0"/>
    <w:pPr>
      <w:widowControl/>
      <w:spacing w:before="100" w:beforeAutospacing="1" w:after="100" w:afterAutospacing="1" w:line="240" w:lineRule="auto"/>
      <w:ind w:firstLine="0"/>
      <w:jc w:val="left"/>
    </w:pPr>
    <w:rPr>
      <w:rFonts w:ascii="宋体" w:hAnsi="宋体" w:cs="宋体"/>
      <w:kern w:val="0"/>
      <w:szCs w:val="24"/>
    </w:rPr>
  </w:style>
  <w:style w:type="paragraph" w:styleId="38">
    <w:name w:val="index 1"/>
    <w:basedOn w:val="1"/>
    <w:next w:val="1"/>
    <w:qFormat/>
    <w:uiPriority w:val="0"/>
    <w:pPr>
      <w:spacing w:line="240" w:lineRule="auto"/>
      <w:ind w:firstLine="0" w:firstLineChars="0"/>
    </w:pPr>
    <w:rPr>
      <w:rFonts w:ascii="Calibri" w:hAnsi="Calibri" w:cs="Times New Roman"/>
      <w:sz w:val="21"/>
      <w:szCs w:val="24"/>
    </w:rPr>
  </w:style>
  <w:style w:type="paragraph" w:styleId="39">
    <w:name w:val="Title"/>
    <w:basedOn w:val="1"/>
    <w:next w:val="1"/>
    <w:link w:val="110"/>
    <w:qFormat/>
    <w:uiPriority w:val="10"/>
    <w:pPr>
      <w:spacing w:before="240" w:after="60" w:line="360" w:lineRule="auto"/>
      <w:ind w:firstLine="480"/>
      <w:jc w:val="center"/>
      <w:outlineLvl w:val="0"/>
    </w:pPr>
    <w:rPr>
      <w:rFonts w:asciiTheme="majorHAnsi" w:hAnsiTheme="majorHAnsi" w:eastAsiaTheme="majorEastAsia" w:cstheme="majorBidi"/>
      <w:b/>
      <w:bCs/>
      <w:color w:val="000000"/>
      <w:sz w:val="32"/>
      <w:szCs w:val="32"/>
    </w:rPr>
  </w:style>
  <w:style w:type="paragraph" w:styleId="40">
    <w:name w:val="annotation subject"/>
    <w:basedOn w:val="19"/>
    <w:next w:val="19"/>
    <w:link w:val="132"/>
    <w:qFormat/>
    <w:uiPriority w:val="0"/>
    <w:rPr>
      <w:b/>
      <w:bCs/>
    </w:rPr>
  </w:style>
  <w:style w:type="paragraph" w:styleId="41">
    <w:name w:val="Body Text First Indent"/>
    <w:basedOn w:val="2"/>
    <w:link w:val="133"/>
    <w:qFormat/>
    <w:uiPriority w:val="0"/>
    <w:pPr>
      <w:spacing w:after="0" w:line="240" w:lineRule="auto"/>
      <w:ind w:firstLine="420" w:firstLineChars="100"/>
    </w:pPr>
    <w:rPr>
      <w:rFonts w:ascii="Calibri" w:hAnsi="Calibri" w:cs="Times New Roman"/>
      <w:sz w:val="21"/>
      <w:szCs w:val="24"/>
    </w:rPr>
  </w:style>
  <w:style w:type="paragraph" w:styleId="42">
    <w:name w:val="Body Text First Indent 2"/>
    <w:basedOn w:val="20"/>
    <w:next w:val="1"/>
    <w:link w:val="134"/>
    <w:qFormat/>
    <w:uiPriority w:val="0"/>
    <w:pPr>
      <w:spacing w:afterLines="50"/>
      <w:ind w:firstLine="420" w:firstLineChars="200"/>
    </w:pPr>
  </w:style>
  <w:style w:type="table" w:styleId="44">
    <w:name w:val="Table Grid"/>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Light Shading Accent 6"/>
    <w:basedOn w:val="43"/>
    <w:qFormat/>
    <w:uiPriority w:val="60"/>
    <w:rPr>
      <w:rFonts w:asciiTheme="minorHAnsi" w:hAnsiTheme="minorHAnsi" w:eastAsiaTheme="minorEastAsia" w:cstheme="minorBidi"/>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46">
    <w:name w:val="Light Grid Accent 4"/>
    <w:basedOn w:val="43"/>
    <w:qFormat/>
    <w:uiPriority w:val="62"/>
    <w:rPr>
      <w:rFonts w:asciiTheme="minorHAnsi" w:hAnsiTheme="minorHAnsi" w:eastAsiaTheme="minorEastAsia" w:cstheme="minorBidi"/>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unhideWhenUsed/>
    <w:qFormat/>
    <w:uiPriority w:val="99"/>
    <w:rPr>
      <w:color w:val="800080"/>
      <w:u w:val="single"/>
    </w:rPr>
  </w:style>
  <w:style w:type="character" w:styleId="51">
    <w:name w:val="Hyperlink"/>
    <w:basedOn w:val="47"/>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paragraph" w:customStyle="1" w:styleId="53">
    <w:name w:val="表名"/>
    <w:qFormat/>
    <w:uiPriority w:val="0"/>
    <w:pPr>
      <w:spacing w:before="120" w:after="120" w:line="240" w:lineRule="auto"/>
      <w:ind w:firstLine="0" w:firstLineChars="0"/>
      <w:jc w:val="center"/>
    </w:pPr>
    <w:rPr>
      <w:rFonts w:ascii="Times New Roman" w:hAnsi="Times New Roman" w:eastAsia="宋体" w:cs="Times New Roman"/>
      <w:sz w:val="21"/>
    </w:rPr>
  </w:style>
  <w:style w:type="character" w:customStyle="1" w:styleId="54">
    <w:name w:val="标题 1 Char"/>
    <w:basedOn w:val="47"/>
    <w:link w:val="3"/>
    <w:qFormat/>
    <w:uiPriority w:val="9"/>
    <w:rPr>
      <w:rFonts w:ascii="黑体" w:hAnsi="黑体" w:eastAsia="黑体"/>
      <w:bCs/>
      <w:sz w:val="32"/>
      <w:szCs w:val="28"/>
    </w:rPr>
  </w:style>
  <w:style w:type="character" w:customStyle="1" w:styleId="55">
    <w:name w:val="标题 2 Char"/>
    <w:basedOn w:val="47"/>
    <w:link w:val="4"/>
    <w:qFormat/>
    <w:uiPriority w:val="9"/>
    <w:rPr>
      <w:rFonts w:ascii="方正楷体GBK" w:hAnsi="方正楷体GBK" w:eastAsia="方正楷体_GBK"/>
      <w:bCs/>
      <w:sz w:val="32"/>
      <w:szCs w:val="28"/>
    </w:rPr>
  </w:style>
  <w:style w:type="character" w:customStyle="1" w:styleId="56">
    <w:name w:val="标题 3 Char"/>
    <w:basedOn w:val="47"/>
    <w:link w:val="5"/>
    <w:qFormat/>
    <w:uiPriority w:val="0"/>
    <w:rPr>
      <w:rFonts w:ascii="方正仿宋GBK" w:hAnsi="方正仿宋GBK" w:eastAsia="方正仿宋_GBK"/>
      <w:b/>
      <w:bCs/>
      <w:sz w:val="32"/>
      <w:szCs w:val="28"/>
    </w:rPr>
  </w:style>
  <w:style w:type="character" w:customStyle="1" w:styleId="57">
    <w:name w:val="标题 4 Char"/>
    <w:basedOn w:val="47"/>
    <w:link w:val="6"/>
    <w:qFormat/>
    <w:uiPriority w:val="0"/>
    <w:rPr>
      <w:rFonts w:ascii="方正仿宋GBK" w:hAnsi="方正仿宋GBK" w:eastAsia="方正仿宋_GBK"/>
      <w:bCs/>
      <w:kern w:val="2"/>
      <w:sz w:val="32"/>
      <w:szCs w:val="28"/>
    </w:rPr>
  </w:style>
  <w:style w:type="character" w:customStyle="1" w:styleId="58">
    <w:name w:val="标题 5 Char"/>
    <w:basedOn w:val="47"/>
    <w:link w:val="7"/>
    <w:qFormat/>
    <w:uiPriority w:val="0"/>
    <w:rPr>
      <w:rFonts w:ascii="黑体" w:hAnsi="黑体" w:eastAsia="黑体"/>
      <w:kern w:val="2"/>
      <w:sz w:val="24"/>
      <w:szCs w:val="24"/>
    </w:rPr>
  </w:style>
  <w:style w:type="character" w:customStyle="1" w:styleId="59">
    <w:name w:val="标题 6 Char"/>
    <w:basedOn w:val="47"/>
    <w:link w:val="8"/>
    <w:qFormat/>
    <w:uiPriority w:val="0"/>
    <w:rPr>
      <w:rFonts w:ascii="黑体" w:hAnsi="黑体" w:eastAsia="黑体"/>
      <w:bCs/>
      <w:kern w:val="2"/>
      <w:sz w:val="24"/>
      <w:szCs w:val="24"/>
    </w:rPr>
  </w:style>
  <w:style w:type="character" w:customStyle="1" w:styleId="60">
    <w:name w:val="标题 7 Char"/>
    <w:basedOn w:val="47"/>
    <w:link w:val="9"/>
    <w:qFormat/>
    <w:uiPriority w:val="99"/>
    <w:rPr>
      <w:b/>
      <w:bCs/>
      <w:kern w:val="2"/>
      <w:sz w:val="24"/>
      <w:szCs w:val="24"/>
    </w:rPr>
  </w:style>
  <w:style w:type="character" w:customStyle="1" w:styleId="61">
    <w:name w:val="标题 8 Char"/>
    <w:basedOn w:val="47"/>
    <w:link w:val="10"/>
    <w:qFormat/>
    <w:uiPriority w:val="99"/>
    <w:rPr>
      <w:rFonts w:ascii="Cambria" w:hAnsi="Cambria"/>
      <w:kern w:val="2"/>
      <w:sz w:val="24"/>
      <w:szCs w:val="24"/>
    </w:rPr>
  </w:style>
  <w:style w:type="character" w:customStyle="1" w:styleId="62">
    <w:name w:val="标题 9 Char"/>
    <w:basedOn w:val="47"/>
    <w:link w:val="11"/>
    <w:qFormat/>
    <w:uiPriority w:val="99"/>
    <w:rPr>
      <w:rFonts w:ascii="Cambria" w:hAnsi="Cambria"/>
      <w:kern w:val="2"/>
      <w:sz w:val="24"/>
      <w:szCs w:val="21"/>
    </w:rPr>
  </w:style>
  <w:style w:type="character" w:customStyle="1" w:styleId="63">
    <w:name w:val="页眉 Char"/>
    <w:basedOn w:val="47"/>
    <w:link w:val="28"/>
    <w:qFormat/>
    <w:uiPriority w:val="99"/>
    <w:rPr>
      <w:sz w:val="18"/>
      <w:szCs w:val="18"/>
    </w:rPr>
  </w:style>
  <w:style w:type="paragraph" w:customStyle="1" w:styleId="64">
    <w:name w:val="表达式"/>
    <w:link w:val="71"/>
    <w:qFormat/>
    <w:uiPriority w:val="0"/>
    <w:pPr>
      <w:ind w:firstLine="0" w:firstLineChars="0"/>
      <w:jc w:val="right"/>
    </w:pPr>
    <w:rPr>
      <w:rFonts w:ascii="Times New Roman" w:hAnsi="Times New Roman" w:eastAsia="宋体" w:cs="Times New Roman"/>
    </w:rPr>
  </w:style>
  <w:style w:type="paragraph" w:styleId="65">
    <w:name w:val="List Paragraph"/>
    <w:basedOn w:val="1"/>
    <w:link w:val="66"/>
    <w:qFormat/>
    <w:uiPriority w:val="1"/>
    <w:pPr>
      <w:ind w:firstLine="420"/>
    </w:pPr>
    <w:rPr>
      <w:rFonts w:ascii="Calibri" w:hAnsi="Calibri" w:cs="Times New Roman"/>
    </w:rPr>
  </w:style>
  <w:style w:type="character" w:customStyle="1" w:styleId="66">
    <w:name w:val="列出段落 Char"/>
    <w:link w:val="65"/>
    <w:qFormat/>
    <w:uiPriority w:val="34"/>
    <w:rPr>
      <w:rFonts w:ascii="Calibri" w:hAnsi="Calibri" w:eastAsia="宋体" w:cs="Times New Roman"/>
    </w:rPr>
  </w:style>
  <w:style w:type="character" w:customStyle="1" w:styleId="67">
    <w:name w:val="未处理的提及1"/>
    <w:basedOn w:val="47"/>
    <w:semiHidden/>
    <w:unhideWhenUsed/>
    <w:qFormat/>
    <w:uiPriority w:val="99"/>
    <w:rPr>
      <w:color w:val="605E5C"/>
      <w:shd w:val="clear" w:color="auto" w:fill="E1DFDD"/>
    </w:rPr>
  </w:style>
  <w:style w:type="character" w:customStyle="1" w:styleId="68">
    <w:name w:val="批注框文本 Char"/>
    <w:basedOn w:val="47"/>
    <w:link w:val="26"/>
    <w:qFormat/>
    <w:uiPriority w:val="0"/>
    <w:rPr>
      <w:sz w:val="18"/>
      <w:szCs w:val="18"/>
    </w:rPr>
  </w:style>
  <w:style w:type="character" w:customStyle="1" w:styleId="69">
    <w:name w:val="未处理的提及2"/>
    <w:basedOn w:val="47"/>
    <w:semiHidden/>
    <w:unhideWhenUsed/>
    <w:qFormat/>
    <w:uiPriority w:val="99"/>
    <w:rPr>
      <w:color w:val="605E5C"/>
      <w:shd w:val="clear" w:color="auto" w:fill="E1DFDD"/>
    </w:rPr>
  </w:style>
  <w:style w:type="character" w:customStyle="1" w:styleId="70">
    <w:name w:val="未处理的提及3"/>
    <w:basedOn w:val="47"/>
    <w:semiHidden/>
    <w:unhideWhenUsed/>
    <w:qFormat/>
    <w:uiPriority w:val="99"/>
    <w:rPr>
      <w:color w:val="605E5C"/>
      <w:shd w:val="clear" w:color="auto" w:fill="E1DFDD"/>
    </w:rPr>
  </w:style>
  <w:style w:type="character" w:customStyle="1" w:styleId="71">
    <w:name w:val="表达式 Char"/>
    <w:basedOn w:val="57"/>
    <w:link w:val="64"/>
    <w:qFormat/>
    <w:uiPriority w:val="0"/>
    <w:rPr>
      <w:rFonts w:ascii="Times New Roman" w:hAnsi="Times New Roman" w:eastAsia="黑体" w:cstheme="minorBidi"/>
      <w:color w:val="000000" w:themeColor="text1"/>
      <w:kern w:val="2"/>
      <w:sz w:val="24"/>
      <w:szCs w:val="28"/>
      <w:lang w:val="zh-CN" w:eastAsia="zh-CN"/>
      <w14:textFill>
        <w14:solidFill>
          <w14:schemeClr w14:val="tx1"/>
        </w14:solidFill>
      </w14:textFill>
    </w:rPr>
  </w:style>
  <w:style w:type="character" w:customStyle="1" w:styleId="72">
    <w:name w:val="正文文本 Char"/>
    <w:basedOn w:val="47"/>
    <w:link w:val="2"/>
    <w:qFormat/>
    <w:uiPriority w:val="99"/>
    <w:rPr>
      <w:rFonts w:ascii="楷体" w:hAnsi="楷体" w:eastAsia="宋体" w:cstheme="minorBidi"/>
      <w:kern w:val="2"/>
      <w:sz w:val="28"/>
      <w:szCs w:val="28"/>
    </w:rPr>
  </w:style>
  <w:style w:type="character" w:customStyle="1" w:styleId="73">
    <w:name w:val="未处理的提及4"/>
    <w:basedOn w:val="47"/>
    <w:semiHidden/>
    <w:unhideWhenUsed/>
    <w:qFormat/>
    <w:uiPriority w:val="99"/>
    <w:rPr>
      <w:color w:val="605E5C"/>
      <w:shd w:val="clear" w:color="auto" w:fill="E1DFDD"/>
    </w:rPr>
  </w:style>
  <w:style w:type="paragraph" w:customStyle="1" w:styleId="74">
    <w:name w:val="msonormal"/>
    <w:basedOn w:val="1"/>
    <w:qFormat/>
    <w:uiPriority w:val="0"/>
    <w:pPr>
      <w:widowControl/>
      <w:spacing w:before="100" w:beforeAutospacing="1" w:after="100" w:afterAutospacing="1" w:line="240" w:lineRule="auto"/>
      <w:ind w:firstLine="0"/>
      <w:jc w:val="left"/>
    </w:pPr>
    <w:rPr>
      <w:rFonts w:ascii="宋体" w:hAnsi="宋体" w:cs="宋体"/>
      <w:kern w:val="0"/>
      <w:szCs w:val="24"/>
    </w:rPr>
  </w:style>
  <w:style w:type="paragraph" w:customStyle="1" w:styleId="75">
    <w:name w:val="xl65"/>
    <w:basedOn w:val="1"/>
    <w:qFormat/>
    <w:uiPriority w:val="0"/>
    <w:pPr>
      <w:widowControl/>
      <w:spacing w:before="100" w:beforeAutospacing="1" w:after="100" w:afterAutospacing="1" w:line="240" w:lineRule="auto"/>
      <w:ind w:firstLine="0"/>
      <w:jc w:val="left"/>
    </w:pPr>
    <w:rPr>
      <w:rFonts w:ascii="宋体" w:hAnsi="宋体" w:cs="宋体"/>
      <w:kern w:val="0"/>
      <w:szCs w:val="24"/>
    </w:rPr>
  </w:style>
  <w:style w:type="paragraph" w:customStyle="1" w:styleId="76">
    <w:name w:val="xl66"/>
    <w:basedOn w:val="1"/>
    <w:qFormat/>
    <w:uiPriority w:val="0"/>
    <w:pPr>
      <w:widowControl/>
      <w:spacing w:before="100" w:beforeAutospacing="1" w:after="100" w:afterAutospacing="1" w:line="240" w:lineRule="auto"/>
      <w:ind w:firstLine="0"/>
      <w:jc w:val="center"/>
    </w:pPr>
    <w:rPr>
      <w:rFonts w:ascii="宋体" w:hAnsi="宋体" w:cs="宋体"/>
      <w:kern w:val="0"/>
      <w:szCs w:val="24"/>
    </w:rPr>
  </w:style>
  <w:style w:type="paragraph" w:customStyle="1" w:styleId="7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b/>
      <w:bCs/>
      <w:kern w:val="0"/>
      <w:szCs w:val="24"/>
    </w:rPr>
  </w:style>
  <w:style w:type="paragraph" w:customStyle="1" w:styleId="7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b/>
      <w:bCs/>
      <w:kern w:val="0"/>
      <w:szCs w:val="24"/>
    </w:rPr>
  </w:style>
  <w:style w:type="paragraph" w:customStyle="1" w:styleId="7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b/>
      <w:bCs/>
      <w:color w:val="000000"/>
      <w:kern w:val="0"/>
      <w:szCs w:val="24"/>
    </w:rPr>
  </w:style>
  <w:style w:type="paragraph" w:customStyle="1" w:styleId="8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kern w:val="0"/>
      <w:szCs w:val="24"/>
    </w:rPr>
  </w:style>
  <w:style w:type="paragraph" w:customStyle="1" w:styleId="8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left"/>
    </w:pPr>
    <w:rPr>
      <w:rFonts w:ascii="宋体" w:hAnsi="宋体" w:cs="宋体"/>
      <w:kern w:val="0"/>
      <w:szCs w:val="24"/>
    </w:rPr>
  </w:style>
  <w:style w:type="paragraph" w:customStyle="1" w:styleId="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kern w:val="0"/>
      <w:szCs w:val="24"/>
    </w:rPr>
  </w:style>
  <w:style w:type="paragraph" w:customStyle="1" w:styleId="8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b/>
      <w:bCs/>
      <w:color w:val="FF0000"/>
      <w:kern w:val="0"/>
      <w:szCs w:val="24"/>
    </w:rPr>
  </w:style>
  <w:style w:type="paragraph" w:customStyle="1" w:styleId="8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kern w:val="0"/>
      <w:szCs w:val="24"/>
    </w:rPr>
  </w:style>
  <w:style w:type="paragraph" w:customStyle="1" w:styleId="8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kern w:val="0"/>
      <w:szCs w:val="24"/>
    </w:rPr>
  </w:style>
  <w:style w:type="paragraph" w:customStyle="1" w:styleId="8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kern w:val="0"/>
      <w:szCs w:val="24"/>
    </w:rPr>
  </w:style>
  <w:style w:type="paragraph" w:customStyle="1" w:styleId="8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kern w:val="0"/>
      <w:szCs w:val="24"/>
    </w:rPr>
  </w:style>
  <w:style w:type="paragraph" w:customStyle="1" w:styleId="8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left"/>
    </w:pPr>
    <w:rPr>
      <w:rFonts w:ascii="宋体" w:hAnsi="宋体" w:cs="宋体"/>
      <w:kern w:val="0"/>
      <w:szCs w:val="24"/>
    </w:rPr>
  </w:style>
  <w:style w:type="paragraph" w:customStyle="1" w:styleId="8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kern w:val="0"/>
      <w:szCs w:val="24"/>
    </w:rPr>
  </w:style>
  <w:style w:type="paragraph" w:customStyle="1" w:styleId="90">
    <w:name w:val="xl80"/>
    <w:basedOn w:val="1"/>
    <w:qFormat/>
    <w:uiPriority w:val="0"/>
    <w:pPr>
      <w:widowControl/>
      <w:pBdr>
        <w:left w:val="single" w:color="auto" w:sz="4" w:space="0"/>
        <w:right w:val="single" w:color="auto" w:sz="4" w:space="0"/>
      </w:pBdr>
      <w:spacing w:before="100" w:beforeAutospacing="1" w:after="100" w:afterAutospacing="1" w:line="240" w:lineRule="auto"/>
      <w:ind w:firstLine="0"/>
      <w:jc w:val="center"/>
    </w:pPr>
    <w:rPr>
      <w:rFonts w:ascii="宋体" w:hAnsi="宋体" w:cs="宋体"/>
      <w:kern w:val="0"/>
      <w:szCs w:val="24"/>
    </w:rPr>
  </w:style>
  <w:style w:type="paragraph" w:customStyle="1" w:styleId="91">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kern w:val="0"/>
      <w:szCs w:val="24"/>
    </w:rPr>
  </w:style>
  <w:style w:type="paragraph" w:customStyle="1" w:styleId="9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jc w:val="left"/>
    </w:pPr>
    <w:rPr>
      <w:rFonts w:ascii="宋体" w:hAnsi="宋体" w:cs="宋体"/>
      <w:kern w:val="0"/>
      <w:szCs w:val="24"/>
    </w:rPr>
  </w:style>
  <w:style w:type="paragraph" w:customStyle="1" w:styleId="93">
    <w:name w:val="xl83"/>
    <w:basedOn w:val="1"/>
    <w:qFormat/>
    <w:uiPriority w:val="0"/>
    <w:pPr>
      <w:widowControl/>
      <w:pBdr>
        <w:left w:val="single" w:color="auto" w:sz="4" w:space="0"/>
        <w:right w:val="single" w:color="auto" w:sz="4" w:space="0"/>
      </w:pBdr>
      <w:spacing w:before="100" w:beforeAutospacing="1" w:after="100" w:afterAutospacing="1" w:line="240" w:lineRule="auto"/>
      <w:ind w:firstLine="0"/>
      <w:jc w:val="left"/>
    </w:pPr>
    <w:rPr>
      <w:rFonts w:ascii="宋体" w:hAnsi="宋体" w:cs="宋体"/>
      <w:kern w:val="0"/>
      <w:szCs w:val="24"/>
    </w:rPr>
  </w:style>
  <w:style w:type="paragraph" w:customStyle="1" w:styleId="94">
    <w:name w:val="列出段落4"/>
    <w:qFormat/>
    <w:uiPriority w:val="0"/>
    <w:pPr>
      <w:spacing w:after="200" w:line="276" w:lineRule="auto"/>
      <w:ind w:firstLine="200" w:firstLineChars="200"/>
    </w:pPr>
    <w:rPr>
      <w:rFonts w:ascii="Calibri" w:hAnsi="Calibri" w:eastAsia="宋体" w:cs="Arial"/>
      <w:sz w:val="22"/>
      <w:szCs w:val="22"/>
      <w:lang w:val="en-US" w:eastAsia="zh-CN" w:bidi="ar-SA"/>
    </w:rPr>
  </w:style>
  <w:style w:type="character" w:customStyle="1" w:styleId="95">
    <w:name w:val="页脚 Char"/>
    <w:basedOn w:val="47"/>
    <w:link w:val="27"/>
    <w:qFormat/>
    <w:uiPriority w:val="99"/>
    <w:rPr>
      <w:rFonts w:ascii="楷体" w:hAnsi="楷体" w:eastAsia="楷体" w:cstheme="minorBidi"/>
      <w:kern w:val="2"/>
      <w:sz w:val="18"/>
      <w:szCs w:val="18"/>
    </w:rPr>
  </w:style>
  <w:style w:type="paragraph" w:customStyle="1" w:styleId="96">
    <w:name w:val="表格"/>
    <w:link w:val="97"/>
    <w:qFormat/>
    <w:uiPriority w:val="0"/>
    <w:rPr>
      <w:rFonts w:ascii="Times New Roman" w:hAnsi="Times New Roman" w:eastAsia="宋体" w:cs="Times New Roman"/>
      <w:sz w:val="21"/>
      <w:lang w:val="en-US" w:eastAsia="zh-CN" w:bidi="ar-SA"/>
    </w:rPr>
  </w:style>
  <w:style w:type="character" w:customStyle="1" w:styleId="97">
    <w:name w:val="表格 字符"/>
    <w:basedOn w:val="47"/>
    <w:link w:val="96"/>
    <w:qFormat/>
    <w:uiPriority w:val="0"/>
    <w:rPr>
      <w:rFonts w:ascii="Times New Roman" w:hAnsi="Times New Roman"/>
      <w:sz w:val="21"/>
    </w:rPr>
  </w:style>
  <w:style w:type="paragraph" w:customStyle="1" w:styleId="98">
    <w:name w:val="列出段落1"/>
    <w:basedOn w:val="1"/>
    <w:qFormat/>
    <w:uiPriority w:val="99"/>
    <w:pPr>
      <w:ind w:firstLine="420"/>
    </w:pPr>
    <w:rPr>
      <w:rFonts w:ascii="Times New Roman" w:hAnsi="Times New Roman" w:cs="Times New Roman"/>
      <w:szCs w:val="24"/>
    </w:rPr>
  </w:style>
  <w:style w:type="paragraph" w:customStyle="1" w:styleId="99">
    <w:name w:val="样式 首行缩进:  0.85 厘米 Char Char"/>
    <w:basedOn w:val="1"/>
    <w:qFormat/>
    <w:uiPriority w:val="0"/>
    <w:pPr>
      <w:ind w:firstLine="480"/>
    </w:pPr>
    <w:rPr>
      <w:rFonts w:ascii="Times New Roman" w:hAnsi="Times New Roman" w:cs="宋体"/>
      <w:szCs w:val="20"/>
    </w:rPr>
  </w:style>
  <w:style w:type="paragraph" w:customStyle="1" w:styleId="100">
    <w:name w:val="样式 首行缩进:  0.74 厘米"/>
    <w:basedOn w:val="1"/>
    <w:qFormat/>
    <w:uiPriority w:val="0"/>
    <w:pPr>
      <w:ind w:firstLine="420"/>
    </w:pPr>
    <w:rPr>
      <w:rFonts w:ascii="Times New Roman" w:hAnsi="Times New Roman" w:eastAsia="仿宋" w:cs="宋体"/>
      <w:szCs w:val="20"/>
    </w:rPr>
  </w:style>
  <w:style w:type="paragraph" w:customStyle="1" w:styleId="101">
    <w:name w:val="p0"/>
    <w:basedOn w:val="1"/>
    <w:qFormat/>
    <w:uiPriority w:val="0"/>
    <w:pPr>
      <w:widowControl/>
      <w:spacing w:after="120"/>
      <w:ind w:firstLine="420"/>
      <w:jc w:val="left"/>
    </w:pPr>
    <w:rPr>
      <w:rFonts w:ascii="Franklin Gothic Medium" w:hAnsi="Franklin Gothic Medium" w:cs="宋体"/>
      <w:kern w:val="0"/>
      <w:szCs w:val="24"/>
    </w:rPr>
  </w:style>
  <w:style w:type="paragraph" w:customStyle="1" w:styleId="102">
    <w:name w:val="段"/>
    <w:link w:val="105"/>
    <w:qFormat/>
    <w:uiPriority w:val="0"/>
    <w:pPr>
      <w:autoSpaceDE w:val="0"/>
      <w:autoSpaceDN w:val="0"/>
      <w:jc w:val="both"/>
    </w:pPr>
    <w:rPr>
      <w:rFonts w:ascii="宋体" w:hAnsi="宋体" w:eastAsia="宋体" w:cs="Times New Roman"/>
      <w:sz w:val="24"/>
      <w:lang w:val="en-US" w:eastAsia="zh-CN" w:bidi="ar-SA"/>
    </w:rPr>
  </w:style>
  <w:style w:type="paragraph" w:customStyle="1" w:styleId="103">
    <w:name w:val="段落样式"/>
    <w:basedOn w:val="1"/>
    <w:qFormat/>
    <w:uiPriority w:val="0"/>
    <w:pPr>
      <w:spacing w:line="360" w:lineRule="auto"/>
      <w:ind w:firstLine="0" w:firstLineChars="0"/>
      <w:jc w:val="center"/>
    </w:pPr>
  </w:style>
  <w:style w:type="paragraph" w:customStyle="1" w:styleId="104">
    <w:name w:val="文章正文"/>
    <w:basedOn w:val="1"/>
    <w:link w:val="106"/>
    <w:qFormat/>
    <w:uiPriority w:val="0"/>
    <w:pPr>
      <w:spacing w:line="360" w:lineRule="auto"/>
      <w:ind w:firstLine="560"/>
    </w:pPr>
    <w:rPr>
      <w:rFonts w:ascii="Calibri" w:hAnsi="Calibri" w:cs="Times New Roman"/>
    </w:rPr>
  </w:style>
  <w:style w:type="character" w:customStyle="1" w:styleId="105">
    <w:name w:val="段 Char"/>
    <w:link w:val="102"/>
    <w:qFormat/>
    <w:uiPriority w:val="0"/>
    <w:rPr>
      <w:rFonts w:ascii="宋体" w:hAnsi="宋体"/>
      <w:sz w:val="24"/>
    </w:rPr>
  </w:style>
  <w:style w:type="character" w:customStyle="1" w:styleId="106">
    <w:name w:val="文章正文 字符"/>
    <w:link w:val="104"/>
    <w:qFormat/>
    <w:locked/>
    <w:uiPriority w:val="0"/>
    <w:rPr>
      <w:kern w:val="2"/>
      <w:sz w:val="24"/>
      <w:szCs w:val="28"/>
    </w:rPr>
  </w:style>
  <w:style w:type="character" w:customStyle="1" w:styleId="107">
    <w:name w:val="正文格式 Char Char"/>
    <w:link w:val="108"/>
    <w:qFormat/>
    <w:uiPriority w:val="0"/>
    <w:rPr>
      <w:rFonts w:ascii="宋体" w:cs="宋体"/>
      <w:sz w:val="21"/>
      <w:szCs w:val="21"/>
    </w:rPr>
  </w:style>
  <w:style w:type="paragraph" w:customStyle="1" w:styleId="108">
    <w:name w:val="正文格式"/>
    <w:basedOn w:val="1"/>
    <w:link w:val="107"/>
    <w:qFormat/>
    <w:uiPriority w:val="0"/>
    <w:pPr>
      <w:spacing w:line="360" w:lineRule="auto"/>
      <w:ind w:firstLine="420"/>
    </w:pPr>
    <w:rPr>
      <w:rFonts w:ascii="宋体" w:hAnsi="Calibri" w:cs="宋体"/>
      <w:kern w:val="0"/>
      <w:sz w:val="21"/>
      <w:szCs w:val="21"/>
    </w:rPr>
  </w:style>
  <w:style w:type="paragraph" w:customStyle="1" w:styleId="109">
    <w:name w:val="表格列标题"/>
    <w:basedOn w:val="1"/>
    <w:qFormat/>
    <w:uiPriority w:val="0"/>
    <w:pPr>
      <w:autoSpaceDE w:val="0"/>
      <w:autoSpaceDN w:val="0"/>
      <w:adjustRightInd w:val="0"/>
      <w:spacing w:line="360" w:lineRule="auto"/>
      <w:ind w:firstLine="0" w:firstLineChars="0"/>
      <w:jc w:val="center"/>
    </w:pPr>
    <w:rPr>
      <w:rFonts w:ascii="Times New Roman" w:hAnsi="Times New Roman" w:cs="Times New Roman"/>
      <w:b/>
      <w:bCs/>
      <w:kern w:val="0"/>
      <w:sz w:val="21"/>
      <w:szCs w:val="21"/>
    </w:rPr>
  </w:style>
  <w:style w:type="character" w:customStyle="1" w:styleId="110">
    <w:name w:val="标题 Char"/>
    <w:basedOn w:val="47"/>
    <w:link w:val="39"/>
    <w:qFormat/>
    <w:uiPriority w:val="10"/>
    <w:rPr>
      <w:rFonts w:asciiTheme="majorHAnsi" w:hAnsiTheme="majorHAnsi" w:eastAsiaTheme="majorEastAsia" w:cstheme="majorBidi"/>
      <w:b/>
      <w:bCs/>
      <w:color w:val="000000"/>
      <w:kern w:val="2"/>
      <w:sz w:val="32"/>
      <w:szCs w:val="32"/>
    </w:rPr>
  </w:style>
  <w:style w:type="table" w:customStyle="1" w:styleId="111">
    <w:name w:val="浅色列表1"/>
    <w:basedOn w:val="43"/>
    <w:qFormat/>
    <w:uiPriority w:val="61"/>
    <w:rPr>
      <w:rFonts w:asciiTheme="minorHAnsi" w:hAnsiTheme="minorHAnsi" w:eastAsiaTheme="minorEastAsia" w:cstheme="minorBidi"/>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112">
    <w:name w:val="浅色网格1"/>
    <w:basedOn w:val="43"/>
    <w:qFormat/>
    <w:uiPriority w:val="62"/>
    <w:rPr>
      <w:rFonts w:asciiTheme="minorHAnsi" w:hAnsiTheme="minorHAnsi" w:eastAsiaTheme="minorEastAsia" w:cstheme="minorBidi"/>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paragraph" w:customStyle="1" w:styleId="113">
    <w:name w:val="文档名称"/>
    <w:basedOn w:val="1"/>
    <w:qFormat/>
    <w:uiPriority w:val="0"/>
    <w:pPr>
      <w:spacing w:beforeLines="100" w:afterLines="100" w:line="360" w:lineRule="auto"/>
      <w:ind w:firstLine="480"/>
      <w:jc w:val="center"/>
    </w:pPr>
    <w:rPr>
      <w:rFonts w:ascii="Arial" w:hAnsi="Arial" w:eastAsia="黑体" w:cs="Times New Roman"/>
      <w:b/>
      <w:color w:val="000000"/>
      <w:sz w:val="48"/>
      <w:szCs w:val="24"/>
    </w:rPr>
  </w:style>
  <w:style w:type="paragraph" w:customStyle="1" w:styleId="114">
    <w:name w:val="样式 首行缩进:  2 字符"/>
    <w:basedOn w:val="1"/>
    <w:qFormat/>
    <w:uiPriority w:val="0"/>
    <w:pPr>
      <w:widowControl/>
      <w:spacing w:after="200" w:line="360" w:lineRule="auto"/>
      <w:ind w:left="50" w:leftChars="50" w:firstLine="200"/>
      <w:jc w:val="left"/>
    </w:pPr>
    <w:rPr>
      <w:rFonts w:ascii="Cambria" w:hAnsi="Cambria" w:cs="宋体"/>
      <w:kern w:val="0"/>
      <w:szCs w:val="20"/>
      <w:lang w:eastAsia="en-US" w:bidi="en-US"/>
    </w:rPr>
  </w:style>
  <w:style w:type="paragraph" w:styleId="115">
    <w:name w:val="No Spacing"/>
    <w:link w:val="186"/>
    <w:qFormat/>
    <w:uiPriority w:val="1"/>
    <w:pPr>
      <w:widowControl w:val="0"/>
      <w:ind w:firstLine="480" w:firstLineChars="200"/>
      <w:jc w:val="both"/>
    </w:pPr>
    <w:rPr>
      <w:rFonts w:ascii="仿宋" w:hAnsi="仿宋" w:eastAsia="仿宋" w:cs="Times New Roman"/>
      <w:color w:val="000000"/>
      <w:kern w:val="2"/>
      <w:sz w:val="24"/>
      <w:szCs w:val="24"/>
      <w:lang w:val="en-US" w:eastAsia="zh-CN" w:bidi="ar-SA"/>
    </w:rPr>
  </w:style>
  <w:style w:type="character" w:customStyle="1" w:styleId="116">
    <w:name w:val="不明显强调1"/>
    <w:basedOn w:val="47"/>
    <w:qFormat/>
    <w:uiPriority w:val="19"/>
    <w:rPr>
      <w:i/>
      <w:iCs/>
      <w:color w:val="808080" w:themeColor="text1" w:themeTint="80"/>
      <w14:textFill>
        <w14:solidFill>
          <w14:schemeClr w14:val="tx1">
            <w14:lumMod w14:val="50000"/>
            <w14:lumOff w14:val="50000"/>
          </w14:schemeClr>
        </w14:solidFill>
      </w14:textFill>
    </w:rPr>
  </w:style>
  <w:style w:type="table" w:customStyle="1" w:styleId="117">
    <w:name w:val="网格型1"/>
    <w:basedOn w:val="43"/>
    <w:qFormat/>
    <w:uiPriority w:val="59"/>
    <w:rPr>
      <w:rFonts w:asciiTheme="minorHAnsi" w:hAnsiTheme="minorHAnsi" w:eastAsiaTheme="minorEastAsia" w:cstheme="minorBid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8">
    <w:name w:val="TOC Heading"/>
    <w:basedOn w:val="3"/>
    <w:next w:val="1"/>
    <w:unhideWhenUsed/>
    <w:qFormat/>
    <w:uiPriority w:val="39"/>
    <w:pPr>
      <w:widowControl/>
      <w:numPr>
        <w:numId w:val="0"/>
      </w:numPr>
      <w:spacing w:after="0" w:line="276" w:lineRule="auto"/>
      <w:jc w:val="left"/>
      <w:outlineLvl w:val="9"/>
    </w:pPr>
    <w:rPr>
      <w:rFonts w:asciiTheme="majorHAnsi" w:hAnsiTheme="majorHAnsi" w:eastAsiaTheme="majorEastAsia" w:cstheme="majorBidi"/>
      <w:color w:val="2E75B6" w:themeColor="accent1" w:themeShade="BF"/>
      <w:sz w:val="28"/>
    </w:rPr>
  </w:style>
  <w:style w:type="paragraph" w:customStyle="1" w:styleId="119">
    <w:name w:val="标题1"/>
    <w:basedOn w:val="1"/>
    <w:qFormat/>
    <w:uiPriority w:val="0"/>
    <w:pPr>
      <w:numPr>
        <w:ilvl w:val="0"/>
        <w:numId w:val="4"/>
      </w:numPr>
      <w:spacing w:line="360" w:lineRule="auto"/>
      <w:ind w:firstLine="482"/>
    </w:pPr>
    <w:rPr>
      <w:lang w:bidi="en-US"/>
    </w:rPr>
  </w:style>
  <w:style w:type="paragraph" w:customStyle="1" w:styleId="120">
    <w:name w:val="标题2"/>
    <w:basedOn w:val="1"/>
    <w:qFormat/>
    <w:uiPriority w:val="0"/>
    <w:pPr>
      <w:spacing w:line="360" w:lineRule="auto"/>
      <w:ind w:firstLine="0" w:firstLineChars="0"/>
    </w:pPr>
    <w:rPr>
      <w:rFonts w:eastAsia="仿宋" w:asciiTheme="minorHAnsi" w:hAnsiTheme="minorHAnsi"/>
      <w:szCs w:val="21"/>
    </w:rPr>
  </w:style>
  <w:style w:type="paragraph" w:customStyle="1" w:styleId="121">
    <w:name w:val="标题3"/>
    <w:basedOn w:val="1"/>
    <w:qFormat/>
    <w:uiPriority w:val="0"/>
    <w:pPr>
      <w:spacing w:line="360" w:lineRule="auto"/>
      <w:ind w:firstLine="0" w:firstLineChars="0"/>
    </w:pPr>
    <w:rPr>
      <w:rFonts w:eastAsia="仿宋" w:asciiTheme="minorHAnsi" w:hAnsiTheme="minorHAnsi"/>
      <w:szCs w:val="21"/>
    </w:rPr>
  </w:style>
  <w:style w:type="paragraph" w:customStyle="1" w:styleId="122">
    <w:name w:val="标题4"/>
    <w:basedOn w:val="1"/>
    <w:qFormat/>
    <w:uiPriority w:val="0"/>
    <w:pPr>
      <w:spacing w:line="360" w:lineRule="auto"/>
      <w:ind w:firstLine="0" w:firstLineChars="0"/>
    </w:pPr>
    <w:rPr>
      <w:rFonts w:eastAsia="仿宋" w:asciiTheme="minorHAnsi" w:hAnsiTheme="minorHAnsi"/>
      <w:szCs w:val="21"/>
    </w:rPr>
  </w:style>
  <w:style w:type="paragraph" w:customStyle="1" w:styleId="123">
    <w:name w:val="标题5"/>
    <w:basedOn w:val="1"/>
    <w:qFormat/>
    <w:uiPriority w:val="0"/>
    <w:pPr>
      <w:spacing w:line="360" w:lineRule="auto"/>
      <w:ind w:firstLine="0" w:firstLineChars="0"/>
    </w:pPr>
    <w:rPr>
      <w:rFonts w:eastAsia="仿宋" w:asciiTheme="minorHAnsi" w:hAnsiTheme="minorHAnsi"/>
      <w:szCs w:val="21"/>
    </w:rPr>
  </w:style>
  <w:style w:type="character" w:customStyle="1" w:styleId="124">
    <w:name w:val="文档结构图 Char"/>
    <w:basedOn w:val="47"/>
    <w:link w:val="17"/>
    <w:qFormat/>
    <w:uiPriority w:val="0"/>
    <w:rPr>
      <w:rFonts w:ascii="宋体"/>
      <w:kern w:val="2"/>
      <w:sz w:val="18"/>
      <w:szCs w:val="18"/>
    </w:rPr>
  </w:style>
  <w:style w:type="character" w:customStyle="1" w:styleId="125">
    <w:name w:val="批注文字 Char"/>
    <w:basedOn w:val="47"/>
    <w:link w:val="19"/>
    <w:qFormat/>
    <w:uiPriority w:val="0"/>
    <w:rPr>
      <w:kern w:val="2"/>
      <w:sz w:val="24"/>
      <w:szCs w:val="24"/>
    </w:rPr>
  </w:style>
  <w:style w:type="character" w:customStyle="1" w:styleId="126">
    <w:name w:val="正文文本缩进 Char"/>
    <w:basedOn w:val="47"/>
    <w:link w:val="20"/>
    <w:qFormat/>
    <w:uiPriority w:val="0"/>
    <w:rPr>
      <w:kern w:val="2"/>
      <w:sz w:val="24"/>
      <w:szCs w:val="24"/>
    </w:rPr>
  </w:style>
  <w:style w:type="character" w:customStyle="1" w:styleId="127">
    <w:name w:val="纯文本 Char"/>
    <w:basedOn w:val="47"/>
    <w:link w:val="23"/>
    <w:qFormat/>
    <w:uiPriority w:val="0"/>
    <w:rPr>
      <w:rFonts w:ascii="宋体" w:hAnsi="Courier New"/>
      <w:kern w:val="2"/>
      <w:sz w:val="21"/>
    </w:rPr>
  </w:style>
  <w:style w:type="character" w:customStyle="1" w:styleId="128">
    <w:name w:val="正文文本缩进 2 Char"/>
    <w:basedOn w:val="47"/>
    <w:link w:val="25"/>
    <w:qFormat/>
    <w:uiPriority w:val="0"/>
    <w:rPr>
      <w:kern w:val="2"/>
      <w:sz w:val="24"/>
      <w:szCs w:val="24"/>
    </w:rPr>
  </w:style>
  <w:style w:type="character" w:customStyle="1" w:styleId="129">
    <w:name w:val="正文文本缩进 3 Char"/>
    <w:basedOn w:val="47"/>
    <w:link w:val="32"/>
    <w:qFormat/>
    <w:uiPriority w:val="0"/>
    <w:rPr>
      <w:kern w:val="2"/>
      <w:sz w:val="16"/>
      <w:szCs w:val="16"/>
    </w:rPr>
  </w:style>
  <w:style w:type="character" w:customStyle="1" w:styleId="130">
    <w:name w:val="正文文本 2 Char"/>
    <w:basedOn w:val="47"/>
    <w:link w:val="35"/>
    <w:qFormat/>
    <w:uiPriority w:val="0"/>
    <w:rPr>
      <w:rFonts w:ascii="Times New Roman" w:hAnsi="Times New Roman"/>
      <w:kern w:val="2"/>
      <w:sz w:val="24"/>
      <w:szCs w:val="24"/>
    </w:rPr>
  </w:style>
  <w:style w:type="character" w:customStyle="1" w:styleId="131">
    <w:name w:val="HTML 预设格式 Char"/>
    <w:basedOn w:val="47"/>
    <w:link w:val="36"/>
    <w:qFormat/>
    <w:uiPriority w:val="0"/>
    <w:rPr>
      <w:rFonts w:ascii="Arial" w:hAnsi="Arial"/>
      <w:sz w:val="24"/>
      <w:szCs w:val="24"/>
    </w:rPr>
  </w:style>
  <w:style w:type="character" w:customStyle="1" w:styleId="132">
    <w:name w:val="批注主题 Char"/>
    <w:basedOn w:val="125"/>
    <w:link w:val="40"/>
    <w:qFormat/>
    <w:uiPriority w:val="0"/>
    <w:rPr>
      <w:b/>
      <w:bCs/>
      <w:kern w:val="2"/>
      <w:sz w:val="24"/>
      <w:szCs w:val="24"/>
    </w:rPr>
  </w:style>
  <w:style w:type="character" w:customStyle="1" w:styleId="133">
    <w:name w:val="正文首行缩进 Char"/>
    <w:basedOn w:val="72"/>
    <w:link w:val="41"/>
    <w:qFormat/>
    <w:uiPriority w:val="0"/>
    <w:rPr>
      <w:rFonts w:ascii="楷体" w:hAnsi="楷体" w:eastAsia="宋体" w:cstheme="minorBidi"/>
      <w:kern w:val="2"/>
      <w:sz w:val="21"/>
      <w:szCs w:val="24"/>
    </w:rPr>
  </w:style>
  <w:style w:type="character" w:customStyle="1" w:styleId="134">
    <w:name w:val="正文首行缩进 2 Char"/>
    <w:basedOn w:val="126"/>
    <w:link w:val="42"/>
    <w:qFormat/>
    <w:uiPriority w:val="0"/>
    <w:rPr>
      <w:kern w:val="2"/>
      <w:sz w:val="24"/>
      <w:szCs w:val="24"/>
    </w:rPr>
  </w:style>
  <w:style w:type="character" w:customStyle="1" w:styleId="135">
    <w:name w:val="标题 4 Char1"/>
    <w:qFormat/>
    <w:uiPriority w:val="0"/>
    <w:rPr>
      <w:rFonts w:ascii="Arial" w:hAnsi="Arial" w:eastAsia="黑体"/>
      <w:b/>
      <w:bCs/>
      <w:kern w:val="2"/>
      <w:sz w:val="28"/>
      <w:szCs w:val="28"/>
    </w:rPr>
  </w:style>
  <w:style w:type="character" w:customStyle="1" w:styleId="136">
    <w:name w:val="new32"/>
    <w:qFormat/>
    <w:uiPriority w:val="0"/>
    <w:rPr>
      <w:rFonts w:hint="eastAsia" w:ascii="宋体" w:hAnsi="宋体" w:eastAsia="宋体"/>
      <w:color w:val="002887"/>
      <w:sz w:val="18"/>
      <w:szCs w:val="18"/>
      <w:u w:val="none"/>
    </w:rPr>
  </w:style>
  <w:style w:type="character" w:customStyle="1" w:styleId="137">
    <w:name w:val="普通文字1 Char"/>
    <w:qFormat/>
    <w:uiPriority w:val="0"/>
    <w:rPr>
      <w:rFonts w:ascii="宋体" w:hAnsi="Courier New" w:eastAsia="仿宋_GB2312"/>
      <w:kern w:val="2"/>
      <w:sz w:val="30"/>
      <w:lang w:val="en-US" w:eastAsia="zh-CN" w:bidi="ar-SA"/>
    </w:rPr>
  </w:style>
  <w:style w:type="character" w:customStyle="1" w:styleId="138">
    <w:name w:val="info4"/>
    <w:basedOn w:val="47"/>
    <w:qFormat/>
    <w:uiPriority w:val="0"/>
  </w:style>
  <w:style w:type="character" w:customStyle="1" w:styleId="139">
    <w:name w:val="caiye Char Char"/>
    <w:link w:val="140"/>
    <w:qFormat/>
    <w:uiPriority w:val="0"/>
    <w:rPr>
      <w:rFonts w:eastAsia="微软雅黑"/>
      <w:kern w:val="2"/>
      <w:sz w:val="21"/>
      <w:szCs w:val="22"/>
    </w:rPr>
  </w:style>
  <w:style w:type="paragraph" w:customStyle="1" w:styleId="140">
    <w:name w:val="caiye"/>
    <w:basedOn w:val="1"/>
    <w:link w:val="139"/>
    <w:qFormat/>
    <w:uiPriority w:val="0"/>
    <w:pPr>
      <w:spacing w:line="360" w:lineRule="auto"/>
      <w:ind w:firstLine="200"/>
    </w:pPr>
    <w:rPr>
      <w:rFonts w:ascii="Calibri" w:hAnsi="Calibri" w:eastAsia="微软雅黑" w:cs="Times New Roman"/>
      <w:sz w:val="21"/>
      <w:szCs w:val="22"/>
    </w:rPr>
  </w:style>
  <w:style w:type="character" w:customStyle="1" w:styleId="141">
    <w:name w:val="f1"/>
    <w:basedOn w:val="47"/>
    <w:qFormat/>
    <w:uiPriority w:val="0"/>
  </w:style>
  <w:style w:type="character" w:customStyle="1" w:styleId="142">
    <w:name w:val="mark8"/>
    <w:qFormat/>
    <w:uiPriority w:val="0"/>
    <w:rPr>
      <w:b/>
      <w:bCs/>
      <w:sz w:val="21"/>
      <w:szCs w:val="21"/>
    </w:rPr>
  </w:style>
  <w:style w:type="character" w:customStyle="1" w:styleId="143">
    <w:name w:val="正文1 Char"/>
    <w:link w:val="144"/>
    <w:qFormat/>
    <w:uiPriority w:val="0"/>
    <w:rPr>
      <w:kern w:val="2"/>
      <w:sz w:val="24"/>
    </w:rPr>
  </w:style>
  <w:style w:type="paragraph" w:customStyle="1" w:styleId="144">
    <w:name w:val="正文1"/>
    <w:basedOn w:val="1"/>
    <w:link w:val="143"/>
    <w:qFormat/>
    <w:uiPriority w:val="0"/>
    <w:pPr>
      <w:spacing w:line="360" w:lineRule="auto"/>
      <w:ind w:firstLine="0" w:firstLineChars="0"/>
    </w:pPr>
    <w:rPr>
      <w:rFonts w:ascii="Calibri" w:hAnsi="Calibri" w:cs="Times New Roman"/>
      <w:szCs w:val="20"/>
    </w:rPr>
  </w:style>
  <w:style w:type="character" w:customStyle="1" w:styleId="145">
    <w:name w:val="text_edit"/>
    <w:qFormat/>
    <w:uiPriority w:val="0"/>
  </w:style>
  <w:style w:type="character" w:customStyle="1" w:styleId="146">
    <w:name w:val="Char Char1"/>
    <w:semiHidden/>
    <w:qFormat/>
    <w:uiPriority w:val="0"/>
    <w:rPr>
      <w:rFonts w:eastAsia="宋体"/>
      <w:kern w:val="2"/>
      <w:sz w:val="18"/>
      <w:szCs w:val="18"/>
      <w:lang w:val="en-US" w:eastAsia="zh-CN" w:bidi="ar-SA"/>
    </w:rPr>
  </w:style>
  <w:style w:type="character" w:customStyle="1" w:styleId="147">
    <w:name w:val="headline-content"/>
    <w:qFormat/>
    <w:uiPriority w:val="0"/>
  </w:style>
  <w:style w:type="character" w:customStyle="1" w:styleId="148">
    <w:name w:val="标准正文 Char"/>
    <w:link w:val="149"/>
    <w:qFormat/>
    <w:locked/>
    <w:uiPriority w:val="0"/>
    <w:rPr>
      <w:rFonts w:cs="宋体"/>
      <w:kern w:val="2"/>
      <w:sz w:val="24"/>
    </w:rPr>
  </w:style>
  <w:style w:type="paragraph" w:customStyle="1" w:styleId="149">
    <w:name w:val="标准正文"/>
    <w:basedOn w:val="1"/>
    <w:link w:val="148"/>
    <w:qFormat/>
    <w:uiPriority w:val="0"/>
    <w:pPr>
      <w:spacing w:line="360" w:lineRule="auto"/>
      <w:ind w:firstLine="480"/>
    </w:pPr>
    <w:rPr>
      <w:rFonts w:ascii="Calibri" w:hAnsi="Calibri" w:cs="宋体"/>
      <w:szCs w:val="20"/>
    </w:rPr>
  </w:style>
  <w:style w:type="character" w:customStyle="1" w:styleId="150">
    <w:name w:val="info"/>
    <w:basedOn w:val="47"/>
    <w:qFormat/>
    <w:uiPriority w:val="0"/>
  </w:style>
  <w:style w:type="character" w:customStyle="1" w:styleId="151">
    <w:name w:val="dddd Char Char"/>
    <w:link w:val="152"/>
    <w:qFormat/>
    <w:uiPriority w:val="0"/>
    <w:rPr>
      <w:rFonts w:eastAsia="微软雅黑"/>
      <w:kern w:val="2"/>
      <w:sz w:val="21"/>
      <w:szCs w:val="22"/>
    </w:rPr>
  </w:style>
  <w:style w:type="paragraph" w:customStyle="1" w:styleId="152">
    <w:name w:val="dddd"/>
    <w:basedOn w:val="140"/>
    <w:link w:val="151"/>
    <w:qFormat/>
    <w:uiPriority w:val="0"/>
  </w:style>
  <w:style w:type="character" w:customStyle="1" w:styleId="153">
    <w:name w:val="题注 Char"/>
    <w:link w:val="15"/>
    <w:qFormat/>
    <w:uiPriority w:val="35"/>
    <w:rPr>
      <w:rFonts w:ascii="宋体" w:hAnsi="宋体" w:cstheme="majorBidi"/>
      <w:sz w:val="21"/>
    </w:rPr>
  </w:style>
  <w:style w:type="paragraph" w:customStyle="1" w:styleId="154">
    <w:name w:val="样式二"/>
    <w:basedOn w:val="1"/>
    <w:qFormat/>
    <w:uiPriority w:val="0"/>
    <w:pPr>
      <w:tabs>
        <w:tab w:val="left" w:pos="61"/>
      </w:tabs>
      <w:spacing w:line="360" w:lineRule="auto"/>
      <w:ind w:left="900" w:firstLine="0" w:firstLineChars="0"/>
      <w:jc w:val="left"/>
    </w:pPr>
    <w:rPr>
      <w:rFonts w:ascii="楷体_GB2312" w:hAnsi="楷体_GB2312" w:eastAsia="方正仿宋_GBK" w:cs="宋体"/>
      <w:sz w:val="36"/>
      <w:szCs w:val="20"/>
    </w:rPr>
  </w:style>
  <w:style w:type="paragraph" w:customStyle="1" w:styleId="155">
    <w:name w:val="Char Char Char Char Char Char Char"/>
    <w:basedOn w:val="1"/>
    <w:qFormat/>
    <w:uiPriority w:val="0"/>
    <w:pPr>
      <w:widowControl/>
      <w:spacing w:line="240" w:lineRule="exact"/>
      <w:ind w:firstLine="0" w:firstLineChars="0"/>
      <w:jc w:val="left"/>
    </w:pPr>
    <w:rPr>
      <w:rFonts w:ascii="Verdana" w:hAnsi="Verdana" w:eastAsia="仿宋_GB2312" w:cs="Times New Roman"/>
      <w:kern w:val="0"/>
      <w:sz w:val="30"/>
      <w:szCs w:val="30"/>
      <w:lang w:eastAsia="en-US"/>
    </w:rPr>
  </w:style>
  <w:style w:type="paragraph" w:customStyle="1" w:styleId="156">
    <w:name w:val="Char Char Char Char Char Char Char Char Char Char"/>
    <w:basedOn w:val="1"/>
    <w:qFormat/>
    <w:uiPriority w:val="0"/>
    <w:pPr>
      <w:widowControl/>
      <w:spacing w:line="400" w:lineRule="exact"/>
      <w:ind w:firstLine="0" w:firstLineChars="0"/>
      <w:jc w:val="center"/>
    </w:pPr>
    <w:rPr>
      <w:rFonts w:ascii="Verdana" w:hAnsi="Verdana" w:cs="Times New Roman"/>
      <w:kern w:val="0"/>
      <w:sz w:val="21"/>
      <w:szCs w:val="20"/>
      <w:lang w:eastAsia="en-US"/>
    </w:rPr>
  </w:style>
  <w:style w:type="paragraph" w:customStyle="1" w:styleId="157">
    <w:name w:val="Char Char Char Char Char Char Char Char Char Char Char Char Char"/>
    <w:basedOn w:val="1"/>
    <w:qFormat/>
    <w:uiPriority w:val="0"/>
    <w:pPr>
      <w:spacing w:line="240" w:lineRule="auto"/>
      <w:ind w:firstLine="0" w:firstLineChars="0"/>
    </w:pPr>
    <w:rPr>
      <w:rFonts w:ascii="仿宋_GB2312" w:hAnsi="Calibri" w:eastAsia="仿宋_GB2312" w:cs="Times New Roman"/>
      <w:b/>
      <w:sz w:val="32"/>
      <w:szCs w:val="32"/>
    </w:rPr>
  </w:style>
  <w:style w:type="paragraph" w:customStyle="1" w:styleId="158">
    <w:name w:val="默认段落字体 Para Char Char Char Char Char Char Char"/>
    <w:basedOn w:val="1"/>
    <w:qFormat/>
    <w:uiPriority w:val="0"/>
    <w:pPr>
      <w:spacing w:line="240" w:lineRule="auto"/>
      <w:ind w:firstLine="0" w:firstLineChars="0"/>
    </w:pPr>
    <w:rPr>
      <w:rFonts w:ascii="Calibri" w:hAnsi="Calibri" w:cs="Times New Roman"/>
      <w:sz w:val="21"/>
      <w:szCs w:val="24"/>
    </w:rPr>
  </w:style>
  <w:style w:type="paragraph" w:customStyle="1" w:styleId="159">
    <w:name w:val="正文 + 段前: 0.5 行"/>
    <w:basedOn w:val="1"/>
    <w:qFormat/>
    <w:uiPriority w:val="0"/>
    <w:pPr>
      <w:tabs>
        <w:tab w:val="left" w:pos="420"/>
      </w:tabs>
      <w:spacing w:line="360" w:lineRule="auto"/>
      <w:ind w:left="420" w:hanging="420" w:firstLineChars="0"/>
    </w:pPr>
    <w:rPr>
      <w:rFonts w:ascii="Wingdings" w:hAnsi="Wingdings" w:cs="Times New Roman"/>
      <w:szCs w:val="24"/>
    </w:rPr>
  </w:style>
  <w:style w:type="paragraph" w:customStyle="1" w:styleId="160">
    <w:name w:val="GP正文(首行缩进)"/>
    <w:basedOn w:val="1"/>
    <w:qFormat/>
    <w:uiPriority w:val="0"/>
    <w:pPr>
      <w:spacing w:beforeLines="50" w:afterLines="50" w:line="360" w:lineRule="auto"/>
      <w:ind w:firstLine="480"/>
      <w:jc w:val="left"/>
    </w:pPr>
    <w:rPr>
      <w:rFonts w:ascii="Calibri" w:hAnsi="宋体" w:cs="Times New Roman"/>
      <w:szCs w:val="24"/>
    </w:rPr>
  </w:style>
  <w:style w:type="paragraph" w:customStyle="1" w:styleId="161">
    <w:name w:val="图片"/>
    <w:basedOn w:val="1"/>
    <w:qFormat/>
    <w:uiPriority w:val="0"/>
    <w:pPr>
      <w:tabs>
        <w:tab w:val="left" w:pos="3375"/>
      </w:tabs>
      <w:adjustRightInd w:val="0"/>
      <w:spacing w:line="312" w:lineRule="atLeast"/>
      <w:ind w:firstLine="0" w:firstLineChars="0"/>
      <w:textAlignment w:val="baseline"/>
    </w:pPr>
    <w:rPr>
      <w:rFonts w:ascii="宋体" w:hAnsi="Calibri" w:cs="Times New Roman"/>
      <w:kern w:val="0"/>
      <w:szCs w:val="20"/>
    </w:rPr>
  </w:style>
  <w:style w:type="paragraph" w:customStyle="1" w:styleId="162">
    <w:name w:val="项目介绍"/>
    <w:basedOn w:val="1"/>
    <w:qFormat/>
    <w:uiPriority w:val="0"/>
    <w:pPr>
      <w:widowControl/>
      <w:tabs>
        <w:tab w:val="left" w:pos="5000"/>
        <w:tab w:val="left" w:pos="5600"/>
      </w:tabs>
      <w:spacing w:line="240" w:lineRule="auto"/>
      <w:ind w:firstLine="0" w:firstLineChars="0"/>
      <w:jc w:val="left"/>
    </w:pPr>
    <w:rPr>
      <w:rFonts w:ascii="Calibri" w:hAnsi="Calibri" w:eastAsia="楷体_GB2312" w:cs="Times New Roman"/>
      <w:snapToGrid w:val="0"/>
      <w:kern w:val="21"/>
      <w:szCs w:val="20"/>
    </w:rPr>
  </w:style>
  <w:style w:type="paragraph" w:customStyle="1" w:styleId="163">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64">
    <w:name w:val="表格正文"/>
    <w:basedOn w:val="1"/>
    <w:qFormat/>
    <w:uiPriority w:val="0"/>
    <w:pPr>
      <w:spacing w:line="240" w:lineRule="atLeast"/>
      <w:ind w:firstLine="0" w:firstLineChars="0"/>
    </w:pPr>
    <w:rPr>
      <w:rFonts w:ascii="Calibri" w:hAnsi="Calibri" w:eastAsia="楷体_GB2312" w:cs="Times New Roman"/>
      <w:szCs w:val="24"/>
    </w:rPr>
  </w:style>
  <w:style w:type="paragraph" w:customStyle="1" w:styleId="165">
    <w:name w:val="Table Heading"/>
    <w:basedOn w:val="1"/>
    <w:qFormat/>
    <w:uiPriority w:val="0"/>
    <w:pPr>
      <w:keepNext/>
      <w:topLinePunct/>
      <w:adjustRightInd w:val="0"/>
      <w:snapToGrid w:val="0"/>
      <w:spacing w:line="240" w:lineRule="atLeast"/>
      <w:ind w:firstLine="0" w:firstLineChars="0"/>
      <w:jc w:val="left"/>
    </w:pPr>
    <w:rPr>
      <w:rFonts w:hint="eastAsia" w:ascii="Book Antiqua" w:hAnsi="Book Antiqua" w:eastAsia="黑体" w:cs="Book Antiqua"/>
      <w:bCs/>
      <w:snapToGrid w:val="0"/>
      <w:kern w:val="0"/>
      <w:sz w:val="21"/>
      <w:szCs w:val="21"/>
    </w:rPr>
  </w:style>
  <w:style w:type="paragraph" w:customStyle="1" w:styleId="166">
    <w:name w:val="样式 仿宋_GB2312 三号 加粗 居中1"/>
    <w:basedOn w:val="3"/>
    <w:qFormat/>
    <w:uiPriority w:val="0"/>
    <w:pPr>
      <w:tabs>
        <w:tab w:val="left" w:pos="3312"/>
      </w:tabs>
      <w:adjustRightInd w:val="0"/>
      <w:snapToGrid w:val="0"/>
      <w:spacing w:before="50" w:after="50" w:line="578" w:lineRule="auto"/>
      <w:ind w:left="3312" w:hanging="432"/>
      <w:jc w:val="left"/>
    </w:pPr>
    <w:rPr>
      <w:rFonts w:ascii="仿宋_GB2312" w:hAnsi="宋体" w:eastAsia="仿宋_GB2312" w:cs="宋体"/>
      <w:bCs w:val="0"/>
      <w:kern w:val="44"/>
      <w:sz w:val="44"/>
      <w:szCs w:val="20"/>
    </w:rPr>
  </w:style>
  <w:style w:type="paragraph" w:customStyle="1" w:styleId="167">
    <w:name w:val="Char Char Char Char Char Char"/>
    <w:basedOn w:val="1"/>
    <w:qFormat/>
    <w:uiPriority w:val="0"/>
    <w:pPr>
      <w:spacing w:line="360" w:lineRule="auto"/>
      <w:ind w:firstLine="640"/>
      <w:jc w:val="left"/>
    </w:pPr>
    <w:rPr>
      <w:rFonts w:ascii="Calibri" w:hAnsi="Calibri" w:eastAsia="微软雅黑" w:cs="Times New Roman"/>
      <w:szCs w:val="24"/>
    </w:rPr>
  </w:style>
  <w:style w:type="paragraph" w:customStyle="1" w:styleId="168">
    <w:name w:val="正文(首行缩进)"/>
    <w:qFormat/>
    <w:uiPriority w:val="0"/>
    <w:pPr>
      <w:spacing w:line="360" w:lineRule="auto"/>
      <w:ind w:firstLine="200" w:firstLineChars="200"/>
      <w:jc w:val="both"/>
    </w:pPr>
    <w:rPr>
      <w:rFonts w:ascii="Calibri" w:hAnsi="Calibri" w:eastAsia="仿宋_GB2312" w:cs="Times New Roman"/>
      <w:spacing w:val="2"/>
      <w:kern w:val="24"/>
      <w:sz w:val="24"/>
      <w:lang w:val="en-US" w:eastAsia="zh-CN" w:bidi="ar-SA"/>
    </w:rPr>
  </w:style>
  <w:style w:type="paragraph" w:customStyle="1" w:styleId="169">
    <w:name w:val="Char Char Char"/>
    <w:basedOn w:val="1"/>
    <w:qFormat/>
    <w:uiPriority w:val="0"/>
    <w:pPr>
      <w:spacing w:line="240" w:lineRule="auto"/>
      <w:ind w:firstLine="288" w:firstLineChars="0"/>
    </w:pPr>
    <w:rPr>
      <w:rFonts w:ascii="仿宋_GB2312" w:hAnsi="Calibri" w:cs="Times New Roman"/>
      <w:sz w:val="21"/>
      <w:szCs w:val="20"/>
    </w:rPr>
  </w:style>
  <w:style w:type="character" w:customStyle="1" w:styleId="170">
    <w:name w:val="正文缩进 Char"/>
    <w:link w:val="14"/>
    <w:qFormat/>
    <w:uiPriority w:val="0"/>
    <w:rPr>
      <w:rFonts w:ascii="楷体" w:hAnsi="楷体" w:cstheme="minorBidi"/>
      <w:kern w:val="2"/>
      <w:sz w:val="21"/>
    </w:rPr>
  </w:style>
  <w:style w:type="paragraph" w:customStyle="1" w:styleId="171">
    <w:name w:val="Bullet"/>
    <w:basedOn w:val="1"/>
    <w:qFormat/>
    <w:uiPriority w:val="0"/>
    <w:pPr>
      <w:widowControl/>
      <w:tabs>
        <w:tab w:val="left" w:pos="0"/>
      </w:tabs>
      <w:spacing w:line="240" w:lineRule="auto"/>
      <w:ind w:left="2520" w:hanging="360" w:firstLineChars="0"/>
      <w:jc w:val="left"/>
    </w:pPr>
    <w:rPr>
      <w:rFonts w:ascii="Times" w:hAnsi="Times" w:cs="Times New Roman"/>
      <w:kern w:val="0"/>
      <w:szCs w:val="20"/>
    </w:rPr>
  </w:style>
  <w:style w:type="paragraph" w:customStyle="1" w:styleId="172">
    <w:name w:val="普通(Web)"/>
    <w:basedOn w:val="1"/>
    <w:qFormat/>
    <w:uiPriority w:val="0"/>
    <w:pPr>
      <w:widowControl/>
      <w:spacing w:beforeAutospacing="1" w:afterAutospacing="1" w:line="240" w:lineRule="auto"/>
      <w:ind w:firstLine="0" w:firstLineChars="0"/>
      <w:jc w:val="left"/>
    </w:pPr>
    <w:rPr>
      <w:rFonts w:ascii="宋体" w:hAnsi="宋体" w:cs="Times New Roman"/>
      <w:kern w:val="0"/>
      <w:szCs w:val="24"/>
    </w:rPr>
  </w:style>
  <w:style w:type="paragraph" w:customStyle="1" w:styleId="173">
    <w:name w:val="表格标题"/>
    <w:basedOn w:val="164"/>
    <w:qFormat/>
    <w:uiPriority w:val="0"/>
    <w:pPr>
      <w:jc w:val="center"/>
    </w:pPr>
    <w:rPr>
      <w:b/>
      <w:bCs/>
    </w:rPr>
  </w:style>
  <w:style w:type="paragraph" w:customStyle="1" w:styleId="174">
    <w:name w:val="标书标题33"/>
    <w:basedOn w:val="5"/>
    <w:next w:val="1"/>
    <w:qFormat/>
    <w:uiPriority w:val="0"/>
    <w:pPr>
      <w:numPr>
        <w:ilvl w:val="0"/>
        <w:numId w:val="0"/>
      </w:numPr>
      <w:tabs>
        <w:tab w:val="left" w:pos="709"/>
        <w:tab w:val="left" w:pos="2520"/>
        <w:tab w:val="left" w:pos="3312"/>
      </w:tabs>
      <w:spacing w:before="0" w:after="0" w:line="413" w:lineRule="auto"/>
      <w:jc w:val="both"/>
      <w:outlineLvl w:val="3"/>
    </w:pPr>
    <w:rPr>
      <w:rFonts w:ascii="新宋体" w:hAnsi="新宋体" w:eastAsia="新宋体"/>
      <w:kern w:val="2"/>
      <w:sz w:val="24"/>
      <w:szCs w:val="24"/>
    </w:rPr>
  </w:style>
  <w:style w:type="paragraph" w:customStyle="1" w:styleId="175">
    <w:name w:val="标书正文11"/>
    <w:basedOn w:val="1"/>
    <w:qFormat/>
    <w:uiPriority w:val="0"/>
    <w:pPr>
      <w:spacing w:line="360" w:lineRule="auto"/>
      <w:ind w:firstLine="200"/>
    </w:pPr>
    <w:rPr>
      <w:rFonts w:ascii="宋体" w:hAnsi="宋体" w:cs="Times New Roman"/>
      <w:kern w:val="44"/>
      <w:szCs w:val="24"/>
    </w:rPr>
  </w:style>
  <w:style w:type="paragraph" w:customStyle="1" w:styleId="176">
    <w:name w:val="itemlist"/>
    <w:basedOn w:val="1"/>
    <w:qFormat/>
    <w:uiPriority w:val="0"/>
    <w:pPr>
      <w:widowControl/>
      <w:spacing w:beforeAutospacing="1" w:afterAutospacing="1" w:line="240" w:lineRule="auto"/>
      <w:ind w:firstLine="0" w:firstLineChars="0"/>
      <w:jc w:val="left"/>
    </w:pPr>
    <w:rPr>
      <w:rFonts w:ascii="宋体" w:hAnsi="宋体" w:cs="宋体"/>
      <w:kern w:val="0"/>
      <w:szCs w:val="24"/>
    </w:rPr>
  </w:style>
  <w:style w:type="paragraph" w:customStyle="1" w:styleId="177">
    <w:name w:val="小四 段落 宋体 Char"/>
    <w:basedOn w:val="13"/>
    <w:qFormat/>
    <w:uiPriority w:val="0"/>
    <w:pPr>
      <w:spacing w:beforeLines="0" w:afterLines="0" w:line="240" w:lineRule="auto"/>
      <w:ind w:left="0" w:right="-33" w:firstLine="600" w:firstLineChars="200"/>
      <w:jc w:val="left"/>
    </w:pPr>
    <w:rPr>
      <w:rFonts w:ascii="仿宋_GB2312" w:eastAsia="仿宋_GB2312"/>
      <w:sz w:val="30"/>
      <w:szCs w:val="30"/>
    </w:rPr>
  </w:style>
  <w:style w:type="paragraph" w:customStyle="1" w:styleId="178">
    <w:name w:val="Char"/>
    <w:basedOn w:val="1"/>
    <w:qFormat/>
    <w:uiPriority w:val="0"/>
    <w:pPr>
      <w:spacing w:line="240" w:lineRule="auto"/>
      <w:ind w:firstLine="0" w:firstLineChars="0"/>
    </w:pPr>
    <w:rPr>
      <w:rFonts w:ascii="Calibri" w:hAnsi="Calibri" w:cs="Times New Roman"/>
      <w:color w:val="0000FF"/>
      <w:szCs w:val="24"/>
    </w:rPr>
  </w:style>
  <w:style w:type="paragraph" w:customStyle="1" w:styleId="179">
    <w:name w:val="样式 标题 2 + 仿宋_GB2312"/>
    <w:basedOn w:val="4"/>
    <w:qFormat/>
    <w:uiPriority w:val="0"/>
    <w:pPr>
      <w:tabs>
        <w:tab w:val="left" w:pos="576"/>
      </w:tabs>
      <w:adjustRightInd w:val="0"/>
      <w:snapToGrid w:val="0"/>
      <w:spacing w:before="0" w:after="0" w:line="416" w:lineRule="auto"/>
      <w:ind w:left="576" w:hanging="576"/>
      <w:jc w:val="both"/>
    </w:pPr>
    <w:rPr>
      <w:rFonts w:ascii="仿宋_GB2312" w:hAnsi="仿宋_GB2312" w:eastAsia="仿宋_GB2312"/>
      <w:kern w:val="2"/>
      <w:szCs w:val="32"/>
    </w:rPr>
  </w:style>
  <w:style w:type="paragraph" w:customStyle="1" w:styleId="180">
    <w:name w:val="正文（无缩进）"/>
    <w:qFormat/>
    <w:uiPriority w:val="0"/>
    <w:pPr>
      <w:jc w:val="center"/>
    </w:pPr>
    <w:rPr>
      <w:rFonts w:ascii="Calibri" w:hAnsi="Calibri" w:eastAsia="仿宋_GB2312" w:cs="Times New Roman"/>
      <w:color w:val="000000"/>
      <w:kern w:val="24"/>
      <w:sz w:val="24"/>
      <w:lang w:val="en-US" w:eastAsia="zh-CN" w:bidi="ar-SA"/>
    </w:rPr>
  </w:style>
  <w:style w:type="paragraph" w:customStyle="1" w:styleId="181">
    <w:name w:val="样式 正文缩进 + 首行缩进:  2 字符 段前: 0.5 行"/>
    <w:basedOn w:val="1"/>
    <w:qFormat/>
    <w:uiPriority w:val="0"/>
    <w:pPr>
      <w:spacing w:beforeLines="50" w:line="300" w:lineRule="auto"/>
      <w:ind w:firstLine="480"/>
    </w:pPr>
    <w:rPr>
      <w:rFonts w:ascii="Calibri" w:hAnsi="Calibri" w:cs="宋体"/>
      <w:sz w:val="21"/>
      <w:szCs w:val="20"/>
    </w:rPr>
  </w:style>
  <w:style w:type="paragraph" w:customStyle="1" w:styleId="182">
    <w:name w:val="Table Text"/>
    <w:basedOn w:val="1"/>
    <w:qFormat/>
    <w:uiPriority w:val="0"/>
    <w:pPr>
      <w:topLinePunct/>
      <w:adjustRightInd w:val="0"/>
      <w:snapToGrid w:val="0"/>
      <w:spacing w:line="240" w:lineRule="atLeast"/>
      <w:ind w:firstLine="0" w:firstLineChars="0"/>
      <w:jc w:val="left"/>
    </w:pPr>
    <w:rPr>
      <w:rFonts w:hint="eastAsia" w:ascii="Calibri" w:hAnsi="Calibri" w:cs="Arial"/>
      <w:snapToGrid w:val="0"/>
      <w:kern w:val="0"/>
      <w:sz w:val="21"/>
      <w:szCs w:val="21"/>
    </w:rPr>
  </w:style>
  <w:style w:type="paragraph" w:customStyle="1" w:styleId="183">
    <w:name w:val="Item List"/>
    <w:qFormat/>
    <w:uiPriority w:val="0"/>
    <w:pPr>
      <w:tabs>
        <w:tab w:val="left" w:pos="2126"/>
      </w:tabs>
      <w:adjustRightInd w:val="0"/>
      <w:snapToGrid w:val="0"/>
      <w:spacing w:before="80" w:after="80" w:line="240" w:lineRule="atLeast"/>
      <w:ind w:left="2126" w:hanging="425"/>
    </w:pPr>
    <w:rPr>
      <w:rFonts w:hint="eastAsia" w:ascii="Calibri" w:hAnsi="Calibri" w:eastAsia="宋体" w:cs="Arial"/>
      <w:kern w:val="2"/>
      <w:sz w:val="21"/>
      <w:szCs w:val="21"/>
      <w:lang w:val="en-US" w:eastAsia="zh-CN" w:bidi="ar-SA"/>
    </w:rPr>
  </w:style>
  <w:style w:type="paragraph" w:customStyle="1" w:styleId="184">
    <w:name w:val="标准 New New New New"/>
    <w:basedOn w:val="1"/>
    <w:qFormat/>
    <w:uiPriority w:val="0"/>
    <w:pPr>
      <w:widowControl/>
      <w:autoSpaceDE w:val="0"/>
      <w:autoSpaceDN w:val="0"/>
      <w:adjustRightInd w:val="0"/>
      <w:spacing w:line="312" w:lineRule="atLeast"/>
      <w:ind w:firstLine="0" w:firstLineChars="0"/>
      <w:textAlignment w:val="bottom"/>
    </w:pPr>
    <w:rPr>
      <w:rFonts w:ascii="Calibri" w:hAnsi="Calibri" w:cs="Times New Roman"/>
      <w:kern w:val="0"/>
      <w:sz w:val="28"/>
      <w:szCs w:val="20"/>
    </w:rPr>
  </w:style>
  <w:style w:type="paragraph" w:customStyle="1" w:styleId="185">
    <w:name w:val="GP正文(无首行缩进)"/>
    <w:basedOn w:val="160"/>
    <w:qFormat/>
    <w:uiPriority w:val="0"/>
    <w:pPr>
      <w:jc w:val="both"/>
    </w:pPr>
  </w:style>
  <w:style w:type="character" w:customStyle="1" w:styleId="186">
    <w:name w:val="无间隔 Char"/>
    <w:link w:val="115"/>
    <w:qFormat/>
    <w:locked/>
    <w:uiPriority w:val="1"/>
    <w:rPr>
      <w:rFonts w:ascii="仿宋" w:hAnsi="仿宋" w:eastAsia="仿宋"/>
      <w:color w:val="000000"/>
      <w:kern w:val="2"/>
      <w:sz w:val="24"/>
      <w:szCs w:val="24"/>
    </w:rPr>
  </w:style>
  <w:style w:type="paragraph" w:customStyle="1" w:styleId="187">
    <w:name w:val="正文SONG"/>
    <w:basedOn w:val="1"/>
    <w:qFormat/>
    <w:uiPriority w:val="0"/>
    <w:pPr>
      <w:spacing w:line="360" w:lineRule="auto"/>
      <w:ind w:firstLine="210" w:firstLineChars="210"/>
    </w:pPr>
    <w:rPr>
      <w:rFonts w:ascii="仿宋_GB2312" w:hAnsi="宋体" w:eastAsia="仿宋_GB2312" w:cs="Times New Roman"/>
      <w:sz w:val="30"/>
      <w:szCs w:val="30"/>
    </w:rPr>
  </w:style>
  <w:style w:type="character" w:customStyle="1" w:styleId="188">
    <w:name w:val="font12gray1"/>
    <w:basedOn w:val="47"/>
    <w:qFormat/>
    <w:uiPriority w:val="0"/>
    <w:rPr>
      <w:spacing w:val="300"/>
      <w:sz w:val="18"/>
      <w:szCs w:val="18"/>
    </w:rPr>
  </w:style>
  <w:style w:type="character" w:customStyle="1" w:styleId="189">
    <w:name w:val="明显强调1"/>
    <w:basedOn w:val="47"/>
    <w:qFormat/>
    <w:uiPriority w:val="21"/>
    <w:rPr>
      <w:b/>
      <w:bCs/>
      <w:i/>
      <w:iCs/>
      <w:color w:val="4F81BD"/>
    </w:rPr>
  </w:style>
  <w:style w:type="character" w:customStyle="1" w:styleId="190">
    <w:name w:val="f11"/>
    <w:basedOn w:val="47"/>
    <w:qFormat/>
    <w:uiPriority w:val="0"/>
    <w:rPr>
      <w:spacing w:val="360"/>
      <w:sz w:val="24"/>
      <w:szCs w:val="24"/>
    </w:rPr>
  </w:style>
  <w:style w:type="paragraph" w:customStyle="1" w:styleId="191">
    <w:name w:val="标题 3_0"/>
    <w:basedOn w:val="1"/>
    <w:next w:val="1"/>
    <w:qFormat/>
    <w:uiPriority w:val="0"/>
    <w:pPr>
      <w:keepNext/>
      <w:keepLines/>
      <w:spacing w:line="416" w:lineRule="auto"/>
      <w:ind w:firstLine="0" w:firstLineChars="0"/>
      <w:outlineLvl w:val="2"/>
    </w:pPr>
    <w:rPr>
      <w:rFonts w:ascii="Calibri" w:hAnsi="Calibri" w:cs="Times New Roman"/>
      <w:b/>
      <w:bCs/>
      <w:sz w:val="32"/>
      <w:szCs w:val="32"/>
    </w:rPr>
  </w:style>
  <w:style w:type="paragraph" w:customStyle="1" w:styleId="192">
    <w:name w:val="样式 !我的正文 Ctr+Q + 首行缩进:  2 字符"/>
    <w:basedOn w:val="1"/>
    <w:qFormat/>
    <w:uiPriority w:val="0"/>
    <w:pPr>
      <w:adjustRightInd w:val="0"/>
      <w:snapToGrid w:val="0"/>
      <w:spacing w:line="360" w:lineRule="auto"/>
      <w:ind w:firstLine="420"/>
    </w:pPr>
    <w:rPr>
      <w:rFonts w:ascii="Arial" w:hAnsi="Arial" w:cs="宋体"/>
      <w:sz w:val="21"/>
      <w:szCs w:val="20"/>
    </w:rPr>
  </w:style>
  <w:style w:type="character" w:customStyle="1" w:styleId="193">
    <w:name w:val="样式2 Char Char"/>
    <w:link w:val="194"/>
    <w:qFormat/>
    <w:uiPriority w:val="0"/>
    <w:rPr>
      <w:rFonts w:eastAsia="微软雅黑"/>
      <w:b/>
      <w:color w:val="FF6600"/>
      <w:sz w:val="24"/>
    </w:rPr>
  </w:style>
  <w:style w:type="paragraph" w:customStyle="1" w:styleId="194">
    <w:name w:val="样式2"/>
    <w:basedOn w:val="1"/>
    <w:link w:val="193"/>
    <w:qFormat/>
    <w:uiPriority w:val="0"/>
    <w:pPr>
      <w:overflowPunct w:val="0"/>
      <w:autoSpaceDE w:val="0"/>
      <w:autoSpaceDN w:val="0"/>
      <w:adjustRightInd w:val="0"/>
      <w:spacing w:line="336" w:lineRule="auto"/>
      <w:ind w:firstLine="0" w:firstLineChars="0"/>
      <w:jc w:val="left"/>
    </w:pPr>
    <w:rPr>
      <w:rFonts w:ascii="Calibri" w:hAnsi="Calibri" w:eastAsia="微软雅黑" w:cs="Times New Roman"/>
      <w:b/>
      <w:color w:val="FF6600"/>
      <w:kern w:val="0"/>
      <w:szCs w:val="20"/>
    </w:rPr>
  </w:style>
  <w:style w:type="paragraph" w:customStyle="1" w:styleId="195">
    <w:name w:val="样式3"/>
    <w:basedOn w:val="1"/>
    <w:qFormat/>
    <w:uiPriority w:val="0"/>
    <w:pPr>
      <w:numPr>
        <w:ilvl w:val="0"/>
        <w:numId w:val="5"/>
      </w:numPr>
      <w:tabs>
        <w:tab w:val="left" w:pos="360"/>
      </w:tabs>
      <w:overflowPunct w:val="0"/>
      <w:autoSpaceDE w:val="0"/>
      <w:autoSpaceDN w:val="0"/>
      <w:adjustRightInd w:val="0"/>
      <w:spacing w:line="336" w:lineRule="auto"/>
      <w:ind w:right="210" w:rightChars="100" w:firstLineChars="0"/>
      <w:jc w:val="left"/>
    </w:pPr>
    <w:rPr>
      <w:rFonts w:ascii="Calibri" w:hAnsi="Calibri" w:eastAsia="微软雅黑" w:cs="Times New Roman"/>
      <w:color w:val="808080"/>
      <w:sz w:val="21"/>
      <w:szCs w:val="24"/>
    </w:rPr>
  </w:style>
  <w:style w:type="paragraph" w:customStyle="1" w:styleId="196">
    <w:name w:val="样式4"/>
    <w:basedOn w:val="1"/>
    <w:qFormat/>
    <w:uiPriority w:val="0"/>
    <w:pPr>
      <w:tabs>
        <w:tab w:val="left" w:pos="420"/>
        <w:tab w:val="left" w:pos="720"/>
        <w:tab w:val="left" w:pos="3312"/>
      </w:tabs>
      <w:overflowPunct w:val="0"/>
      <w:autoSpaceDE w:val="0"/>
      <w:autoSpaceDN w:val="0"/>
      <w:adjustRightInd w:val="0"/>
      <w:spacing w:line="336" w:lineRule="auto"/>
      <w:ind w:left="3312" w:hanging="432" w:firstLineChars="0"/>
      <w:jc w:val="left"/>
    </w:pPr>
    <w:rPr>
      <w:rFonts w:ascii="Calibri" w:hAnsi="Calibri" w:eastAsia="微软雅黑" w:cs="Times New Roman"/>
      <w:color w:val="808080"/>
      <w:sz w:val="21"/>
      <w:szCs w:val="21"/>
    </w:rPr>
  </w:style>
  <w:style w:type="paragraph" w:customStyle="1" w:styleId="197">
    <w:name w:val="样式 加宽量  1 磅 行距: 1.5 倍行距"/>
    <w:basedOn w:val="1"/>
    <w:qFormat/>
    <w:uiPriority w:val="0"/>
    <w:pPr>
      <w:spacing w:line="360" w:lineRule="auto"/>
      <w:ind w:firstLine="200"/>
    </w:pPr>
    <w:rPr>
      <w:rFonts w:ascii="Times New Roman" w:hAnsi="Times New Roman" w:cs="宋体"/>
      <w:spacing w:val="20"/>
      <w:szCs w:val="20"/>
    </w:rPr>
  </w:style>
  <w:style w:type="paragraph" w:customStyle="1" w:styleId="198">
    <w:name w:val="Char Char Char Char"/>
    <w:basedOn w:val="1"/>
    <w:qFormat/>
    <w:uiPriority w:val="0"/>
    <w:pPr>
      <w:spacing w:line="240" w:lineRule="auto"/>
      <w:ind w:firstLine="0" w:firstLineChars="0"/>
    </w:pPr>
    <w:rPr>
      <w:rFonts w:ascii="Times New Roman" w:hAnsi="Times New Roman" w:cs="Times New Roman"/>
      <w:sz w:val="21"/>
      <w:szCs w:val="24"/>
    </w:rPr>
  </w:style>
  <w:style w:type="paragraph" w:customStyle="1" w:styleId="199">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200">
    <w:name w:val="标题 31"/>
    <w:basedOn w:val="1"/>
    <w:qFormat/>
    <w:uiPriority w:val="1"/>
    <w:pPr>
      <w:spacing w:line="240" w:lineRule="auto"/>
      <w:ind w:left="1380" w:hanging="1260" w:firstLineChars="0"/>
      <w:jc w:val="left"/>
      <w:outlineLvl w:val="3"/>
    </w:pPr>
    <w:rPr>
      <w:rFonts w:ascii="宋体" w:hAnsi="宋体"/>
      <w:kern w:val="0"/>
      <w:sz w:val="30"/>
      <w:szCs w:val="30"/>
      <w:lang w:eastAsia="en-US"/>
    </w:rPr>
  </w:style>
  <w:style w:type="character" w:customStyle="1" w:styleId="201">
    <w:name w:val="Intense Emphasis"/>
    <w:basedOn w:val="47"/>
    <w:qFormat/>
    <w:uiPriority w:val="21"/>
    <w:rPr>
      <w:b/>
      <w:bCs/>
      <w:i/>
      <w:iCs/>
      <w:color w:val="4F81BD"/>
    </w:rPr>
  </w:style>
  <w:style w:type="paragraph" w:customStyle="1" w:styleId="202">
    <w:name w:val="正文 A"/>
    <w:qFormat/>
    <w:uiPriority w:val="0"/>
    <w:pPr>
      <w:framePr w:wrap="around" w:vAnchor="margin" w:hAnchor="text" w:y="1"/>
      <w:widowControl w:val="0"/>
      <w:jc w:val="both"/>
    </w:pPr>
    <w:rPr>
      <w:rFonts w:ascii="Arial Unicode MS" w:hAnsi="Arial Unicode MS" w:eastAsia="Arial Unicode MS" w:cs="Arial Unicode MS"/>
      <w:color w:val="000000"/>
      <w:kern w:val="2"/>
      <w:sz w:val="21"/>
      <w:szCs w:val="21"/>
      <w:u w:color="000000"/>
      <w:lang w:val="en-US" w:eastAsia="zh-CN" w:bidi="ar-SA"/>
    </w:rPr>
  </w:style>
  <w:style w:type="character" w:customStyle="1" w:styleId="203">
    <w:name w:val="style11"/>
    <w:qFormat/>
    <w:uiPriority w:val="0"/>
    <w:rPr>
      <w:rFonts w:hint="default" w:ascii="Arial" w:hAnsi="Arial" w:cs="Arial"/>
      <w:b/>
      <w:bCs/>
      <w:sz w:val="27"/>
      <w:szCs w:val="27"/>
    </w:rPr>
  </w:style>
  <w:style w:type="paragraph" w:customStyle="1" w:styleId="204">
    <w:name w:val="自定义内容"/>
    <w:basedOn w:val="1"/>
    <w:qFormat/>
    <w:uiPriority w:val="0"/>
    <w:pPr>
      <w:spacing w:after="120" w:line="360" w:lineRule="auto"/>
      <w:ind w:firstLine="480"/>
    </w:pPr>
    <w:rPr>
      <w:rFonts w:ascii="Arial" w:hAnsi="Arial" w:eastAsia="仿宋_GB2312" w:cs="Times New Roman"/>
      <w:szCs w:val="20"/>
    </w:rPr>
  </w:style>
  <w:style w:type="paragraph" w:customStyle="1" w:styleId="205">
    <w:name w:val="样式 行距: 1.5 倍行距 左  3.42 字符"/>
    <w:basedOn w:val="1"/>
    <w:qFormat/>
    <w:uiPriority w:val="0"/>
    <w:pPr>
      <w:spacing w:after="120" w:line="360" w:lineRule="auto"/>
      <w:ind w:left="200" w:leftChars="200" w:firstLine="200"/>
    </w:pPr>
    <w:rPr>
      <w:rFonts w:ascii="Times New Roman" w:hAnsi="Times New Roman" w:cs="Times New Roman"/>
      <w:sz w:val="21"/>
      <w:szCs w:val="20"/>
    </w:rPr>
  </w:style>
  <w:style w:type="paragraph" w:customStyle="1" w:styleId="206">
    <w:name w:val="富蕴标书正文"/>
    <w:basedOn w:val="204"/>
    <w:qFormat/>
    <w:uiPriority w:val="0"/>
    <w:rPr>
      <w:szCs w:val="24"/>
    </w:rPr>
  </w:style>
  <w:style w:type="paragraph" w:customStyle="1" w:styleId="207">
    <w:name w:val="正文缩进1"/>
    <w:basedOn w:val="1"/>
    <w:qFormat/>
    <w:uiPriority w:val="0"/>
    <w:pPr>
      <w:widowControl/>
      <w:spacing w:line="240" w:lineRule="auto"/>
      <w:ind w:firstLine="420"/>
      <w:jc w:val="left"/>
    </w:pPr>
    <w:rPr>
      <w:rFonts w:ascii="宋体" w:hAnsi="宋体" w:cs="宋体"/>
      <w:sz w:val="21"/>
      <w:szCs w:val="24"/>
    </w:rPr>
  </w:style>
  <w:style w:type="character" w:customStyle="1" w:styleId="208">
    <w:name w:val="普通(网站) Char"/>
    <w:link w:val="37"/>
    <w:qFormat/>
    <w:uiPriority w:val="0"/>
    <w:rPr>
      <w:rFonts w:ascii="宋体" w:hAnsi="宋体" w:cs="宋体"/>
      <w:sz w:val="24"/>
      <w:szCs w:val="24"/>
    </w:rPr>
  </w:style>
  <w:style w:type="character" w:customStyle="1" w:styleId="209">
    <w:name w:val="标书正文 Char"/>
    <w:link w:val="210"/>
    <w:qFormat/>
    <w:uiPriority w:val="0"/>
    <w:rPr>
      <w:rFonts w:ascii="幼圆" w:hAnsi="Times New Roman" w:eastAsia="幼圆"/>
      <w:b/>
      <w:kern w:val="2"/>
      <w:sz w:val="52"/>
      <w:szCs w:val="52"/>
    </w:rPr>
  </w:style>
  <w:style w:type="paragraph" w:customStyle="1" w:styleId="210">
    <w:name w:val="标书正文"/>
    <w:basedOn w:val="1"/>
    <w:link w:val="209"/>
    <w:qFormat/>
    <w:uiPriority w:val="0"/>
    <w:pPr>
      <w:spacing w:line="360" w:lineRule="auto"/>
      <w:ind w:firstLine="0" w:firstLineChars="0"/>
      <w:jc w:val="center"/>
    </w:pPr>
    <w:rPr>
      <w:rFonts w:ascii="幼圆" w:hAnsi="Times New Roman" w:eastAsia="幼圆" w:cs="Times New Roman"/>
      <w:b/>
      <w:sz w:val="52"/>
      <w:szCs w:val="52"/>
    </w:rPr>
  </w:style>
  <w:style w:type="character" w:customStyle="1" w:styleId="211">
    <w:name w:val="A正文 Char"/>
    <w:link w:val="212"/>
    <w:qFormat/>
    <w:uiPriority w:val="0"/>
    <w:rPr>
      <w:rFonts w:ascii="宋体" w:hAnsi="宋体" w:cs="宋体"/>
      <w:kern w:val="2"/>
      <w:sz w:val="28"/>
      <w:szCs w:val="28"/>
    </w:rPr>
  </w:style>
  <w:style w:type="paragraph" w:customStyle="1" w:styleId="212">
    <w:name w:val="A正文"/>
    <w:basedOn w:val="1"/>
    <w:link w:val="211"/>
    <w:qFormat/>
    <w:uiPriority w:val="0"/>
    <w:pPr>
      <w:spacing w:line="360" w:lineRule="auto"/>
      <w:ind w:firstLine="560"/>
    </w:pPr>
    <w:rPr>
      <w:rFonts w:ascii="宋体" w:hAnsi="宋体" w:cs="宋体"/>
      <w:sz w:val="28"/>
    </w:rPr>
  </w:style>
  <w:style w:type="paragraph" w:customStyle="1" w:styleId="213">
    <w:name w:val="Body text|1"/>
    <w:basedOn w:val="1"/>
    <w:qFormat/>
    <w:uiPriority w:val="0"/>
    <w:pPr>
      <w:spacing w:line="422" w:lineRule="auto"/>
      <w:ind w:firstLine="400"/>
    </w:pPr>
    <w:rPr>
      <w:rFonts w:ascii="宋体" w:hAnsi="宋体" w:cs="宋体"/>
      <w:color w:val="2B2B2C"/>
      <w:sz w:val="28"/>
      <w:lang w:val="zh-TW" w:eastAsia="zh-TW" w:bidi="zh-TW"/>
    </w:rPr>
  </w:style>
  <w:style w:type="paragraph" w:customStyle="1" w:styleId="214">
    <w:name w:val="TOC 标题1"/>
    <w:basedOn w:val="3"/>
    <w:next w:val="1"/>
    <w:qFormat/>
    <w:uiPriority w:val="39"/>
    <w:pPr>
      <w:widowControl/>
      <w:numPr>
        <w:numId w:val="0"/>
      </w:numPr>
      <w:spacing w:before="240" w:after="0" w:line="259" w:lineRule="auto"/>
      <w:jc w:val="left"/>
      <w:outlineLvl w:val="9"/>
    </w:pPr>
    <w:rPr>
      <w:rFonts w:ascii="Calibri Light" w:hAnsi="Calibri Light" w:eastAsia="宋体" w:cs="宋体"/>
      <w:b/>
      <w:bCs w:val="0"/>
      <w:color w:val="2E74B5"/>
      <w:szCs w:val="32"/>
    </w:rPr>
  </w:style>
  <w:style w:type="paragraph" w:customStyle="1" w:styleId="215">
    <w:name w:val="WPSOffice手动目录 1"/>
    <w:qFormat/>
    <w:uiPriority w:val="0"/>
    <w:rPr>
      <w:rFonts w:ascii="Times New Roman" w:hAnsi="Times New Roman" w:eastAsia="宋体" w:cs="Times New Roman"/>
      <w:lang w:val="en-US" w:eastAsia="zh-CN" w:bidi="ar-SA"/>
    </w:rPr>
  </w:style>
  <w:style w:type="paragraph" w:customStyle="1" w:styleId="21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18">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19">
    <w:name w:val="font6"/>
    <w:basedOn w:val="1"/>
    <w:qFormat/>
    <w:uiPriority w:val="0"/>
    <w:pPr>
      <w:widowControl/>
      <w:spacing w:before="100" w:beforeAutospacing="1" w:after="100" w:afterAutospacing="1" w:line="240" w:lineRule="auto"/>
      <w:ind w:firstLine="0" w:firstLineChars="0"/>
      <w:jc w:val="left"/>
    </w:pPr>
    <w:rPr>
      <w:rFonts w:ascii="宋体" w:hAnsi="宋体" w:cs="宋体"/>
      <w:b/>
      <w:bCs/>
      <w:kern w:val="0"/>
      <w:sz w:val="18"/>
      <w:szCs w:val="18"/>
    </w:rPr>
  </w:style>
  <w:style w:type="paragraph" w:customStyle="1" w:styleId="220">
    <w:name w:val="font7"/>
    <w:basedOn w:val="1"/>
    <w:qFormat/>
    <w:uiPriority w:val="0"/>
    <w:pPr>
      <w:widowControl/>
      <w:spacing w:before="100" w:beforeAutospacing="1" w:after="100" w:afterAutospacing="1" w:line="240" w:lineRule="auto"/>
      <w:ind w:firstLine="0" w:firstLineChars="0"/>
      <w:jc w:val="left"/>
    </w:pPr>
    <w:rPr>
      <w:rFonts w:ascii="等线" w:hAnsi="等线" w:eastAsia="等线" w:cs="宋体"/>
      <w:kern w:val="0"/>
      <w:sz w:val="18"/>
      <w:szCs w:val="18"/>
    </w:rPr>
  </w:style>
  <w:style w:type="paragraph" w:customStyle="1" w:styleId="22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22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22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24">
    <w:name w:val="xl87"/>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225">
    <w:name w:val="xl88"/>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textAlignment w:val="bottom"/>
    </w:pPr>
    <w:rPr>
      <w:rFonts w:ascii="宋体" w:hAnsi="宋体" w:cs="宋体"/>
      <w:kern w:val="0"/>
      <w:szCs w:val="24"/>
    </w:rPr>
  </w:style>
  <w:style w:type="paragraph" w:customStyle="1" w:styleId="226">
    <w:name w:val="TD-text"/>
    <w:basedOn w:val="1"/>
    <w:link w:val="227"/>
    <w:qFormat/>
    <w:uiPriority w:val="0"/>
    <w:pPr>
      <w:widowControl/>
      <w:spacing w:line="240" w:lineRule="auto"/>
      <w:ind w:firstLine="0" w:firstLineChars="0"/>
      <w:jc w:val="left"/>
    </w:pPr>
    <w:rPr>
      <w:rFonts w:ascii="Arial" w:hAnsi="Arial" w:cs="Times New Roman"/>
      <w:kern w:val="0"/>
      <w:sz w:val="20"/>
      <w:szCs w:val="20"/>
      <w:lang w:val="en-GB"/>
    </w:rPr>
  </w:style>
  <w:style w:type="character" w:customStyle="1" w:styleId="227">
    <w:name w:val="TD-text Char"/>
    <w:link w:val="226"/>
    <w:qFormat/>
    <w:uiPriority w:val="0"/>
    <w:rPr>
      <w:rFonts w:ascii="Arial" w:hAnsi="Arial"/>
      <w:lang w:val="en-GB"/>
    </w:rPr>
  </w:style>
  <w:style w:type="character" w:customStyle="1" w:styleId="228">
    <w:name w:val="ces正文 Char"/>
    <w:link w:val="229"/>
    <w:qFormat/>
    <w:uiPriority w:val="0"/>
    <w:rPr>
      <w:rFonts w:ascii="宋体" w:hAnsi="宋体"/>
      <w:sz w:val="24"/>
      <w:szCs w:val="24"/>
    </w:rPr>
  </w:style>
  <w:style w:type="paragraph" w:customStyle="1" w:styleId="229">
    <w:name w:val="ces正文"/>
    <w:basedOn w:val="1"/>
    <w:link w:val="228"/>
    <w:qFormat/>
    <w:uiPriority w:val="0"/>
    <w:pPr>
      <w:spacing w:line="360" w:lineRule="auto"/>
      <w:ind w:firstLine="480"/>
    </w:pPr>
    <w:rPr>
      <w:rFonts w:ascii="宋体" w:hAnsi="宋体" w:cs="Times New Roman"/>
      <w:kern w:val="0"/>
      <w:szCs w:val="24"/>
    </w:rPr>
  </w:style>
  <w:style w:type="character" w:customStyle="1" w:styleId="230">
    <w:name w:val="未处理的提及5"/>
    <w:basedOn w:val="47"/>
    <w:semiHidden/>
    <w:unhideWhenUsed/>
    <w:qFormat/>
    <w:uiPriority w:val="99"/>
    <w:rPr>
      <w:color w:val="605E5C"/>
      <w:shd w:val="clear" w:color="auto" w:fill="E1DFDD"/>
    </w:rPr>
  </w:style>
  <w:style w:type="paragraph" w:customStyle="1" w:styleId="231">
    <w:name w:val="xl108"/>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3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33">
    <w:name w:val="xl110"/>
    <w:basedOn w:val="1"/>
    <w:qFormat/>
    <w:uiPriority w:val="0"/>
    <w:pPr>
      <w:widowControl/>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3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3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36">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37">
    <w:name w:val="xl114"/>
    <w:basedOn w:val="1"/>
    <w:qFormat/>
    <w:uiPriority w:val="0"/>
    <w:pPr>
      <w:widowControl/>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38">
    <w:name w:val="xl115"/>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39">
    <w:name w:val="xl116"/>
    <w:basedOn w:val="1"/>
    <w:qFormat/>
    <w:uiPriority w:val="0"/>
    <w:pPr>
      <w:widowControl/>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4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241">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242">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243">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b/>
      <w:bCs/>
      <w:color w:val="000000"/>
      <w:kern w:val="0"/>
      <w:sz w:val="20"/>
      <w:szCs w:val="20"/>
    </w:rPr>
  </w:style>
  <w:style w:type="paragraph" w:customStyle="1" w:styleId="244">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b/>
      <w:bCs/>
      <w:color w:val="000000"/>
      <w:kern w:val="0"/>
      <w:sz w:val="20"/>
      <w:szCs w:val="20"/>
    </w:rPr>
  </w:style>
  <w:style w:type="paragraph" w:customStyle="1" w:styleId="24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24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4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4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等线" w:hAnsi="宋体" w:eastAsia="等线" w:cs="宋体"/>
      <w:color w:val="000000"/>
      <w:kern w:val="0"/>
      <w:sz w:val="20"/>
      <w:szCs w:val="20"/>
    </w:rPr>
  </w:style>
  <w:style w:type="paragraph" w:customStyle="1" w:styleId="24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b/>
      <w:bCs/>
      <w:kern w:val="0"/>
      <w:sz w:val="20"/>
      <w:szCs w:val="20"/>
    </w:rPr>
  </w:style>
  <w:style w:type="paragraph" w:customStyle="1" w:styleId="250">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等线" w:hAnsi="宋体" w:eastAsia="等线" w:cs="宋体"/>
      <w:color w:val="000000"/>
      <w:kern w:val="0"/>
      <w:sz w:val="20"/>
      <w:szCs w:val="20"/>
    </w:rPr>
  </w:style>
  <w:style w:type="paragraph" w:customStyle="1" w:styleId="251">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5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53">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5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55">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5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57">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b/>
      <w:bCs/>
      <w:kern w:val="0"/>
      <w:sz w:val="20"/>
      <w:szCs w:val="20"/>
    </w:rPr>
  </w:style>
  <w:style w:type="paragraph" w:customStyle="1" w:styleId="258">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color w:val="000000"/>
      <w:kern w:val="0"/>
      <w:sz w:val="20"/>
      <w:szCs w:val="20"/>
    </w:rPr>
  </w:style>
  <w:style w:type="paragraph" w:customStyle="1" w:styleId="259">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60">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等线" w:hAnsi="宋体" w:eastAsia="等线" w:cs="宋体"/>
      <w:kern w:val="0"/>
      <w:sz w:val="20"/>
      <w:szCs w:val="20"/>
    </w:rPr>
  </w:style>
  <w:style w:type="paragraph" w:customStyle="1" w:styleId="261">
    <w:name w:val="xl138"/>
    <w:basedOn w:val="1"/>
    <w:qFormat/>
    <w:uiPriority w:val="0"/>
    <w:pPr>
      <w:widowControl/>
      <w:pBdr>
        <w:top w:val="single" w:color="000000" w:sz="4" w:space="0"/>
        <w:left w:val="single" w:color="000000"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62">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b/>
      <w:bCs/>
      <w:kern w:val="0"/>
      <w:sz w:val="20"/>
      <w:szCs w:val="20"/>
    </w:rPr>
  </w:style>
  <w:style w:type="paragraph" w:customStyle="1" w:styleId="263">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64">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65">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6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67">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68">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69">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等线" w:hAnsi="宋体" w:eastAsia="等线" w:cs="宋体"/>
      <w:color w:val="000000"/>
      <w:kern w:val="0"/>
      <w:sz w:val="20"/>
      <w:szCs w:val="20"/>
    </w:rPr>
  </w:style>
  <w:style w:type="paragraph" w:customStyle="1" w:styleId="270">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7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72">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3">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4">
    <w:name w:val="xl151"/>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75">
    <w:name w:val="xl152"/>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76">
    <w:name w:val="xl153"/>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77">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color w:val="000000"/>
      <w:kern w:val="0"/>
      <w:sz w:val="20"/>
      <w:szCs w:val="20"/>
    </w:rPr>
  </w:style>
  <w:style w:type="paragraph" w:customStyle="1" w:styleId="278">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color w:val="000000"/>
      <w:kern w:val="0"/>
      <w:sz w:val="20"/>
      <w:szCs w:val="20"/>
    </w:rPr>
  </w:style>
  <w:style w:type="paragraph" w:customStyle="1" w:styleId="27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8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81">
    <w:name w:val="xl158"/>
    <w:basedOn w:val="1"/>
    <w:qFormat/>
    <w:uiPriority w:val="0"/>
    <w:pPr>
      <w:widowControl/>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82">
    <w:name w:val="xl1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83">
    <w:name w:val="xl16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84">
    <w:name w:val="xl1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85">
    <w:name w:val="xl1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86">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87">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88">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89">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90">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91">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9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93">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94">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95">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96">
    <w:name w:val="xl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97">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98">
    <w:name w:val="xl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99">
    <w:name w:val="xl176"/>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00">
    <w:name w:val="xl17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1">
    <w:name w:val="xl17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302">
    <w:name w:val="xl17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3">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4">
    <w:name w:val="xl18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305">
    <w:name w:val="xl182"/>
    <w:basedOn w:val="1"/>
    <w:qFormat/>
    <w:uiPriority w:val="0"/>
    <w:pPr>
      <w:widowControl/>
      <w:pBdr>
        <w:top w:val="single" w:color="000000" w:sz="4" w:space="0"/>
        <w:left w:val="single" w:color="000000"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306">
    <w:name w:val="xl1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307">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08">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Cs w:val="24"/>
    </w:rPr>
  </w:style>
  <w:style w:type="paragraph" w:customStyle="1" w:styleId="309">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10">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b/>
      <w:bCs/>
      <w:kern w:val="0"/>
      <w:sz w:val="20"/>
      <w:szCs w:val="20"/>
    </w:rPr>
  </w:style>
  <w:style w:type="paragraph" w:customStyle="1" w:styleId="311">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1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b/>
      <w:bCs/>
      <w:kern w:val="0"/>
      <w:sz w:val="20"/>
      <w:szCs w:val="20"/>
    </w:rPr>
  </w:style>
  <w:style w:type="paragraph" w:customStyle="1" w:styleId="313">
    <w:name w:val="xl19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4">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5">
    <w:name w:val="Char1 Char Char Char"/>
    <w:basedOn w:val="1"/>
    <w:qFormat/>
    <w:uiPriority w:val="0"/>
    <w:pPr>
      <w:widowControl/>
      <w:spacing w:line="400" w:lineRule="exact"/>
      <w:ind w:firstLine="0" w:firstLineChars="0"/>
      <w:jc w:val="center"/>
    </w:pPr>
    <w:rPr>
      <w:rFonts w:ascii="Times New Roman" w:hAnsi="Times New Roman" w:cs="Times New Roman"/>
      <w:sz w:val="21"/>
      <w:szCs w:val="20"/>
    </w:rPr>
  </w:style>
  <w:style w:type="paragraph" w:customStyle="1" w:styleId="316">
    <w:name w:val="表格(ALT+T)"/>
    <w:basedOn w:val="1"/>
    <w:qFormat/>
    <w:uiPriority w:val="0"/>
    <w:pPr>
      <w:snapToGrid w:val="0"/>
      <w:spacing w:line="240" w:lineRule="auto"/>
      <w:ind w:firstLine="0" w:firstLineChars="0"/>
      <w:jc w:val="center"/>
    </w:pPr>
    <w:rPr>
      <w:rFonts w:ascii="Times New Roman" w:hAnsi="Times New Roman" w:cs="Times New Roman"/>
      <w:sz w:val="21"/>
      <w:szCs w:val="24"/>
    </w:rPr>
  </w:style>
  <w:style w:type="paragraph" w:customStyle="1" w:styleId="317">
    <w:name w:val="样式 首行缩进:  0 字符"/>
    <w:basedOn w:val="1"/>
    <w:link w:val="318"/>
    <w:qFormat/>
    <w:uiPriority w:val="0"/>
    <w:pPr>
      <w:spacing w:line="360" w:lineRule="auto"/>
      <w:ind w:firstLine="200"/>
    </w:pPr>
    <w:rPr>
      <w:rFonts w:ascii="Times New Roman" w:hAnsi="Times New Roman" w:cs="宋体"/>
      <w:szCs w:val="20"/>
    </w:rPr>
  </w:style>
  <w:style w:type="character" w:customStyle="1" w:styleId="318">
    <w:name w:val="样式 首行缩进:  0 字符 Char"/>
    <w:link w:val="317"/>
    <w:qFormat/>
    <w:locked/>
    <w:uiPriority w:val="0"/>
    <w:rPr>
      <w:rFonts w:ascii="Times New Roman" w:hAnsi="Times New Roman" w:cs="宋体"/>
      <w:kern w:val="2"/>
      <w:sz w:val="24"/>
    </w:rPr>
  </w:style>
  <w:style w:type="paragraph" w:customStyle="1" w:styleId="319">
    <w:name w:val="表1"/>
    <w:basedOn w:val="1"/>
    <w:link w:val="321"/>
    <w:qFormat/>
    <w:uiPriority w:val="0"/>
    <w:pPr>
      <w:numPr>
        <w:ilvl w:val="0"/>
        <w:numId w:val="6"/>
      </w:numPr>
      <w:spacing w:line="360" w:lineRule="auto"/>
      <w:ind w:left="0" w:firstLine="0" w:firstLineChars="0"/>
      <w:jc w:val="center"/>
    </w:pPr>
    <w:rPr>
      <w:rFonts w:ascii="Times New Roman" w:hAnsi="Times New Roman" w:cs="宋体"/>
      <w:sz w:val="21"/>
      <w:szCs w:val="20"/>
    </w:rPr>
  </w:style>
  <w:style w:type="paragraph" w:customStyle="1" w:styleId="320">
    <w:name w:val="正文1）"/>
    <w:basedOn w:val="65"/>
    <w:qFormat/>
    <w:uiPriority w:val="0"/>
    <w:pPr>
      <w:numPr>
        <w:ilvl w:val="1"/>
        <w:numId w:val="7"/>
      </w:numPr>
      <w:tabs>
        <w:tab w:val="left" w:pos="360"/>
      </w:tabs>
      <w:spacing w:line="360" w:lineRule="auto"/>
      <w:ind w:left="0" w:firstLine="420" w:firstLineChars="0"/>
    </w:pPr>
    <w:rPr>
      <w:szCs w:val="22"/>
    </w:rPr>
  </w:style>
  <w:style w:type="character" w:customStyle="1" w:styleId="321">
    <w:name w:val="表1 Char"/>
    <w:link w:val="319"/>
    <w:qFormat/>
    <w:uiPriority w:val="0"/>
    <w:rPr>
      <w:rFonts w:ascii="Times New Roman" w:hAnsi="Times New Roman" w:cs="宋体"/>
      <w:kern w:val="2"/>
      <w:sz w:val="21"/>
    </w:rPr>
  </w:style>
  <w:style w:type="paragraph" w:customStyle="1" w:styleId="322">
    <w:name w:val="正文（1）"/>
    <w:basedOn w:val="1"/>
    <w:link w:val="323"/>
    <w:qFormat/>
    <w:uiPriority w:val="0"/>
    <w:pPr>
      <w:numPr>
        <w:ilvl w:val="0"/>
        <w:numId w:val="7"/>
      </w:numPr>
      <w:spacing w:line="360" w:lineRule="auto"/>
      <w:ind w:firstLineChars="0"/>
    </w:pPr>
    <w:rPr>
      <w:rFonts w:ascii="Times New Roman" w:hAnsi="Times New Roman" w:cs="宋体"/>
      <w:szCs w:val="20"/>
      <w:lang w:val="zh-CN"/>
    </w:rPr>
  </w:style>
  <w:style w:type="character" w:customStyle="1" w:styleId="323">
    <w:name w:val="正文（1） Char"/>
    <w:basedOn w:val="47"/>
    <w:link w:val="322"/>
    <w:qFormat/>
    <w:uiPriority w:val="0"/>
    <w:rPr>
      <w:rFonts w:ascii="Times New Roman" w:hAnsi="Times New Roman" w:cs="宋体"/>
      <w:kern w:val="2"/>
      <w:sz w:val="24"/>
      <w:lang w:val="zh-CN"/>
    </w:rPr>
  </w:style>
  <w:style w:type="character" w:customStyle="1" w:styleId="324">
    <w:name w:val="标题 5 字符"/>
    <w:qFormat/>
    <w:uiPriority w:val="9"/>
    <w:rPr>
      <w:rFonts w:ascii="黑体" w:hAnsi="黑体" w:eastAsia="黑体"/>
      <w:kern w:val="2"/>
      <w:sz w:val="24"/>
      <w:szCs w:val="24"/>
    </w:rPr>
  </w:style>
  <w:style w:type="character" w:customStyle="1" w:styleId="325">
    <w:name w:val="font81"/>
    <w:basedOn w:val="47"/>
    <w:qFormat/>
    <w:uiPriority w:val="0"/>
    <w:rPr>
      <w:rFonts w:hint="eastAsia" w:ascii="宋体" w:hAnsi="宋体" w:eastAsia="宋体" w:cs="宋体"/>
      <w:color w:val="000000"/>
      <w:sz w:val="20"/>
      <w:szCs w:val="20"/>
      <w:u w:val="none"/>
    </w:rPr>
  </w:style>
  <w:style w:type="character" w:customStyle="1" w:styleId="326">
    <w:name w:val="font151"/>
    <w:basedOn w:val="47"/>
    <w:qFormat/>
    <w:uiPriority w:val="0"/>
    <w:rPr>
      <w:rFonts w:hint="eastAsia" w:ascii="宋体" w:hAnsi="宋体" w:eastAsia="宋体" w:cs="宋体"/>
      <w:color w:val="000000"/>
      <w:sz w:val="20"/>
      <w:szCs w:val="20"/>
      <w:u w:val="none"/>
      <w:vertAlign w:val="superscript"/>
    </w:rPr>
  </w:style>
  <w:style w:type="character" w:customStyle="1" w:styleId="327">
    <w:name w:val="font31"/>
    <w:basedOn w:val="47"/>
    <w:qFormat/>
    <w:uiPriority w:val="0"/>
    <w:rPr>
      <w:rFonts w:hint="eastAsia" w:ascii="宋体" w:hAnsi="宋体" w:eastAsia="宋体" w:cs="宋体"/>
      <w:color w:val="000000"/>
      <w:sz w:val="20"/>
      <w:szCs w:val="20"/>
      <w:u w:val="none"/>
    </w:rPr>
  </w:style>
  <w:style w:type="character" w:customStyle="1" w:styleId="328">
    <w:name w:val="font141"/>
    <w:basedOn w:val="47"/>
    <w:qFormat/>
    <w:uiPriority w:val="0"/>
    <w:rPr>
      <w:rFonts w:hint="eastAsia" w:ascii="宋体" w:hAnsi="宋体" w:eastAsia="宋体" w:cs="宋体"/>
      <w:color w:val="000000"/>
      <w:sz w:val="20"/>
      <w:szCs w:val="20"/>
      <w:u w:val="none"/>
      <w:vertAlign w:val="superscript"/>
    </w:rPr>
  </w:style>
  <w:style w:type="character" w:customStyle="1" w:styleId="329">
    <w:name w:val="font131"/>
    <w:basedOn w:val="47"/>
    <w:qFormat/>
    <w:uiPriority w:val="0"/>
    <w:rPr>
      <w:rFonts w:hint="eastAsia" w:ascii="宋体" w:hAnsi="宋体" w:eastAsia="宋体" w:cs="宋体"/>
      <w:color w:val="000000"/>
      <w:sz w:val="20"/>
      <w:szCs w:val="20"/>
      <w:u w:val="none"/>
      <w:vertAlign w:val="superscript"/>
    </w:rPr>
  </w:style>
  <w:style w:type="character" w:customStyle="1" w:styleId="330">
    <w:name w:val="font41"/>
    <w:basedOn w:val="47"/>
    <w:qFormat/>
    <w:uiPriority w:val="0"/>
    <w:rPr>
      <w:rFonts w:ascii="Calibri" w:hAnsi="Calibri" w:cs="Calibri"/>
      <w:color w:val="000000"/>
      <w:sz w:val="20"/>
      <w:szCs w:val="20"/>
      <w:u w:val="none"/>
    </w:rPr>
  </w:style>
  <w:style w:type="character" w:customStyle="1" w:styleId="331">
    <w:name w:val="font11"/>
    <w:basedOn w:val="47"/>
    <w:qFormat/>
    <w:uiPriority w:val="0"/>
    <w:rPr>
      <w:rFonts w:hint="eastAsia" w:ascii="宋体" w:hAnsi="宋体" w:eastAsia="宋体" w:cs="宋体"/>
      <w:color w:val="000000"/>
      <w:sz w:val="20"/>
      <w:szCs w:val="20"/>
      <w:u w:val="none"/>
      <w:vertAlign w:val="superscript"/>
    </w:rPr>
  </w:style>
  <w:style w:type="character" w:customStyle="1" w:styleId="332">
    <w:name w:val="font71"/>
    <w:basedOn w:val="47"/>
    <w:qFormat/>
    <w:uiPriority w:val="0"/>
    <w:rPr>
      <w:rFonts w:hint="eastAsia" w:ascii="宋体" w:hAnsi="宋体" w:eastAsia="宋体" w:cs="宋体"/>
      <w:color w:val="000000"/>
      <w:sz w:val="20"/>
      <w:szCs w:val="20"/>
      <w:u w:val="none"/>
    </w:rPr>
  </w:style>
  <w:style w:type="character" w:customStyle="1" w:styleId="333">
    <w:name w:val="font61"/>
    <w:basedOn w:val="47"/>
    <w:qFormat/>
    <w:uiPriority w:val="0"/>
    <w:rPr>
      <w:rFonts w:ascii="Calibri" w:hAnsi="Calibri" w:cs="Calibri"/>
      <w:color w:val="000000"/>
      <w:sz w:val="20"/>
      <w:szCs w:val="20"/>
      <w:u w:val="none"/>
    </w:rPr>
  </w:style>
  <w:style w:type="paragraph" w:customStyle="1" w:styleId="334">
    <w:name w:val="十四五，1级标题"/>
    <w:basedOn w:val="1"/>
    <w:next w:val="1"/>
    <w:qFormat/>
    <w:uiPriority w:val="0"/>
    <w:pPr>
      <w:keepNext/>
      <w:keepLines/>
      <w:numPr>
        <w:ilvl w:val="0"/>
        <w:numId w:val="8"/>
      </w:numPr>
      <w:spacing w:before="480" w:after="360" w:line="600" w:lineRule="exact"/>
      <w:ind w:firstLine="0" w:firstLineChars="0"/>
      <w:jc w:val="center"/>
      <w:outlineLvl w:val="0"/>
    </w:pPr>
    <w:rPr>
      <w:rFonts w:hint="eastAsia" w:ascii="宋体" w:hAnsi="宋体" w:eastAsia="黑体" w:cs="Times New Roman"/>
      <w:bCs/>
      <w:kern w:val="0"/>
      <w:sz w:val="32"/>
      <w:szCs w:val="32"/>
    </w:rPr>
  </w:style>
  <w:style w:type="paragraph" w:customStyle="1" w:styleId="335">
    <w:name w:val="十四五，2级标题"/>
    <w:basedOn w:val="1"/>
    <w:qFormat/>
    <w:uiPriority w:val="0"/>
    <w:pPr>
      <w:adjustRightInd w:val="0"/>
      <w:spacing w:line="600" w:lineRule="exact"/>
      <w:ind w:firstLine="640"/>
    </w:pPr>
    <w:rPr>
      <w:rFonts w:hint="eastAsia" w:ascii="宋体" w:hAnsi="宋体" w:eastAsia="方正仿宋_GBK"/>
      <w:bCs/>
      <w:color w:val="000000" w:themeColor="text1"/>
      <w:kern w:val="0"/>
      <w:sz w:val="32"/>
      <w:szCs w:val="32"/>
      <w:lang w:val="zh-CN"/>
      <w14:textFill>
        <w14:solidFill>
          <w14:schemeClr w14:val="tx1"/>
        </w14:solidFill>
      </w14:textFill>
    </w:rPr>
  </w:style>
  <w:style w:type="paragraph" w:customStyle="1" w:styleId="336">
    <w:name w:val="a表达式"/>
    <w:basedOn w:val="1"/>
    <w:qFormat/>
    <w:uiPriority w:val="0"/>
    <w:pPr>
      <w:numPr>
        <w:ilvl w:val="6"/>
        <w:numId w:val="1"/>
      </w:numPr>
      <w:ind w:firstLine="0" w:firstLineChars="0"/>
    </w:pPr>
  </w:style>
  <w:style w:type="paragraph" w:customStyle="1" w:styleId="337">
    <w:name w:val="a表名"/>
    <w:basedOn w:val="1"/>
    <w:qFormat/>
    <w:uiPriority w:val="0"/>
    <w:pPr>
      <w:numPr>
        <w:ilvl w:val="8"/>
        <w:numId w:val="1"/>
      </w:numPr>
      <w:ind w:firstLine="0" w:firstLineChars="0"/>
    </w:pPr>
  </w:style>
  <w:style w:type="paragraph" w:customStyle="1" w:styleId="338">
    <w:name w:val="a正文"/>
    <w:basedOn w:val="1"/>
    <w:qFormat/>
    <w:uiPriority w:val="0"/>
    <w:pPr>
      <w:adjustRightInd w:val="0"/>
      <w:spacing w:line="600" w:lineRule="exact"/>
      <w:ind w:firstLine="200"/>
    </w:pPr>
    <w:rPr>
      <w:rFonts w:ascii="宋体" w:hAnsi="宋体" w:eastAsia="方正仿宋GBK"/>
      <w:bCs/>
      <w:color w:val="000000" w:themeColor="text1"/>
      <w:kern w:val="0"/>
      <w:sz w:val="32"/>
      <w:lang w:val="zh-CN"/>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2604B-B3D0-403B-9ABB-D99709CB80C2}">
  <ds:schemaRefs/>
</ds:datastoreItem>
</file>

<file path=docProps/app.xml><?xml version="1.0" encoding="utf-8"?>
<Properties xmlns="http://schemas.openxmlformats.org/officeDocument/2006/extended-properties" xmlns:vt="http://schemas.openxmlformats.org/officeDocument/2006/docPropsVTypes">
  <Template>Normal</Template>
  <Pages>74</Pages>
  <Words>30837</Words>
  <Characters>31335</Characters>
  <Lines>303</Lines>
  <Paragraphs>85</Paragraphs>
  <TotalTime>6</TotalTime>
  <ScaleCrop>false</ScaleCrop>
  <LinksUpToDate>false</LinksUpToDate>
  <CharactersWithSpaces>35695</CharactersWithSpaces>
  <Application>WPS Office_11.8.2.10989_F1E327BC-269C-435d-A152-05C5408002CA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2020-08-19T07:52:00Z</dcterms:created>
  <dc:creator>User</dc:creator>
  <cp:lastModifiedBy>黄小丽</cp:lastModifiedBy>
  <cp:lastPrinted>2022-05-16T06:35:00Z</cp:lastPrinted>
  <dcterms:modified xsi:type="dcterms:W3CDTF">2022-06-01T08:47:17Z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2052-11.8.2.10989</vt:lpwstr>
  </property>
  <property fmtid="{D5CDD505-2E9C-101B-9397-08002B2CF9AE}" pid="3" name="ICV">
    <vt:lpwstr>C62824283ED9441A83859039B6359AA5</vt:lpwstr>
  </property>
</Properties>
</file>