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宋体" w:hAnsi="宋体" w:eastAsia="方正小标宋简体" w:cs="Times New Roman"/>
          <w:color w:val="auto"/>
          <w:kern w:val="0"/>
          <w:sz w:val="22"/>
          <w:szCs w:val="32"/>
          <w:lang w:eastAsia="zh-CN"/>
        </w:rPr>
      </w:pPr>
      <w:bookmarkStart w:id="0" w:name="_GoBack"/>
      <w:r>
        <w:rPr>
          <w:rFonts w:ascii="宋体" w:hAnsi="宋体" w:eastAsia="方正小标宋简体" w:cs="Times New Roman"/>
          <w:color w:val="auto"/>
          <w:sz w:val="44"/>
        </w:rPr>
        <w:t>202</w:t>
      </w:r>
      <w:r>
        <w:rPr>
          <w:rFonts w:hint="eastAsia" w:ascii="宋体" w:hAnsi="宋体" w:eastAsia="方正小标宋简体" w:cs="Times New Roman"/>
          <w:color w:val="auto"/>
          <w:sz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</w:rPr>
        <w:t>年区十件民生实事任务分解表</w:t>
      </w:r>
      <w:bookmarkEnd w:id="0"/>
    </w:p>
    <w:tbl>
      <w:tblPr>
        <w:tblStyle w:val="5"/>
        <w:tblW w:w="15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84"/>
        <w:gridCol w:w="1343"/>
        <w:gridCol w:w="8996"/>
        <w:gridCol w:w="1227"/>
        <w:gridCol w:w="1964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671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分类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 w:cs="黑体"/>
                <w:color w:val="auto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分管</w:t>
            </w:r>
          </w:p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区领导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牵头</w:t>
            </w:r>
            <w:r>
              <w:rPr>
                <w:rFonts w:hint="eastAsia" w:ascii="宋体" w:hAnsi="宋体" w:eastAsia="黑体" w:cs="Times New Roman"/>
                <w:color w:val="auto"/>
                <w:kern w:val="0"/>
                <w:sz w:val="22"/>
                <w:szCs w:val="22"/>
              </w:rPr>
              <w:t>责任</w:t>
            </w: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eastAsia="黑体" w:cs="Times New Roman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底线民生保障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继续提高底线民生保障水平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继续提高城乡最低生活保障标准，把我区城镇和农村低保标准分别从2021年的每人每月849元、585元提高到每人每月866元、606元；城镇低保补差从2021年的每人每月631元提高到每人每月654元，农村低保补差为每人每月426元；同步提高城乡特困供养标准，确保城乡特困人员基本生活标准不低于当地最低生活保障标准的1.6倍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黎映花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区民政局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困难群众保障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提高孤儿和残疾人等困难群众救助补助标准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396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提高孤儿和事实无人抚养儿童基本生活保障水平，集中供养孤儿基本生活保障标准从2021年的每人每月1883元提高到每人每月1949元，分散供养孤儿、事实无人抚养儿童基本生活保障标准每人每月1450元。提高残疾人两项补贴水平，困难残疾人生活补贴、重度残疾人护理补贴标准分别从2021年的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</w:rPr>
              <w:t>每人每月181元、243元提高到每人每月188元、252元。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黎映花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区民政局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食品安全管理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提升食品安全风险防控能力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继续加强食品安全监督检测，有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针对性地组织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开展食品安全监督抽检工作，完成不少于3272批次食品抽检任务（含专项抽检），不合格食品处置率100%；实施农贸市场食用农产品放心消费工程，在16家农贸市场开展食用农产品快检快筛，全年完成不少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60000批次。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黄模周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区市场监督管理局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交通安全保障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实施公路桥梁检测和安全保障工程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在全区实施公路桥梁安全检测工程，对存在安全隐患的小江桥、高塘二桥、跃进桥3座危桥进行加固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改造，排除安全隐患，保障人民群众的生命财产安全。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区公路事务中心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区交通运输局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医疗卫生服务保障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强化医疗基础设施建设和疾病预防保障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继续推进源城区疾病预防控制中心项目、上城社区卫生服务中心项目建设，进一步改善我区医疗卫生机构基础设施条件。全面实施适龄女生（HPV）疫苗免费接种，从2022年起每年对具有源城区学籍（包括在源城辖区内的市直初中学校学生）、新进入初中一年级14周岁以下女生，按照免费接种和知情自愿原则，实施人乳头瘤病毒（HPV）疫苗免费接种计划。全区项目开展镇（街道）数达100%，全区初中一年级女生及家长宫颈癌防控知识（含疫苗接种）知晓率达到90%以上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黄模周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区卫生健康局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基本医疗保障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提高城乡居民基本医疗保险保障水平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逐步提高城乡居民基本医疗保险待遇水平，降低个人负担医疗费用比例，增强参保群众获得感、安全感、幸福感。提高城乡居民基本医疗保险财政补助标准，财政补助资金从2021年每人每年580元提高到每人每年610元；加强参保宣传和保费征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收，使城乡居民基本医疗保险参保率稳定在95%以上。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黄模周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市医疗保障局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源城分局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文体服务提升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提升公共文化艺术体育服务水平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进一步提升区图书馆、区文化馆等免费开放服务水平，推进区图书馆数字化建设；开展多种多样可供群众参与的文化艺术体育活动，满足群众日益增长的精神文化和体育需求。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黎映花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区文化广电旅游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体育局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基础教育改善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继续促进教育均衡普惠发展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加强全区公办幼儿园、中小学校老旧建筑物质量安全监测，着力消除重要公共建筑物抗震隐患，最大限度保护师生生命财产安全。着力改善办学条件，抓好学前教育、义务教育提质扩容，继续推进5所公办幼儿园和2所公办义务教育学校建设，预计新增公办学前教育学位2835个、公办义务教育学位2320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1.加强全区公办幼儿园、中小学校老旧建筑物质量安全监测，逐步消除重要公共建筑物抗震隐患，最大限度保护师生生命财产安全。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继续推进5所公办幼儿园建设，建成后可新增幼儿园公办学位2835个。一是继续推进东城幼儿园建设，项目占地面积11826.86平方米，建筑面积约24768平方米。建设内容包括新建一栋框架5层综合楼、一栋框架3层教学楼、一层地下停车场（建筑面积8778.69平方米，设车位210个），以及大门、围墙和园内外绿化等附属设施。二是新建中山路幼儿园，项目占地面积7943.5平方米，建筑面积13500平方米。建设内容包括新建一栋框架3层综合楼、一层地下停车场，以及大门、围墙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内外绿化等附属设施。三是继续推进竹园幼儿园建设，项目占地面积约3000平方米，建筑面积4887.05平方米。建设内容包括新建一栋框架4层综合楼、大门及其它附属设施。四是拆建二轻幼儿园，项目占地面积3006.24平方米，建筑面积7698平方米，通过拆除一栋一层厂房、一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层办公楼后，在原址上重建一栋地上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层的教学楼，配套建设地下一层车库和新建围墙及其他附属设施等。五是继续推进新风幼儿园建设，项目占地面积3900平方米（含停车场面积约1250平方米），建筑面积约4350平方米。建设内容包括新建一栋框架3层综合楼、地上停车场，以及大门、围墙和校园绿化、硬底化等附属设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实施源城区第一中学扩建工程：新建一栋六层学生宿舍（占地面积765平方米、建筑总面积3812平方米）；在田径运动场新建一栋师生饭堂（一楼为师生饭堂，楼面为运动场，占地面积3131平方米、建筑面积3131平方米）。项目完工后，学校办学规模将增至36个教学班，可满足800名学生的住宿需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4.继续推进御龙湾小学建设：御龙湾小区配套工程，位于老城三王坝御龙湾花园内，项目占地面积约25000平方米（已规划为教育用地，使用权属宝豪公司），建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面积约18000平方米，办学规模36个班，1620个学位。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邓彬斌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8"/>
                <w:kern w:val="0"/>
                <w:sz w:val="21"/>
                <w:szCs w:val="21"/>
              </w:rPr>
              <w:t>区教育局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促进就业创业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继续深入实施“粤菜师傅”“广东技工”“南粤家政”三项工程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贯彻落实乡村振兴战略，继续深入实施“粤菜师傅”“广东技工”“南粤家政”三项工程，积极开展母婴服务、居家服务、养老服务、粤菜师傅培训、员工安全技能培训和农村电商培训等六项重点培训项目。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邓彬斌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区人力资源和社会保障局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消防安全保障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提高城区公共消防设施建设水平</w:t>
            </w:r>
          </w:p>
        </w:tc>
        <w:tc>
          <w:tcPr>
            <w:tcW w:w="8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加强消防基础设施建设，改建区消防救援大队备勤楼，在城北高速出口南面、江源新邨北面建设1座小型消防站，强化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源西片区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消防救援能力，均衡提升全区火灾防控和灭火救援能力，切实保障人民群众生命财产安全。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曹新华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源西街道办事处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区消防救援大队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652BF"/>
    <w:rsid w:val="392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hint="eastAsia" w:eastAsia="宋体"/>
      <w:sz w:val="28"/>
      <w:szCs w:val="20"/>
    </w:rPr>
  </w:style>
  <w:style w:type="paragraph" w:styleId="3">
    <w:name w:val="toc 5"/>
    <w:basedOn w:val="1"/>
    <w:next w:val="1"/>
    <w:qFormat/>
    <w:uiPriority w:val="0"/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2022-07-05T02:02:00Z</dcterms:created>
  <dc:creator>李玉琼</dc:creator>
  <cp:lastModifiedBy>李玉琼</cp:lastModifiedBy>
  <dcterms:modified xsi:type="dcterms:W3CDTF">2022-07-05T02:04:00Z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E543ACE2610E443383EB69B34D4AC2FF</vt:lpwstr>
  </property>
</Properties>
</file>