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/>
          <w:sz w:val="44"/>
          <w:szCs w:val="44"/>
        </w:rPr>
        <w:t>项目绩效评价表</w:t>
      </w:r>
    </w:p>
    <w:tbl>
      <w:tblPr>
        <w:tblStyle w:val="3"/>
        <w:tblW w:w="99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760"/>
        <w:gridCol w:w="933"/>
        <w:gridCol w:w="743"/>
        <w:gridCol w:w="222"/>
        <w:gridCol w:w="745"/>
        <w:gridCol w:w="1704"/>
        <w:gridCol w:w="697"/>
        <w:gridCol w:w="746"/>
        <w:gridCol w:w="15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>项目概况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4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河湖管护经费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评价年度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项目主管部门</w:t>
            </w: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河源市源城区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  <w:t>农业农村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朱毓娜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3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517000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91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项目概况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（每部分不低于500字以内）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项目绩效目标情况</w:t>
            </w:r>
          </w:p>
        </w:tc>
        <w:tc>
          <w:tcPr>
            <w:tcW w:w="91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为确保源城区全面推行河长制工作落实到位，按照“属地管理、就地打捞、科学清运、妥善处置”的原则，组织全区各相关单位、各镇（街）集中开展河流水面漂浮物清理专项治理行动，改善河流水质，健全完善河道保洁长效机制，系统推进河流水环境改善。2019年5月15日前完成“清飘”任务，基本实现全区河流水面无成片漂浮物，取得“河畅、水清、堤固、岸绿、景美”的阶段性胜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项目实际完成情况</w:t>
            </w:r>
          </w:p>
        </w:tc>
        <w:tc>
          <w:tcPr>
            <w:tcW w:w="91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河湖管护范围覆盖源城区21条河流，涉及埔前镇、源南镇、上城街道办事处、东埔街道办事处、源西街道办事处、高埔岗街道办事处、新江街道办事处，共7个镇（街）。预算资金80万元，下拨各镇（街）70万元，剩余10万元与2019年中小河湖管护经费项目20.9805万元统筹用于河流水面漂浮物清理，未单独区分该部分项目资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项目资金安排和使用情况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投入指标</w:t>
            </w: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上级财政资金（单位：万元）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本级财政资金（单位：万元）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其他（单位自筹）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预算安排</w:t>
            </w: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(1)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80.00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80.00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实际投入</w:t>
            </w: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(2)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80.00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80.00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实际到位</w:t>
            </w: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(3)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80.00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80.00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实际支出</w:t>
            </w: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(4)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80.00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80.00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资金结余</w:t>
            </w: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(5)=(3)-(4)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实际到位率</w:t>
            </w: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(6)=(3)÷(2)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支出实现率</w:t>
            </w: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(7)=(4)÷(3)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预算完成率</w:t>
            </w: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(8)=(4)÷(1)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绩效</w:t>
      </w:r>
      <w:r>
        <w:rPr>
          <w:rFonts w:hint="eastAsia" w:ascii="宋体" w:hAnsi="宋体"/>
          <w:b/>
          <w:sz w:val="28"/>
          <w:szCs w:val="28"/>
        </w:rPr>
        <w:t>评价指标分析表</w:t>
      </w:r>
    </w:p>
    <w:tbl>
      <w:tblPr>
        <w:tblStyle w:val="3"/>
        <w:tblW w:w="84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046"/>
        <w:gridCol w:w="1647"/>
        <w:gridCol w:w="962"/>
        <w:gridCol w:w="426"/>
        <w:gridCol w:w="1083"/>
        <w:gridCol w:w="780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02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评价指标</w:t>
            </w:r>
          </w:p>
        </w:tc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自评分数</w:t>
            </w:r>
          </w:p>
        </w:tc>
        <w:tc>
          <w:tcPr>
            <w:tcW w:w="2318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评分依据、未达标原因分析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38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四级指标权重（%）</w:t>
            </w:r>
          </w:p>
        </w:tc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1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9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投入（20）</w:t>
            </w:r>
          </w:p>
        </w:tc>
        <w:tc>
          <w:tcPr>
            <w:tcW w:w="10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项目立项（12）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论证决策（4）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充分论证性</w:t>
            </w:r>
          </w:p>
        </w:tc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目标设置（6）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完整性</w:t>
            </w:r>
          </w:p>
        </w:tc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合理性</w:t>
            </w:r>
          </w:p>
        </w:tc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可衡量性</w:t>
            </w:r>
          </w:p>
        </w:tc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目标设置侧重定性，缺乏量化考核指标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保障措施（2）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制度完备性</w:t>
            </w:r>
          </w:p>
        </w:tc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0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计划安排合理性</w:t>
            </w:r>
          </w:p>
        </w:tc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资金落实（8）</w:t>
            </w:r>
          </w:p>
        </w:tc>
        <w:tc>
          <w:tcPr>
            <w:tcW w:w="16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资金到位（5）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资金到位率</w:t>
            </w:r>
          </w:p>
        </w:tc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资金到位及时性</w:t>
            </w:r>
          </w:p>
        </w:tc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资金分配（3）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资金分配合理性</w:t>
            </w:r>
          </w:p>
        </w:tc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过程（20）</w:t>
            </w:r>
          </w:p>
        </w:tc>
        <w:tc>
          <w:tcPr>
            <w:tcW w:w="10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资金管理（12）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资金支付（6）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资金支出率</w:t>
            </w:r>
          </w:p>
        </w:tc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9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支出规范性（6）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程序规范性</w:t>
            </w:r>
          </w:p>
        </w:tc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事项管理（8）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实施程序（4）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程序规范性</w:t>
            </w:r>
          </w:p>
        </w:tc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管理情况（4）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监管有效性</w:t>
            </w:r>
          </w:p>
        </w:tc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产出（30）</w:t>
            </w:r>
          </w:p>
        </w:tc>
        <w:tc>
          <w:tcPr>
            <w:tcW w:w="10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经济性（5）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预算控制（5）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预算控制</w:t>
            </w:r>
          </w:p>
        </w:tc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成本控制（/）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成本节约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（成本指标）</w:t>
            </w:r>
          </w:p>
        </w:tc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效率性（25）</w:t>
            </w:r>
          </w:p>
        </w:tc>
        <w:tc>
          <w:tcPr>
            <w:tcW w:w="16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完成进度、质量（25）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（数量指标）</w:t>
            </w:r>
          </w:p>
        </w:tc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0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（时效指标）</w:t>
            </w:r>
          </w:p>
        </w:tc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（质量指标）</w:t>
            </w:r>
          </w:p>
        </w:tc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4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效益（30）</w:t>
            </w:r>
          </w:p>
        </w:tc>
        <w:tc>
          <w:tcPr>
            <w:tcW w:w="10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效果性（25）</w:t>
            </w:r>
          </w:p>
        </w:tc>
        <w:tc>
          <w:tcPr>
            <w:tcW w:w="16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经济、社会、生态及可持续发展效益（25）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经济效益（个性指标）</w:t>
            </w:r>
          </w:p>
        </w:tc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社会效益（个性指标）</w:t>
            </w:r>
          </w:p>
        </w:tc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生态效益（个性指标）</w:t>
            </w:r>
          </w:p>
        </w:tc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可持续发展（个性指标）</w:t>
            </w:r>
          </w:p>
        </w:tc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公平性（5）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满意度（5）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服务对象满意度</w:t>
            </w:r>
          </w:p>
        </w:tc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2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合计：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自评等次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优秀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备注：1、可另附详细补充说明，并附上上述有关佐证材料复印件。</w:t>
      </w:r>
    </w:p>
    <w:p>
      <w:pPr>
        <w:spacing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 xml:space="preserve">      2、自评得分：90-100优秀、80-89良好、70-79中等、60-69及格、59及以下不及格。</w:t>
      </w: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2ODMzZDBjODg0MzNjNjQwZmU0MWI3Y2MyYzY0MGEifQ=="/>
  </w:docVars>
  <w:rsids>
    <w:rsidRoot w:val="54270E1F"/>
    <w:rsid w:val="00014B00"/>
    <w:rsid w:val="00277DE3"/>
    <w:rsid w:val="002B4F0B"/>
    <w:rsid w:val="0032393F"/>
    <w:rsid w:val="00377170"/>
    <w:rsid w:val="0056017D"/>
    <w:rsid w:val="006A0335"/>
    <w:rsid w:val="006C78A3"/>
    <w:rsid w:val="00816355"/>
    <w:rsid w:val="00835B03"/>
    <w:rsid w:val="00A3243C"/>
    <w:rsid w:val="00AB76E5"/>
    <w:rsid w:val="00C97E57"/>
    <w:rsid w:val="00DB6F83"/>
    <w:rsid w:val="00F70831"/>
    <w:rsid w:val="00F86A87"/>
    <w:rsid w:val="075046DA"/>
    <w:rsid w:val="54270E1F"/>
    <w:rsid w:val="7E19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character" w:styleId="5">
    <w:name w:val="annotation reference"/>
    <w:basedOn w:val="4"/>
    <w:semiHidden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1040</Words>
  <Characters>1200</Characters>
  <Lines>10</Lines>
  <Paragraphs>3</Paragraphs>
  <TotalTime>129</TotalTime>
  <ScaleCrop>false</ScaleCrop>
  <LinksUpToDate>false</LinksUpToDate>
  <CharactersWithSpaces>1206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2020-11-17T03:39:00Z</dcterms:created>
  <dc:creator>Tency</dc:creator>
  <cp:lastModifiedBy>平台管理员</cp:lastModifiedBy>
  <dcterms:modified xsi:type="dcterms:W3CDTF">2022-10-19T08:49:21Z</dcterms:modified>
  <dc:title>项目绩效评价表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C4CF8C9C6F6741B88F284F171750AFEB</vt:lpwstr>
  </property>
</Properties>
</file>