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drawing>
          <wp:inline distT="0" distB="0" distL="114300" distR="114300">
            <wp:extent cx="5513705" cy="3097530"/>
            <wp:effectExtent l="0" t="0" r="10795" b="7620"/>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5"/>
                    <a:stretch>
                      <a:fillRect/>
                    </a:stretch>
                  </pic:blipFill>
                  <pic:spPr>
                    <a:xfrm>
                      <a:off x="0" y="0"/>
                      <a:ext cx="5513705" cy="3097530"/>
                    </a:xfrm>
                    <a:prstGeom prst="rect">
                      <a:avLst/>
                    </a:prstGeom>
                  </pic:spPr>
                </pic:pic>
              </a:graphicData>
            </a:graphic>
          </wp:inline>
        </w:drawing>
      </w:r>
    </w:p>
    <w:p>
      <w:pPr>
        <w:spacing w:line="360" w:lineRule="auto"/>
        <w:rPr>
          <w:rFonts w:ascii="仿宋" w:hAnsi="仿宋" w:eastAsia="仿宋" w:cs="仿宋"/>
          <w:sz w:val="28"/>
          <w:szCs w:val="28"/>
        </w:rPr>
      </w:pPr>
    </w:p>
    <w:p>
      <w:pPr>
        <w:spacing w:line="360" w:lineRule="auto"/>
        <w:jc w:val="center"/>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pStyle w:val="2"/>
      </w:pPr>
    </w:p>
    <w:p>
      <w:pPr>
        <w:spacing w:line="360" w:lineRule="auto"/>
        <w:jc w:val="center"/>
        <w:rPr>
          <w:rFonts w:ascii="仿宋" w:hAnsi="仿宋" w:eastAsia="仿宋" w:cs="仿宋"/>
          <w:b/>
          <w:color w:val="5B9BD5" w:themeColor="accent1"/>
          <w:sz w:val="44"/>
          <w:szCs w:val="44"/>
          <w14:textFill>
            <w14:solidFill>
              <w14:schemeClr w14:val="accent1"/>
            </w14:solidFill>
          </w14:textFill>
        </w:rPr>
      </w:pPr>
      <w:r>
        <w:rPr>
          <w:rFonts w:hint="eastAsia" w:ascii="仿宋" w:hAnsi="仿宋" w:eastAsia="仿宋" w:cs="仿宋"/>
          <w:b/>
          <w:color w:val="5B9BD5" w:themeColor="accent1"/>
          <w:sz w:val="44"/>
          <w:szCs w:val="44"/>
          <w14:textFill>
            <w14:solidFill>
              <w14:schemeClr w14:val="accent1"/>
            </w14:solidFill>
          </w14:textFill>
        </w:rPr>
        <w:t>源城区应急管理局</w:t>
      </w:r>
    </w:p>
    <w:p>
      <w:pPr>
        <w:pStyle w:val="2"/>
        <w:jc w:val="center"/>
        <w:rPr>
          <w:b/>
          <w:color w:val="5B9BD5" w:themeColor="accent1"/>
          <w:sz w:val="44"/>
          <w:szCs w:val="44"/>
          <w14:textFill>
            <w14:solidFill>
              <w14:schemeClr w14:val="accent1"/>
            </w14:solidFill>
          </w14:textFill>
        </w:rPr>
      </w:pPr>
      <w:r>
        <w:rPr>
          <w:rFonts w:hint="eastAsia"/>
          <w:b/>
          <w:color w:val="5B9BD5" w:themeColor="accent1"/>
          <w:sz w:val="44"/>
          <w:szCs w:val="44"/>
          <w14:textFill>
            <w14:solidFill>
              <w14:schemeClr w14:val="accent1"/>
            </w14:solidFill>
          </w14:textFill>
        </w:rPr>
        <w:t>2020年</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sdt>
      <w:sdtPr>
        <w:rPr>
          <w:rFonts w:hint="eastAsia" w:ascii="仿宋" w:hAnsi="仿宋" w:eastAsia="仿宋" w:cs="仿宋"/>
          <w:sz w:val="28"/>
          <w:szCs w:val="28"/>
        </w:rPr>
        <w:id w:val="147475197"/>
        <w:docPartObj>
          <w:docPartGallery w:val="Table of Contents"/>
          <w:docPartUnique/>
        </w:docPartObj>
      </w:sdtPr>
      <w:sdtEndPr>
        <w:rPr>
          <w:rFonts w:hint="eastAsia" w:ascii="仿宋_GB2312" w:hAnsi="仿宋_GB2312" w:eastAsia="仿宋_GB2312" w:cs="仿宋_GB2312"/>
          <w:b/>
          <w:sz w:val="28"/>
          <w:szCs w:val="28"/>
        </w:rPr>
      </w:sdtEndPr>
      <w:sdtContent>
        <w:p>
          <w:pPr>
            <w:spacing w:line="360" w:lineRule="auto"/>
            <w:jc w:val="center"/>
            <w:rPr>
              <w:rFonts w:ascii="仿宋" w:hAnsi="仿宋" w:eastAsia="仿宋" w:cs="仿宋"/>
              <w:sz w:val="28"/>
              <w:szCs w:val="28"/>
            </w:rPr>
          </w:pPr>
          <w:r>
            <w:rPr>
              <w:rFonts w:hint="eastAsia" w:ascii="仿宋" w:hAnsi="仿宋" w:eastAsia="仿宋" w:cs="仿宋"/>
              <w:sz w:val="28"/>
              <w:szCs w:val="28"/>
            </w:rPr>
            <w:t>目录</w:t>
          </w:r>
        </w:p>
        <w:p>
          <w:pPr>
            <w:pStyle w:val="9"/>
            <w:tabs>
              <w:tab w:val="right" w:leader="dot" w:pos="8732"/>
            </w:tabs>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r>
            <w:fldChar w:fldCharType="begin"/>
          </w:r>
          <w:r>
            <w:instrText xml:space="preserve"> HYPERLINK \l "_Toc16199" </w:instrText>
          </w:r>
          <w:r>
            <w:fldChar w:fldCharType="separate"/>
          </w:r>
          <w:r>
            <w:rPr>
              <w:rFonts w:hint="eastAsia" w:ascii="仿宋_GB2312" w:hAnsi="仿宋_GB2312" w:eastAsia="仿宋_GB2312" w:cs="仿宋_GB2312"/>
              <w:bCs/>
              <w:sz w:val="28"/>
              <w:szCs w:val="28"/>
            </w:rPr>
            <w:t>一、 前言</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_Toc16199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9"/>
            <w:tabs>
              <w:tab w:val="right" w:leader="dot" w:pos="8732"/>
            </w:tabs>
            <w:rPr>
              <w:rFonts w:ascii="仿宋_GB2312" w:hAnsi="仿宋_GB2312" w:eastAsia="仿宋_GB2312" w:cs="仿宋_GB2312"/>
              <w:sz w:val="28"/>
              <w:szCs w:val="28"/>
            </w:rPr>
          </w:pPr>
          <w:r>
            <w:fldChar w:fldCharType="begin"/>
          </w:r>
          <w:r>
            <w:instrText xml:space="preserve"> HYPERLINK \l "_Toc919" </w:instrText>
          </w:r>
          <w:r>
            <w:fldChar w:fldCharType="separate"/>
          </w:r>
          <w:r>
            <w:rPr>
              <w:rFonts w:hint="eastAsia" w:ascii="仿宋_GB2312" w:hAnsi="仿宋_GB2312" w:eastAsia="仿宋_GB2312" w:cs="仿宋_GB2312"/>
              <w:bCs/>
              <w:sz w:val="28"/>
              <w:szCs w:val="28"/>
            </w:rPr>
            <w:t>二、 面临的机遇和挑战</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_Toc919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"_Toc21994" </w:instrText>
          </w:r>
          <w:r>
            <w:fldChar w:fldCharType="separate"/>
          </w:r>
          <w:r>
            <w:rPr>
              <w:rFonts w:hint="eastAsia" w:ascii="仿宋_GB2312" w:hAnsi="仿宋_GB2312" w:eastAsia="仿宋_GB2312" w:cs="仿宋_GB2312"/>
              <w:sz w:val="28"/>
              <w:szCs w:val="28"/>
            </w:rPr>
            <w:t>（一） 面临的机遇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_Toc21994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"_Toc5021" </w:instrText>
          </w:r>
          <w:r>
            <w:fldChar w:fldCharType="separate"/>
          </w:r>
          <w:r>
            <w:rPr>
              <w:rFonts w:hint="eastAsia" w:ascii="仿宋_GB2312" w:hAnsi="仿宋_GB2312" w:eastAsia="仿宋_GB2312" w:cs="仿宋_GB2312"/>
              <w:sz w:val="28"/>
              <w:szCs w:val="28"/>
            </w:rPr>
            <w:t>（二） 面临的挑战</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_Toc5021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9"/>
            <w:tabs>
              <w:tab w:val="right" w:leader="dot" w:pos="8732"/>
            </w:tabs>
            <w:rPr>
              <w:rFonts w:ascii="仿宋_GB2312" w:hAnsi="仿宋_GB2312" w:eastAsia="仿宋_GB2312" w:cs="仿宋_GB2312"/>
              <w:sz w:val="28"/>
              <w:szCs w:val="28"/>
            </w:rPr>
          </w:pPr>
          <w:r>
            <w:fldChar w:fldCharType="begin"/>
          </w:r>
          <w:r>
            <w:instrText xml:space="preserve"> HYPERLINK \l "_Toc17716" </w:instrText>
          </w:r>
          <w:r>
            <w:fldChar w:fldCharType="separate"/>
          </w:r>
          <w:r>
            <w:rPr>
              <w:rFonts w:hint="eastAsia" w:ascii="仿宋_GB2312" w:hAnsi="仿宋_GB2312" w:eastAsia="仿宋_GB2312" w:cs="仿宋_GB2312"/>
              <w:bCs/>
              <w:sz w:val="28"/>
              <w:szCs w:val="28"/>
            </w:rPr>
            <w:t>三、 总体要求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_Toc17716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"_Toc5708" </w:instrText>
          </w:r>
          <w:r>
            <w:fldChar w:fldCharType="separate"/>
          </w:r>
          <w:r>
            <w:rPr>
              <w:rFonts w:hint="eastAsia" w:ascii="仿宋_GB2312" w:hAnsi="仿宋_GB2312" w:eastAsia="仿宋_GB2312" w:cs="仿宋_GB2312"/>
              <w:sz w:val="28"/>
              <w:szCs w:val="28"/>
            </w:rPr>
            <w:t>（一） 指导思想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_Toc5708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"_Toc16284" </w:instrText>
          </w:r>
          <w:r>
            <w:fldChar w:fldCharType="separate"/>
          </w:r>
          <w:r>
            <w:rPr>
              <w:rFonts w:hint="eastAsia" w:ascii="仿宋_GB2312" w:hAnsi="仿宋_GB2312" w:eastAsia="仿宋_GB2312" w:cs="仿宋_GB2312"/>
              <w:sz w:val="28"/>
              <w:szCs w:val="28"/>
            </w:rPr>
            <w:t>（二） 基本原则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_Toc16284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"_Toc17240" </w:instrText>
          </w:r>
          <w:r>
            <w:fldChar w:fldCharType="separate"/>
          </w:r>
          <w:r>
            <w:rPr>
              <w:rFonts w:hint="eastAsia" w:ascii="仿宋_GB2312" w:hAnsi="仿宋_GB2312" w:eastAsia="仿宋_GB2312" w:cs="仿宋_GB2312"/>
              <w:sz w:val="28"/>
              <w:szCs w:val="28"/>
            </w:rPr>
            <w:t>（三） 规划目标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_Toc17240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9"/>
            <w:tabs>
              <w:tab w:val="right" w:leader="dot" w:pos="8732"/>
            </w:tabs>
            <w:rPr>
              <w:rFonts w:ascii="仿宋_GB2312" w:hAnsi="仿宋_GB2312" w:eastAsia="仿宋_GB2312" w:cs="仿宋_GB2312"/>
              <w:sz w:val="28"/>
              <w:szCs w:val="28"/>
            </w:rPr>
          </w:pPr>
          <w:r>
            <w:fldChar w:fldCharType="begin"/>
          </w:r>
          <w:r>
            <w:instrText xml:space="preserve"> HYPERLINK \l "_Toc30925" </w:instrText>
          </w:r>
          <w:r>
            <w:fldChar w:fldCharType="separate"/>
          </w:r>
          <w:r>
            <w:rPr>
              <w:rFonts w:hint="eastAsia" w:ascii="仿宋_GB2312" w:hAnsi="仿宋_GB2312" w:eastAsia="仿宋_GB2312" w:cs="仿宋_GB2312"/>
              <w:bCs/>
              <w:sz w:val="28"/>
              <w:szCs w:val="28"/>
            </w:rPr>
            <w:t>四、 主要任务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_Toc30925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"_Toc5980" </w:instrText>
          </w:r>
          <w:r>
            <w:fldChar w:fldCharType="separate"/>
          </w:r>
          <w:r>
            <w:rPr>
              <w:rFonts w:hint="eastAsia" w:ascii="仿宋_GB2312" w:hAnsi="仿宋_GB2312" w:eastAsia="仿宋_GB2312" w:cs="仿宋_GB2312"/>
              <w:sz w:val="28"/>
              <w:szCs w:val="28"/>
            </w:rPr>
            <w:t>（一） 安全生产方面</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_Toc5980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"_Toc15383" </w:instrText>
          </w:r>
          <w:r>
            <w:fldChar w:fldCharType="separate"/>
          </w:r>
          <w:r>
            <w:rPr>
              <w:rFonts w:hint="eastAsia" w:ascii="仿宋_GB2312" w:hAnsi="仿宋_GB2312" w:eastAsia="仿宋_GB2312" w:cs="仿宋_GB2312"/>
              <w:sz w:val="28"/>
              <w:szCs w:val="28"/>
            </w:rPr>
            <w:t>（二） 应急管理方面</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_Toc15383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"_Toc21792" </w:instrText>
          </w:r>
          <w:r>
            <w:fldChar w:fldCharType="separate"/>
          </w:r>
          <w:r>
            <w:rPr>
              <w:rFonts w:hint="eastAsia" w:ascii="仿宋_GB2312" w:hAnsi="仿宋_GB2312" w:eastAsia="仿宋_GB2312" w:cs="仿宋_GB2312"/>
              <w:sz w:val="28"/>
              <w:szCs w:val="28"/>
            </w:rPr>
            <w:t>（三） 防灾减灾方面</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_Toc21792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"_Toc6918" </w:instrText>
          </w:r>
          <w:r>
            <w:fldChar w:fldCharType="separate"/>
          </w:r>
          <w:r>
            <w:rPr>
              <w:rFonts w:hint="eastAsia" w:ascii="仿宋_GB2312" w:hAnsi="仿宋_GB2312" w:eastAsia="仿宋_GB2312" w:cs="仿宋_GB2312"/>
              <w:sz w:val="28"/>
              <w:szCs w:val="28"/>
            </w:rPr>
            <w:t>（四） 应急救援方面</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_Toc6918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9"/>
            <w:tabs>
              <w:tab w:val="right" w:leader="dot" w:pos="8732"/>
            </w:tabs>
            <w:rPr>
              <w:rFonts w:ascii="仿宋_GB2312" w:hAnsi="仿宋_GB2312" w:eastAsia="仿宋_GB2312" w:cs="仿宋_GB2312"/>
              <w:sz w:val="28"/>
              <w:szCs w:val="28"/>
            </w:rPr>
          </w:pPr>
          <w:r>
            <w:fldChar w:fldCharType="begin"/>
          </w:r>
          <w:r>
            <w:instrText xml:space="preserve"> HYPERLINK \l "_Toc25150" </w:instrText>
          </w:r>
          <w:r>
            <w:fldChar w:fldCharType="separate"/>
          </w:r>
          <w:r>
            <w:rPr>
              <w:rFonts w:hint="eastAsia" w:ascii="仿宋_GB2312" w:hAnsi="仿宋_GB2312" w:eastAsia="仿宋_GB2312" w:cs="仿宋_GB2312"/>
              <w:bCs/>
              <w:sz w:val="28"/>
              <w:szCs w:val="28"/>
            </w:rPr>
            <w:t>五、 “十四五”应急管理规划设计框架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_Toc25150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"_Toc7690" </w:instrText>
          </w:r>
          <w:r>
            <w:fldChar w:fldCharType="separate"/>
          </w:r>
          <w:r>
            <w:rPr>
              <w:rFonts w:hint="eastAsia" w:ascii="仿宋_GB2312" w:hAnsi="仿宋_GB2312" w:eastAsia="仿宋_GB2312" w:cs="仿宋_GB2312"/>
              <w:sz w:val="28"/>
              <w:szCs w:val="28"/>
            </w:rPr>
            <w:t>（一） 改革创新应急管理体制机制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_Toc7690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"_Toc25019" </w:instrText>
          </w:r>
          <w:r>
            <w:fldChar w:fldCharType="separate"/>
          </w:r>
          <w:r>
            <w:rPr>
              <w:rFonts w:hint="eastAsia" w:ascii="仿宋_GB2312" w:hAnsi="仿宋_GB2312" w:eastAsia="仿宋_GB2312" w:cs="仿宋_GB2312"/>
              <w:sz w:val="28"/>
              <w:szCs w:val="28"/>
            </w:rPr>
            <w:t>（二） 加快完善应急管理信息化建设</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_Toc25019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"_Toc28444" </w:instrText>
          </w:r>
          <w:r>
            <w:fldChar w:fldCharType="separate"/>
          </w:r>
          <w:r>
            <w:rPr>
              <w:rFonts w:hint="eastAsia" w:ascii="仿宋_GB2312" w:hAnsi="仿宋_GB2312" w:eastAsia="仿宋_GB2312" w:cs="仿宋_GB2312"/>
              <w:sz w:val="28"/>
              <w:szCs w:val="28"/>
            </w:rPr>
            <w:t>（三） 提高应急救援物资储备标准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_Toc28444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"_Toc17546" </w:instrText>
          </w:r>
          <w:r>
            <w:fldChar w:fldCharType="separate"/>
          </w:r>
          <w:r>
            <w:rPr>
              <w:rFonts w:hint="eastAsia" w:ascii="仿宋_GB2312" w:hAnsi="仿宋_GB2312" w:eastAsia="仿宋_GB2312" w:cs="仿宋_GB2312"/>
              <w:sz w:val="28"/>
              <w:szCs w:val="28"/>
            </w:rPr>
            <w:t>（四） 推进综合性救援队伍建设</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_Toc17546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"_Toc30398" </w:instrText>
          </w:r>
          <w:r>
            <w:fldChar w:fldCharType="separate"/>
          </w:r>
          <w:r>
            <w:rPr>
              <w:rFonts w:hint="eastAsia" w:ascii="仿宋_GB2312" w:hAnsi="仿宋_GB2312" w:eastAsia="仿宋_GB2312" w:cs="仿宋_GB2312"/>
              <w:sz w:val="28"/>
              <w:szCs w:val="28"/>
            </w:rPr>
            <w:t>（五） 全面推进全国综合减灾示范社区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_Toc30398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9"/>
            <w:tabs>
              <w:tab w:val="right" w:leader="dot" w:pos="8732"/>
            </w:tabs>
            <w:rPr>
              <w:rFonts w:ascii="仿宋_GB2312" w:hAnsi="仿宋_GB2312" w:eastAsia="仿宋_GB2312" w:cs="仿宋_GB2312"/>
              <w:sz w:val="28"/>
              <w:szCs w:val="28"/>
            </w:rPr>
          </w:pPr>
          <w:r>
            <w:fldChar w:fldCharType="begin"/>
          </w:r>
          <w:r>
            <w:instrText xml:space="preserve"> HYPERLINK \l "_Toc1818" </w:instrText>
          </w:r>
          <w:r>
            <w:fldChar w:fldCharType="separate"/>
          </w:r>
          <w:r>
            <w:rPr>
              <w:rFonts w:hint="eastAsia" w:ascii="仿宋_GB2312" w:hAnsi="仿宋_GB2312" w:eastAsia="仿宋_GB2312" w:cs="仿宋_GB2312"/>
              <w:bCs/>
              <w:sz w:val="28"/>
              <w:szCs w:val="28"/>
            </w:rPr>
            <w:t>六、 “十四五”时期规划重大工程项目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_Toc1818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"_Toc26060" </w:instrText>
          </w:r>
          <w:r>
            <w:fldChar w:fldCharType="separate"/>
          </w:r>
          <w:r>
            <w:rPr>
              <w:rFonts w:hint="eastAsia" w:ascii="仿宋_GB2312" w:hAnsi="仿宋_GB2312" w:eastAsia="仿宋_GB2312" w:cs="仿宋_GB2312"/>
              <w:sz w:val="28"/>
              <w:szCs w:val="28"/>
            </w:rPr>
            <w:t>（一） 应急救援物资储备仓库</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_Toc26060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"_Toc19547" </w:instrText>
          </w:r>
          <w:r>
            <w:fldChar w:fldCharType="separate"/>
          </w:r>
          <w:r>
            <w:rPr>
              <w:rFonts w:hint="eastAsia" w:ascii="仿宋_GB2312" w:hAnsi="仿宋_GB2312" w:eastAsia="仿宋_GB2312" w:cs="仿宋_GB2312"/>
              <w:sz w:val="28"/>
              <w:szCs w:val="28"/>
            </w:rPr>
            <w:t>（二） 应急保障技术装备现代化工程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_Toc19547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"_Toc15087" </w:instrText>
          </w:r>
          <w:r>
            <w:fldChar w:fldCharType="separate"/>
          </w:r>
          <w:r>
            <w:rPr>
              <w:rFonts w:hint="eastAsia" w:ascii="仿宋_GB2312" w:hAnsi="仿宋_GB2312" w:eastAsia="仿宋_GB2312" w:cs="仿宋_GB2312"/>
              <w:sz w:val="28"/>
              <w:szCs w:val="28"/>
            </w:rPr>
            <w:t>（三） 应急救援实训中心工程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_Toc15087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"_Toc18909" </w:instrText>
          </w:r>
          <w:r>
            <w:fldChar w:fldCharType="separate"/>
          </w:r>
          <w:r>
            <w:rPr>
              <w:rFonts w:hint="eastAsia" w:ascii="仿宋_GB2312" w:hAnsi="仿宋_GB2312" w:eastAsia="仿宋_GB2312" w:cs="仿宋_GB2312"/>
              <w:sz w:val="28"/>
              <w:szCs w:val="28"/>
            </w:rPr>
            <w:t>（四） 推进全国综合救灾示范社区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_Toc18909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"_Toc2242" </w:instrText>
          </w:r>
          <w:r>
            <w:fldChar w:fldCharType="separate"/>
          </w:r>
          <w:r>
            <w:rPr>
              <w:rFonts w:hint="eastAsia" w:ascii="仿宋_GB2312" w:hAnsi="仿宋_GB2312" w:eastAsia="仿宋_GB2312" w:cs="仿宋_GB2312"/>
              <w:sz w:val="28"/>
              <w:szCs w:val="28"/>
            </w:rPr>
            <w:t>（五） 源城区应急指挥系统项目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_Toc2242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9"/>
            <w:tabs>
              <w:tab w:val="right" w:leader="dot" w:pos="8732"/>
            </w:tabs>
            <w:rPr>
              <w:rFonts w:ascii="仿宋_GB2312" w:hAnsi="仿宋_GB2312" w:eastAsia="仿宋_GB2312" w:cs="仿宋_GB2312"/>
              <w:sz w:val="28"/>
              <w:szCs w:val="28"/>
            </w:rPr>
          </w:pPr>
          <w:r>
            <w:fldChar w:fldCharType="begin"/>
          </w:r>
          <w:r>
            <w:instrText xml:space="preserve"> HYPERLINK \l "_Toc22007" </w:instrText>
          </w:r>
          <w:r>
            <w:fldChar w:fldCharType="separate"/>
          </w:r>
          <w:r>
            <w:rPr>
              <w:rFonts w:hint="eastAsia" w:ascii="仿宋_GB2312" w:hAnsi="仿宋_GB2312" w:eastAsia="仿宋_GB2312" w:cs="仿宋_GB2312"/>
              <w:bCs/>
              <w:sz w:val="28"/>
              <w:szCs w:val="28"/>
            </w:rPr>
            <w:t>七、 “十四五”时期重大改革举措</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_Toc22007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9"/>
            <w:tabs>
              <w:tab w:val="right" w:leader="dot" w:pos="8732"/>
            </w:tabs>
            <w:rPr>
              <w:rFonts w:ascii="仿宋_GB2312" w:hAnsi="仿宋_GB2312" w:eastAsia="仿宋_GB2312" w:cs="仿宋_GB2312"/>
              <w:sz w:val="28"/>
              <w:szCs w:val="28"/>
            </w:rPr>
          </w:pPr>
          <w:r>
            <w:fldChar w:fldCharType="begin"/>
          </w:r>
          <w:r>
            <w:instrText xml:space="preserve"> HYPERLINK \l "_Toc10715" </w:instrText>
          </w:r>
          <w:r>
            <w:fldChar w:fldCharType="separate"/>
          </w:r>
          <w:r>
            <w:rPr>
              <w:rFonts w:hint="eastAsia" w:ascii="仿宋_GB2312" w:hAnsi="仿宋_GB2312" w:eastAsia="仿宋_GB2312" w:cs="仿宋_GB2312"/>
              <w:sz w:val="28"/>
              <w:szCs w:val="28"/>
            </w:rPr>
            <w:t>（一） 完善三防体系建设</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_Toc10715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"_Toc12313" </w:instrText>
          </w:r>
          <w:r>
            <w:fldChar w:fldCharType="separate"/>
          </w:r>
          <w:r>
            <w:rPr>
              <w:rFonts w:hint="eastAsia" w:ascii="仿宋_GB2312" w:hAnsi="仿宋_GB2312" w:eastAsia="仿宋_GB2312" w:cs="仿宋_GB2312"/>
              <w:sz w:val="28"/>
              <w:szCs w:val="28"/>
            </w:rPr>
            <w:t>1、不断完善三防应急预案体系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_Toc12313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"_Toc14932" </w:instrText>
          </w:r>
          <w:r>
            <w:fldChar w:fldCharType="separate"/>
          </w:r>
          <w:r>
            <w:rPr>
              <w:rFonts w:hint="eastAsia" w:ascii="仿宋_GB2312" w:hAnsi="仿宋_GB2312" w:eastAsia="仿宋_GB2312" w:cs="仿宋_GB2312"/>
              <w:sz w:val="28"/>
              <w:szCs w:val="28"/>
            </w:rPr>
            <w:t>2、完善灾害威胁区域人员转移安置工作指引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_Toc14932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"_Toc7346" </w:instrText>
          </w:r>
          <w:r>
            <w:fldChar w:fldCharType="separate"/>
          </w:r>
          <w:r>
            <w:rPr>
              <w:rFonts w:hint="eastAsia" w:ascii="仿宋_GB2312" w:hAnsi="仿宋_GB2312" w:eastAsia="仿宋_GB2312" w:cs="仿宋_GB2312"/>
              <w:sz w:val="28"/>
              <w:szCs w:val="28"/>
            </w:rPr>
            <w:t>3、编制各行业台风暴雨灾害应急救援操作手册</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_Toc7346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"_Toc10904" </w:instrText>
          </w:r>
          <w:r>
            <w:fldChar w:fldCharType="separate"/>
          </w:r>
          <w:r>
            <w:rPr>
              <w:rFonts w:hint="eastAsia" w:ascii="仿宋_GB2312" w:hAnsi="仿宋_GB2312" w:eastAsia="仿宋_GB2312" w:cs="仿宋_GB2312"/>
              <w:sz w:val="28"/>
              <w:szCs w:val="28"/>
            </w:rPr>
            <w:t>4、完善基于水利工程险情情景构建的应急救援处置指南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_Toc10904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"_Toc31064" </w:instrText>
          </w:r>
          <w:r>
            <w:fldChar w:fldCharType="separate"/>
          </w:r>
          <w:r>
            <w:rPr>
              <w:rFonts w:hint="eastAsia" w:ascii="仿宋_GB2312" w:hAnsi="仿宋_GB2312" w:eastAsia="仿宋_GB2312" w:cs="仿宋_GB2312"/>
              <w:sz w:val="28"/>
              <w:szCs w:val="28"/>
            </w:rPr>
            <w:t>5、提升城市防洪、排涝能力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_Toc31064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"_Toc7536" </w:instrText>
          </w:r>
          <w:r>
            <w:fldChar w:fldCharType="separate"/>
          </w:r>
          <w:r>
            <w:rPr>
              <w:rFonts w:hint="eastAsia" w:ascii="仿宋_GB2312" w:hAnsi="仿宋_GB2312" w:eastAsia="仿宋_GB2312" w:cs="仿宋_GB2312"/>
              <w:sz w:val="28"/>
              <w:szCs w:val="28"/>
            </w:rPr>
            <w:t>6、提升极端天气情况下应急通信保障能力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_Toc7536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"_Toc21263" </w:instrText>
          </w:r>
          <w:r>
            <w:fldChar w:fldCharType="separate"/>
          </w:r>
          <w:r>
            <w:rPr>
              <w:rFonts w:hint="eastAsia" w:ascii="仿宋_GB2312" w:hAnsi="仿宋_GB2312" w:eastAsia="仿宋_GB2312" w:cs="仿宋_GB2312"/>
              <w:sz w:val="28"/>
              <w:szCs w:val="28"/>
            </w:rPr>
            <w:t>7、强化抢险救灾应急物资保障能力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_Toc21263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"_Toc5034" </w:instrText>
          </w:r>
          <w:r>
            <w:fldChar w:fldCharType="separate"/>
          </w:r>
          <w:r>
            <w:rPr>
              <w:rFonts w:hint="eastAsia" w:ascii="仿宋_GB2312" w:hAnsi="仿宋_GB2312" w:eastAsia="仿宋_GB2312" w:cs="仿宋_GB2312"/>
              <w:sz w:val="28"/>
              <w:szCs w:val="28"/>
            </w:rPr>
            <w:t>8、加快推进新一代应急指挥平台建设</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_Toc5034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"_Toc6113" </w:instrText>
          </w:r>
          <w:r>
            <w:fldChar w:fldCharType="separate"/>
          </w:r>
          <w:r>
            <w:rPr>
              <w:rFonts w:hint="eastAsia" w:ascii="仿宋_GB2312" w:hAnsi="仿宋_GB2312" w:eastAsia="仿宋_GB2312" w:cs="仿宋_GB2312"/>
              <w:sz w:val="28"/>
              <w:szCs w:val="28"/>
            </w:rPr>
            <w:t>9、建设预警及应急广播系统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_Toc6113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"_Toc14803" </w:instrText>
          </w:r>
          <w:r>
            <w:fldChar w:fldCharType="separate"/>
          </w:r>
          <w:r>
            <w:rPr>
              <w:rFonts w:hint="eastAsia" w:ascii="仿宋_GB2312" w:hAnsi="仿宋_GB2312" w:eastAsia="仿宋_GB2312" w:cs="仿宋_GB2312"/>
              <w:sz w:val="28"/>
              <w:szCs w:val="28"/>
            </w:rPr>
            <w:t>10、内涝积水点监测及标识系统建设</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_Toc14803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"_Toc1577" </w:instrText>
          </w:r>
          <w:r>
            <w:fldChar w:fldCharType="separate"/>
          </w:r>
          <w:r>
            <w:rPr>
              <w:rFonts w:hint="eastAsia" w:ascii="仿宋_GB2312" w:hAnsi="仿宋_GB2312" w:eastAsia="仿宋_GB2312" w:cs="仿宋_GB2312"/>
              <w:sz w:val="28"/>
              <w:szCs w:val="28"/>
            </w:rPr>
            <w:t>11、完善水文、气象等监测预警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_Toc1577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"_Toc4309" </w:instrText>
          </w:r>
          <w:r>
            <w:fldChar w:fldCharType="separate"/>
          </w:r>
          <w:r>
            <w:rPr>
              <w:rFonts w:hint="eastAsia" w:ascii="仿宋_GB2312" w:hAnsi="仿宋_GB2312" w:eastAsia="仿宋_GB2312" w:cs="仿宋_GB2312"/>
              <w:sz w:val="28"/>
              <w:szCs w:val="28"/>
            </w:rPr>
            <w:t>12、提升水库水源工程应对极端天气能力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_Toc4309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"_Toc20282" </w:instrText>
          </w:r>
          <w:r>
            <w:fldChar w:fldCharType="separate"/>
          </w:r>
          <w:r>
            <w:rPr>
              <w:rFonts w:hint="eastAsia" w:ascii="仿宋_GB2312" w:hAnsi="仿宋_GB2312" w:eastAsia="仿宋_GB2312" w:cs="仿宋_GB2312"/>
              <w:sz w:val="28"/>
              <w:szCs w:val="28"/>
            </w:rPr>
            <w:t>13、提升台风暴雨灾害风险评估和灾害预判能力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_Toc20282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9"/>
            <w:tabs>
              <w:tab w:val="right" w:leader="dot" w:pos="8732"/>
            </w:tabs>
            <w:rPr>
              <w:rFonts w:ascii="仿宋_GB2312" w:hAnsi="仿宋_GB2312" w:eastAsia="仿宋_GB2312" w:cs="仿宋_GB2312"/>
              <w:sz w:val="28"/>
              <w:szCs w:val="28"/>
            </w:rPr>
          </w:pPr>
          <w:r>
            <w:fldChar w:fldCharType="begin"/>
          </w:r>
          <w:r>
            <w:instrText xml:space="preserve"> HYPERLINK \l "_Toc12412" </w:instrText>
          </w:r>
          <w:r>
            <w:fldChar w:fldCharType="separate"/>
          </w:r>
          <w:r>
            <w:rPr>
              <w:rFonts w:hint="eastAsia" w:ascii="仿宋_GB2312" w:hAnsi="仿宋_GB2312" w:eastAsia="仿宋_GB2312" w:cs="仿宋_GB2312"/>
              <w:sz w:val="28"/>
              <w:szCs w:val="28"/>
            </w:rPr>
            <w:t>（二） 应急指挥平台系统建设</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_Toc12412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"_Toc20561" </w:instrText>
          </w:r>
          <w:r>
            <w:fldChar w:fldCharType="separate"/>
          </w:r>
          <w:r>
            <w:rPr>
              <w:rFonts w:hint="eastAsia" w:ascii="仿宋_GB2312" w:hAnsi="仿宋_GB2312" w:eastAsia="仿宋_GB2312" w:cs="仿宋_GB2312"/>
              <w:sz w:val="28"/>
              <w:szCs w:val="28"/>
            </w:rPr>
            <w:t>1、 充分用好大数据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_Toc20561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"_Toc6960" </w:instrText>
          </w:r>
          <w:r>
            <w:fldChar w:fldCharType="separate"/>
          </w:r>
          <w:r>
            <w:rPr>
              <w:rFonts w:hint="eastAsia" w:ascii="仿宋_GB2312" w:hAnsi="仿宋_GB2312" w:eastAsia="仿宋_GB2312" w:cs="仿宋_GB2312"/>
              <w:sz w:val="28"/>
              <w:szCs w:val="28"/>
            </w:rPr>
            <w:t>2、 建立智慧化应急指挥平台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_Toc6960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"_Toc7148" </w:instrText>
          </w:r>
          <w:r>
            <w:fldChar w:fldCharType="separate"/>
          </w:r>
          <w:r>
            <w:rPr>
              <w:rFonts w:hint="eastAsia" w:ascii="仿宋_GB2312" w:hAnsi="仿宋_GB2312" w:eastAsia="仿宋_GB2312" w:cs="仿宋_GB2312"/>
              <w:sz w:val="28"/>
              <w:szCs w:val="28"/>
            </w:rPr>
            <w:t>3、 完善安全生产信息化系统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_Toc7148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"_Toc5217" </w:instrText>
          </w:r>
          <w:r>
            <w:fldChar w:fldCharType="separate"/>
          </w:r>
          <w:r>
            <w:rPr>
              <w:rFonts w:hint="eastAsia" w:ascii="仿宋_GB2312" w:hAnsi="仿宋_GB2312" w:eastAsia="仿宋_GB2312" w:cs="仿宋_GB2312"/>
              <w:sz w:val="28"/>
              <w:szCs w:val="28"/>
            </w:rPr>
            <w:t>4、 融合“森林防火”信息化平台建设</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_Toc5217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9"/>
            <w:tabs>
              <w:tab w:val="right" w:leader="dot" w:pos="8732"/>
            </w:tabs>
            <w:rPr>
              <w:rFonts w:ascii="仿宋_GB2312" w:hAnsi="仿宋_GB2312" w:eastAsia="仿宋_GB2312" w:cs="仿宋_GB2312"/>
              <w:sz w:val="28"/>
              <w:szCs w:val="28"/>
            </w:rPr>
          </w:pPr>
          <w:r>
            <w:fldChar w:fldCharType="begin"/>
          </w:r>
          <w:r>
            <w:instrText xml:space="preserve"> HYPERLINK \l "_Toc7929" </w:instrText>
          </w:r>
          <w:r>
            <w:fldChar w:fldCharType="separate"/>
          </w:r>
          <w:r>
            <w:rPr>
              <w:rFonts w:hint="eastAsia" w:ascii="仿宋_GB2312" w:hAnsi="仿宋_GB2312" w:eastAsia="仿宋_GB2312" w:cs="仿宋_GB2312"/>
              <w:bCs/>
              <w:sz w:val="28"/>
              <w:szCs w:val="28"/>
            </w:rPr>
            <w:t>八、 保障措施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_Toc7929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"_Toc14203" </w:instrText>
          </w:r>
          <w:r>
            <w:fldChar w:fldCharType="separate"/>
          </w:r>
          <w:r>
            <w:rPr>
              <w:rFonts w:hint="eastAsia" w:ascii="仿宋_GB2312" w:hAnsi="仿宋_GB2312" w:eastAsia="仿宋_GB2312" w:cs="仿宋_GB2312"/>
              <w:sz w:val="28"/>
              <w:szCs w:val="28"/>
            </w:rPr>
            <w:t>（一） 加强组织领导</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_Toc14203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"_Toc18566" </w:instrText>
          </w:r>
          <w:r>
            <w:fldChar w:fldCharType="separate"/>
          </w:r>
          <w:r>
            <w:rPr>
              <w:rFonts w:hint="eastAsia" w:ascii="仿宋_GB2312" w:hAnsi="仿宋_GB2312" w:eastAsia="仿宋_GB2312" w:cs="仿宋_GB2312"/>
              <w:sz w:val="28"/>
              <w:szCs w:val="28"/>
            </w:rPr>
            <w:t>（二） 落实目标责任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_Toc18566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"_Toc15200" </w:instrText>
          </w:r>
          <w:r>
            <w:fldChar w:fldCharType="separate"/>
          </w:r>
          <w:r>
            <w:rPr>
              <w:rFonts w:hint="eastAsia" w:ascii="仿宋_GB2312" w:hAnsi="仿宋_GB2312" w:eastAsia="仿宋_GB2312" w:cs="仿宋_GB2312"/>
              <w:sz w:val="28"/>
              <w:szCs w:val="28"/>
            </w:rPr>
            <w:t>（三） 深化前期工作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_Toc15200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732"/>
            </w:tabs>
            <w:rPr>
              <w:rFonts w:ascii="仿宋_GB2312" w:hAnsi="仿宋_GB2312" w:eastAsia="仿宋_GB2312" w:cs="仿宋_GB2312"/>
              <w:sz w:val="28"/>
              <w:szCs w:val="28"/>
            </w:rPr>
          </w:pPr>
          <w:r>
            <w:fldChar w:fldCharType="begin"/>
          </w:r>
          <w:r>
            <w:instrText xml:space="preserve"> HYPERLINK \l "_Toc4049" </w:instrText>
          </w:r>
          <w:r>
            <w:fldChar w:fldCharType="separate"/>
          </w:r>
          <w:r>
            <w:rPr>
              <w:rFonts w:hint="eastAsia" w:ascii="仿宋_GB2312" w:hAnsi="仿宋_GB2312" w:eastAsia="仿宋_GB2312" w:cs="仿宋_GB2312"/>
              <w:sz w:val="28"/>
              <w:szCs w:val="28"/>
            </w:rPr>
            <w:t>（四） 凝聚社会力量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_Toc4049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spacing w:line="360" w:lineRule="auto"/>
            <w:ind w:left="42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（五） 经费保障</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.32</w:t>
          </w:r>
        </w:p>
        <w:p>
          <w:pPr>
            <w:pStyle w:val="9"/>
            <w:tabs>
              <w:tab w:val="right" w:leader="dot" w:pos="8732"/>
            </w:tabs>
            <w:rPr>
              <w:rFonts w:ascii="仿宋_GB2312" w:hAnsi="仿宋_GB2312" w:eastAsia="仿宋_GB2312" w:cs="仿宋_GB2312"/>
              <w:sz w:val="28"/>
              <w:szCs w:val="28"/>
            </w:rPr>
          </w:pPr>
          <w:r>
            <w:fldChar w:fldCharType="begin"/>
          </w:r>
          <w:r>
            <w:instrText xml:space="preserve"> HYPERLINK \l "_Toc28338" </w:instrText>
          </w:r>
          <w:r>
            <w:fldChar w:fldCharType="separate"/>
          </w:r>
          <w:r>
            <w:rPr>
              <w:rFonts w:hint="eastAsia" w:ascii="仿宋_GB2312" w:hAnsi="仿宋_GB2312" w:eastAsia="仿宋_GB2312" w:cs="仿宋_GB2312"/>
              <w:bCs/>
              <w:sz w:val="28"/>
              <w:szCs w:val="28"/>
            </w:rPr>
            <w:t>九、 源城区应急管理2021年-2025年项目计划表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_Toc28338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
              <w:sz w:val="28"/>
              <w:szCs w:val="28"/>
            </w:rPr>
            <w:t xml:space="preserve"> </w:t>
          </w:r>
        </w:p>
      </w:sdtContent>
    </w:sdt>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7692"/>
        </w:tabs>
        <w:bidi w:val="0"/>
        <w:jc w:val="left"/>
        <w:rPr>
          <w:lang w:val="en-US" w:eastAsia="zh-CN"/>
        </w:rPr>
      </w:pPr>
      <w:r>
        <w:rPr>
          <w:rFonts w:hint="eastAsia"/>
          <w:lang w:val="en-US" w:eastAsia="zh-CN"/>
        </w:rPr>
        <w:tab/>
      </w:r>
    </w:p>
    <w:p>
      <w:pPr>
        <w:pageBreakBefore/>
        <w:numPr>
          <w:ilvl w:val="0"/>
          <w:numId w:val="1"/>
        </w:numPr>
        <w:spacing w:line="360" w:lineRule="auto"/>
        <w:ind w:firstLine="640"/>
        <w:jc w:val="left"/>
        <w:outlineLvl w:val="0"/>
        <w:rPr>
          <w:rFonts w:ascii="仿宋" w:hAnsi="仿宋" w:eastAsia="仿宋" w:cs="仿宋"/>
          <w:b/>
          <w:bCs/>
          <w:sz w:val="32"/>
          <w:szCs w:val="32"/>
        </w:rPr>
      </w:pPr>
      <w:bookmarkStart w:id="0" w:name="_Toc16199"/>
      <w:r>
        <w:rPr>
          <w:rFonts w:hint="eastAsia" w:ascii="仿宋" w:hAnsi="仿宋" w:eastAsia="仿宋" w:cs="仿宋"/>
          <w:b/>
          <w:bCs/>
          <w:sz w:val="32"/>
          <w:szCs w:val="32"/>
        </w:rPr>
        <w:t>前言</w:t>
      </w:r>
      <w:bookmarkEnd w:id="0"/>
    </w:p>
    <w:p>
      <w:pPr>
        <w:pStyle w:val="5"/>
        <w:tabs>
          <w:tab w:val="left" w:pos="720"/>
        </w:tabs>
        <w:spacing w:line="360" w:lineRule="auto"/>
        <w:ind w:firstLine="640" w:firstLineChars="200"/>
        <w:rPr>
          <w:rFonts w:ascii="仿宋" w:hAnsi="仿宋" w:eastAsia="仿宋" w:cs="仿宋"/>
          <w:kern w:val="2"/>
          <w:sz w:val="32"/>
          <w:szCs w:val="32"/>
        </w:rPr>
      </w:pPr>
      <w:r>
        <w:rPr>
          <w:rFonts w:hint="eastAsia" w:ascii="仿宋" w:hAnsi="仿宋" w:eastAsia="仿宋" w:cs="仿宋"/>
          <w:kern w:val="2"/>
          <w:sz w:val="32"/>
          <w:szCs w:val="32"/>
        </w:rPr>
        <w:t>以习近平新时代中国特色社会主义思想为指引，全面贯彻党的十九大和十九届二中、三中全会精神，深入贯彻落实习近平总书记多次视察广东对广东重要讲话和重要指示批示精神，坚持以人民为中心的发展思想，坚持以防为主、防抗救相结合，坚持常态救灾和非常态救灾相统一，紧紧围绕新时代下广东省应急管理工作的新形势新任务新要求，坚持目标导向和问题导向，树立“围绕实战、贴近实际、服务实战”理念，依靠科技信息化提升防范化解重大安全风险能力，聚焦需求、突出重点，着力构筑应急管理核心能力。</w:t>
      </w:r>
    </w:p>
    <w:p>
      <w:pPr>
        <w:keepNext w:val="0"/>
        <w:keepLines w:val="0"/>
        <w:widowControl/>
        <w:suppressLineNumbers w:val="0"/>
        <w:ind w:firstLine="640" w:firstLineChars="200"/>
        <w:jc w:val="left"/>
        <w:rPr>
          <w:rFonts w:ascii="仿宋" w:hAnsi="仿宋" w:eastAsia="仿宋" w:cs="仿宋"/>
          <w:kern w:val="2"/>
          <w:sz w:val="32"/>
          <w:szCs w:val="32"/>
        </w:rPr>
      </w:pPr>
      <w:r>
        <w:rPr>
          <w:rFonts w:hint="eastAsia" w:ascii="仿宋" w:hAnsi="仿宋" w:eastAsia="仿宋" w:cs="仿宋"/>
          <w:kern w:val="2"/>
          <w:sz w:val="32"/>
          <w:szCs w:val="32"/>
        </w:rPr>
        <w:t>为响应国家和省市区应急管理部门的应急管理体系规划纲要及部署建设要求，源城区政府将逐步建立和健全统一指挥、反应灵敏、协调有序、安全可靠、功能完善、运转高效的应急机制，有效预防和处置自然灾害、事故灾难、公共卫生事件和社会安全事件，减少突发事件造成的人民群众人身和财物损失，进一步提高政府应急管理水平，将</w:t>
      </w:r>
      <w:r>
        <w:rPr>
          <w:rFonts w:hint="eastAsia" w:ascii="仿宋" w:hAnsi="仿宋" w:eastAsia="仿宋" w:cs="仿宋"/>
          <w:kern w:val="2"/>
          <w:sz w:val="32"/>
          <w:szCs w:val="32"/>
          <w:lang w:val="en-US" w:eastAsia="zh-CN"/>
        </w:rPr>
        <w:t>习近平新时代中国特色社会主义思想</w:t>
      </w:r>
      <w:r>
        <w:rPr>
          <w:rFonts w:hint="eastAsia" w:ascii="仿宋" w:hAnsi="仿宋" w:eastAsia="仿宋" w:cs="仿宋"/>
          <w:kern w:val="2"/>
          <w:sz w:val="32"/>
          <w:szCs w:val="32"/>
        </w:rPr>
        <w:t>的指导精神落到实处，具有非常重要的现实意义。</w:t>
      </w:r>
    </w:p>
    <w:p>
      <w:pPr>
        <w:spacing w:line="360" w:lineRule="auto"/>
        <w:ind w:firstLine="480"/>
        <w:rPr>
          <w:rFonts w:ascii="仿宋" w:hAnsi="仿宋" w:eastAsia="仿宋" w:cs="仿宋"/>
          <w:sz w:val="32"/>
          <w:szCs w:val="32"/>
        </w:rPr>
      </w:pPr>
      <w:r>
        <w:rPr>
          <w:rFonts w:hint="eastAsia" w:ascii="仿宋" w:hAnsi="仿宋" w:eastAsia="仿宋" w:cs="仿宋"/>
          <w:sz w:val="32"/>
          <w:szCs w:val="32"/>
        </w:rPr>
        <w:t>“十四五”规划（2021-2025），是我国由全面建成小康社会向基本实现社会主义现代化迈进的关键时期，是我市实现两个河源的关键时期，是我区筹建大应急管理体系、营造安全稳定发展和谐社会环境的重要时期。</w:t>
      </w:r>
      <w:r>
        <w:rPr>
          <w:rFonts w:hint="eastAsia" w:ascii="仿宋" w:hAnsi="仿宋" w:eastAsia="仿宋" w:cs="仿宋"/>
          <w:sz w:val="32"/>
          <w:szCs w:val="32"/>
          <w:lang w:val="zh-CN"/>
        </w:rPr>
        <w:t>河源市源城区应急管理局，是河源市源城区人民政府工作部门。</w:t>
      </w:r>
      <w:r>
        <w:rPr>
          <w:rFonts w:hint="eastAsia" w:ascii="仿宋" w:hAnsi="仿宋" w:eastAsia="仿宋" w:cs="仿宋"/>
          <w:sz w:val="32"/>
          <w:szCs w:val="32"/>
        </w:rPr>
        <w:t>根据源城区机构改革方案的要求，将区安全生产监督管理局的职责，以及区政府办公室的应急管理职责，区公安分局的消防管理职责，区民政局的救灾救助职责，区科学技术委员会的地震应急救援、监测职责，区国土资源管理分局的地质灾害防治、区水务局的水旱灾害防治、区农业委员会的草原防火、区林业局的森林防火相关职责，区防汛抗旱、救灾、抗震救灾、森林防火等指挥部的职责整合，组建区应急管理局，作为区政府工作部门，按中央和区委有关改革部署实施。区政府安全生产委员会的日常工作由区应急管理局承担。自应急管理改革以来，源城区应急管理局深入学习、深刻领会习近平总书记关于应急管理工作的系列讲话精神，结合源城区应急管理工作实际情况，编制源城区应急管理“十四五”规划。</w:t>
      </w:r>
    </w:p>
    <w:p>
      <w:pPr>
        <w:pageBreakBefore/>
        <w:numPr>
          <w:ilvl w:val="0"/>
          <w:numId w:val="1"/>
        </w:numPr>
        <w:spacing w:line="360" w:lineRule="auto"/>
        <w:ind w:firstLine="640"/>
        <w:jc w:val="left"/>
        <w:outlineLvl w:val="0"/>
        <w:rPr>
          <w:rFonts w:ascii="仿宋" w:hAnsi="仿宋" w:eastAsia="仿宋" w:cs="仿宋"/>
          <w:b/>
          <w:bCs/>
          <w:sz w:val="32"/>
          <w:szCs w:val="32"/>
        </w:rPr>
      </w:pPr>
      <w:bookmarkStart w:id="1" w:name="_Toc919"/>
      <w:r>
        <w:rPr>
          <w:rFonts w:hint="eastAsia" w:ascii="仿宋" w:hAnsi="仿宋" w:eastAsia="仿宋" w:cs="仿宋"/>
          <w:b/>
          <w:bCs/>
          <w:sz w:val="32"/>
          <w:szCs w:val="32"/>
        </w:rPr>
        <w:t>面临的机遇和挑战</w:t>
      </w:r>
      <w:bookmarkEnd w:id="1"/>
    </w:p>
    <w:p>
      <w:pPr>
        <w:numPr>
          <w:ilvl w:val="0"/>
          <w:numId w:val="2"/>
        </w:numPr>
        <w:spacing w:line="360" w:lineRule="auto"/>
        <w:outlineLvl w:val="1"/>
        <w:rPr>
          <w:rFonts w:ascii="仿宋" w:hAnsi="仿宋" w:eastAsia="仿宋" w:cs="仿宋"/>
          <w:sz w:val="32"/>
          <w:szCs w:val="32"/>
        </w:rPr>
      </w:pPr>
      <w:bookmarkStart w:id="2" w:name="_Toc21994"/>
      <w:r>
        <w:rPr>
          <w:rFonts w:hint="eastAsia" w:ascii="仿宋" w:hAnsi="仿宋" w:eastAsia="仿宋" w:cs="仿宋"/>
          <w:sz w:val="32"/>
          <w:szCs w:val="32"/>
        </w:rPr>
        <w:t>面临的机遇</w:t>
      </w:r>
      <w:bookmarkEnd w:id="2"/>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“十四五”时期，安全生产、防灾减灾、应急救援工作面临许多有利条件和发展机遇。</w:t>
      </w:r>
      <w:r>
        <w:rPr>
          <w:rFonts w:hint="eastAsia" w:ascii="仿宋" w:hAnsi="仿宋" w:eastAsia="仿宋" w:cs="仿宋"/>
          <w:b/>
          <w:bCs/>
          <w:sz w:val="32"/>
          <w:szCs w:val="32"/>
        </w:rPr>
        <w:t>一是</w:t>
      </w:r>
      <w:r>
        <w:rPr>
          <w:rFonts w:hint="eastAsia" w:ascii="仿宋" w:hAnsi="仿宋" w:eastAsia="仿宋" w:cs="仿宋"/>
          <w:sz w:val="32"/>
          <w:szCs w:val="32"/>
        </w:rPr>
        <w:t>党中央、国务院高度重视安全生产、防灾减灾、应急救援工作，并作出了一系列重大决策部署，各级党委和政府要切实担负起“促一方发展、保一方平安”的政治责任，严格落实责任制。要建立健全重大自然灾害和安全事故调查评估制度，对玩忽职守造成损失或重大社会影响的，依纪依法追究当事方的责任。要发挥好应急管理部门的综合优势和各相关部门的专业优势，根据职责分工承担各自责任，衔接好“防”和“救”的责任链条，确保责任链条无缝对接，形成整体合力。</w:t>
      </w:r>
      <w:r>
        <w:rPr>
          <w:rFonts w:hint="eastAsia" w:ascii="仿宋" w:hAnsi="仿宋" w:eastAsia="仿宋" w:cs="仿宋"/>
          <w:b/>
          <w:bCs/>
          <w:sz w:val="32"/>
          <w:szCs w:val="32"/>
        </w:rPr>
        <w:t>二是</w:t>
      </w:r>
      <w:r>
        <w:rPr>
          <w:rFonts w:hint="eastAsia" w:ascii="仿宋" w:hAnsi="仿宋" w:eastAsia="仿宋" w:cs="仿宋"/>
          <w:sz w:val="32"/>
          <w:szCs w:val="32"/>
        </w:rPr>
        <w:t>全面融入粤港澳大湾区和推进深莞惠一体化发展的机遇，建设先行示范区。要紧紧抓住这一重大历史机遇，统筹协调好应急管理方方面面的工作，按照“高、统、快、防、实”的工作标准，以“三个严防”和“四不发生”的工作要求，建设更高水平的灾害防御体系，在提升防灾减灾救灾能力上走在前列；争取三年内率先实现自然灾害防治体系和防治能力现代化。</w:t>
      </w:r>
      <w:r>
        <w:rPr>
          <w:rFonts w:hint="eastAsia" w:ascii="仿宋" w:hAnsi="仿宋" w:eastAsia="仿宋" w:cs="仿宋"/>
          <w:b/>
          <w:bCs/>
          <w:sz w:val="32"/>
          <w:szCs w:val="32"/>
        </w:rPr>
        <w:t>三是</w:t>
      </w:r>
      <w:r>
        <w:rPr>
          <w:rFonts w:hint="eastAsia" w:ascii="仿宋" w:hAnsi="仿宋" w:eastAsia="仿宋" w:cs="仿宋"/>
          <w:sz w:val="32"/>
          <w:szCs w:val="32"/>
        </w:rPr>
        <w:t>随着社会治理能力不断提高，社会文明素质、安全意识和法治观念加快提升，安全发展的社会环境进一步优化。</w:t>
      </w:r>
      <w:r>
        <w:rPr>
          <w:rFonts w:hint="eastAsia" w:ascii="仿宋" w:hAnsi="仿宋" w:eastAsia="仿宋" w:cs="仿宋"/>
          <w:b/>
          <w:bCs/>
          <w:sz w:val="32"/>
          <w:szCs w:val="32"/>
        </w:rPr>
        <w:t>四是</w:t>
      </w:r>
      <w:r>
        <w:rPr>
          <w:rFonts w:hint="eastAsia" w:ascii="仿宋" w:hAnsi="仿宋" w:eastAsia="仿宋" w:cs="仿宋"/>
          <w:sz w:val="32"/>
          <w:szCs w:val="32"/>
        </w:rPr>
        <w:t>经济社会发展提质增效、产业结构优化升级、科技创新快速发展，将加快淘汰落后工艺、技术、装备和产能，自然灾害预警能力提升，“科技强安”战略有利于降低安全风险，提高本质安全水平。</w:t>
      </w:r>
      <w:r>
        <w:rPr>
          <w:rFonts w:hint="eastAsia" w:ascii="仿宋" w:hAnsi="仿宋" w:eastAsia="仿宋" w:cs="仿宋"/>
          <w:b/>
          <w:bCs/>
          <w:sz w:val="32"/>
          <w:szCs w:val="32"/>
        </w:rPr>
        <w:t>五是</w:t>
      </w:r>
      <w:r>
        <w:rPr>
          <w:rFonts w:hint="eastAsia" w:ascii="仿宋" w:hAnsi="仿宋" w:eastAsia="仿宋" w:cs="仿宋"/>
          <w:sz w:val="32"/>
          <w:szCs w:val="32"/>
        </w:rPr>
        <w:t>人民群众日益增长的安全需求，以及全社会对安全的高度关注，为推动安全生产、防灾减灾、应急救援工作提供了巨大动能。</w:t>
      </w:r>
      <w:r>
        <w:rPr>
          <w:rFonts w:hint="eastAsia" w:ascii="仿宋" w:hAnsi="仿宋" w:eastAsia="仿宋" w:cs="仿宋"/>
          <w:b/>
          <w:bCs/>
          <w:sz w:val="32"/>
          <w:szCs w:val="32"/>
        </w:rPr>
        <w:t>六是</w:t>
      </w:r>
      <w:r>
        <w:rPr>
          <w:rFonts w:hint="eastAsia" w:ascii="仿宋" w:hAnsi="仿宋" w:eastAsia="仿宋" w:cs="仿宋"/>
          <w:sz w:val="32"/>
          <w:szCs w:val="32"/>
        </w:rPr>
        <w:t>区应急管理局挂牌成立以来，积极适应新体制新要求，以创新的思路、改革的办法和有力的举措奋力破解难题，努力逐步厘清应急管理横向及纵向各职能部门之间的关系，下一步将逐步构建防灾、减灾、救灾、指挥、救援、监管、执法、保障等职能分工清晰、互为衔接的“大应急”管理格局，实现新时代应急管理工作的良好开局。</w:t>
      </w:r>
    </w:p>
    <w:p>
      <w:pPr>
        <w:numPr>
          <w:ilvl w:val="0"/>
          <w:numId w:val="2"/>
        </w:numPr>
        <w:spacing w:line="360" w:lineRule="auto"/>
        <w:outlineLvl w:val="1"/>
        <w:rPr>
          <w:rFonts w:ascii="仿宋" w:hAnsi="仿宋" w:eastAsia="仿宋" w:cs="仿宋"/>
          <w:sz w:val="32"/>
          <w:szCs w:val="32"/>
        </w:rPr>
      </w:pPr>
      <w:bookmarkStart w:id="3" w:name="_Toc5021"/>
      <w:r>
        <w:rPr>
          <w:rFonts w:hint="eastAsia" w:ascii="仿宋" w:hAnsi="仿宋" w:eastAsia="仿宋" w:cs="仿宋"/>
          <w:sz w:val="32"/>
          <w:szCs w:val="32"/>
        </w:rPr>
        <w:t>面临的挑战</w:t>
      </w:r>
      <w:bookmarkEnd w:id="3"/>
    </w:p>
    <w:p>
      <w:pPr>
        <w:pStyle w:val="2"/>
        <w:spacing w:line="360" w:lineRule="auto"/>
        <w:ind w:left="0"/>
        <w:jc w:val="center"/>
      </w:pPr>
      <w:r>
        <w:rPr>
          <w:rFonts w:ascii="宋体" w:hAnsi="宋体" w:eastAsia="宋体" w:cs="宋体"/>
          <w:sz w:val="24"/>
          <w:szCs w:val="24"/>
        </w:rPr>
        <w:drawing>
          <wp:inline distT="0" distB="0" distL="114300" distR="114300">
            <wp:extent cx="4761865" cy="2122170"/>
            <wp:effectExtent l="0" t="0" r="635" b="1143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4761865" cy="2122170"/>
                    </a:xfrm>
                    <a:prstGeom prst="rect">
                      <a:avLst/>
                    </a:prstGeom>
                    <a:noFill/>
                    <a:ln w="9525">
                      <a:noFill/>
                    </a:ln>
                  </pic:spPr>
                </pic:pic>
              </a:graphicData>
            </a:graphic>
          </wp:inline>
        </w:drawing>
      </w:r>
    </w:p>
    <w:p>
      <w:pPr>
        <w:pStyle w:val="11"/>
        <w:widowControl/>
        <w:shd w:val="clear" w:color="auto" w:fill="FFFFFF"/>
        <w:spacing w:beforeAutospacing="0" w:afterAutospacing="0" w:line="360" w:lineRule="auto"/>
        <w:ind w:firstLine="640" w:firstLineChars="200"/>
        <w:rPr>
          <w:rFonts w:ascii="仿宋" w:hAnsi="仿宋" w:eastAsia="仿宋" w:cs="仿宋"/>
          <w:kern w:val="2"/>
          <w:sz w:val="32"/>
          <w:szCs w:val="32"/>
        </w:rPr>
      </w:pPr>
      <w:r>
        <w:rPr>
          <w:rFonts w:hint="eastAsia" w:ascii="仿宋" w:hAnsi="仿宋" w:eastAsia="仿宋" w:cs="仿宋"/>
          <w:kern w:val="2"/>
          <w:sz w:val="32"/>
          <w:szCs w:val="32"/>
        </w:rPr>
        <w:t>源城区应急管理事业改革刚刚起步，应急管理工作面临较为严峻的形势，各类事故灾害风险隐患点多、线长、面广。同时，我区各类安全风险隐患量多面广，再加上一些地区、部门安全监管责任、一些企业安全生产主体责任落实不到位，容易造成生产安全事故发生。区应急管理局作为一个新组建的部门，承担着指导全区各级各部门应对安全生产类、自然灾害类等突发事件和综合防灾减灾救灾工作，负责安全生产综合监督管理和工矿商贸行业安全生产监督管理工作，但在应急指挥平台、应急救援队伍、应急预案体系、应急预警监测和应急科技支撑建设等很多方面尚处于起步阶段。</w:t>
      </w:r>
    </w:p>
    <w:p>
      <w:pPr>
        <w:pStyle w:val="11"/>
        <w:widowControl/>
        <w:shd w:val="clear" w:color="auto" w:fill="FFFFFF"/>
        <w:spacing w:beforeAutospacing="0" w:afterAutospacing="0" w:line="360" w:lineRule="auto"/>
        <w:ind w:firstLine="640" w:firstLineChars="200"/>
        <w:rPr>
          <w:rFonts w:ascii="仿宋" w:hAnsi="仿宋" w:eastAsia="仿宋" w:cs="仿宋"/>
          <w:kern w:val="2"/>
          <w:sz w:val="32"/>
          <w:szCs w:val="32"/>
        </w:rPr>
      </w:pPr>
      <w:r>
        <w:rPr>
          <w:rFonts w:hint="eastAsia" w:ascii="仿宋" w:hAnsi="仿宋" w:eastAsia="仿宋" w:cs="仿宋"/>
          <w:kern w:val="2"/>
          <w:sz w:val="32"/>
          <w:szCs w:val="32"/>
        </w:rPr>
        <w:t>受生产力发展水平、企业本质安全程度、从业人员素质、政府监管体制与机制、自然灾害预警和应急救援能力、社会安全生产意识等多种因素的影响和制约，源城区安全生产、防灾减灾、应急救援工作仍存在一定的不足，主要表现为：</w:t>
      </w:r>
    </w:p>
    <w:p>
      <w:pPr>
        <w:pStyle w:val="11"/>
        <w:widowControl/>
        <w:shd w:val="clear" w:color="auto" w:fill="FFFFFF"/>
        <w:spacing w:beforeAutospacing="0" w:afterAutospacing="0" w:line="360" w:lineRule="auto"/>
        <w:ind w:firstLine="640" w:firstLineChars="200"/>
        <w:rPr>
          <w:rFonts w:ascii="仿宋" w:hAnsi="仿宋" w:eastAsia="仿宋" w:cs="仿宋"/>
          <w:kern w:val="2"/>
          <w:sz w:val="32"/>
          <w:szCs w:val="32"/>
        </w:rPr>
      </w:pPr>
      <w:r>
        <w:rPr>
          <w:rFonts w:hint="eastAsia" w:ascii="仿宋" w:hAnsi="仿宋" w:eastAsia="仿宋" w:cs="仿宋"/>
          <w:kern w:val="2"/>
          <w:sz w:val="32"/>
          <w:szCs w:val="32"/>
        </w:rPr>
        <w:t>一是生产经营性交通事故、生产经营性火灾事故总数及生产经营性工矿商贸事故时有发生（见下表1、表2），企业主体责任仍有待提高；同时，2020年受到新冠疫情影响，经济下行造成企业安全保障条件欠缺，特别是中小企业在追求效益最大化中，安全生产主体责任落实得不够，安全基础工作不扎实、管理不到位。源城区作为河源市的政治、经济、文化中心，属于人口密集区，安全生产工作容不得半点松懈。</w:t>
      </w:r>
    </w:p>
    <w:p>
      <w:pPr>
        <w:pStyle w:val="11"/>
        <w:widowControl/>
        <w:shd w:val="clear" w:color="auto" w:fill="FFFFFF"/>
        <w:spacing w:beforeAutospacing="0" w:afterAutospacing="0" w:line="360" w:lineRule="auto"/>
        <w:ind w:firstLine="640"/>
        <w:jc w:val="center"/>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表1：源城区安全生产历年指标总数对比表</w:t>
      </w:r>
    </w:p>
    <w:tbl>
      <w:tblPr>
        <w:tblStyle w:val="13"/>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1"/>
        <w:gridCol w:w="1149"/>
        <w:gridCol w:w="1418"/>
        <w:gridCol w:w="1149"/>
        <w:gridCol w:w="1344"/>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52" w:type="dxa"/>
            <w:shd w:val="clear" w:color="auto" w:fill="5B9BD5" w:themeFill="accent1"/>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年度</w:t>
            </w:r>
          </w:p>
        </w:tc>
        <w:tc>
          <w:tcPr>
            <w:tcW w:w="1411" w:type="dxa"/>
            <w:shd w:val="clear" w:color="auto" w:fill="5B9BD5" w:themeFill="accent1"/>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事故总数</w:t>
            </w:r>
          </w:p>
        </w:tc>
        <w:tc>
          <w:tcPr>
            <w:tcW w:w="1149" w:type="dxa"/>
            <w:shd w:val="clear" w:color="auto" w:fill="5B9BD5" w:themeFill="accent1"/>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同比2015年</w:t>
            </w:r>
          </w:p>
        </w:tc>
        <w:tc>
          <w:tcPr>
            <w:tcW w:w="1418" w:type="dxa"/>
            <w:shd w:val="clear" w:color="auto" w:fill="5B9BD5" w:themeFill="accent1"/>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死亡人数</w:t>
            </w:r>
          </w:p>
        </w:tc>
        <w:tc>
          <w:tcPr>
            <w:tcW w:w="1149" w:type="dxa"/>
            <w:shd w:val="clear" w:color="auto" w:fill="5B9BD5" w:themeFill="accent1"/>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同比2015年</w:t>
            </w:r>
          </w:p>
        </w:tc>
        <w:tc>
          <w:tcPr>
            <w:tcW w:w="1344" w:type="dxa"/>
            <w:shd w:val="clear" w:color="auto" w:fill="5B9BD5" w:themeFill="accent1"/>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受伤人数</w:t>
            </w:r>
          </w:p>
        </w:tc>
        <w:tc>
          <w:tcPr>
            <w:tcW w:w="1556" w:type="dxa"/>
            <w:shd w:val="clear" w:color="auto" w:fill="5B9BD5" w:themeFill="accent1"/>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同比2015年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5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2016</w:t>
            </w:r>
          </w:p>
        </w:tc>
        <w:tc>
          <w:tcPr>
            <w:tcW w:w="141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215</w:t>
            </w:r>
          </w:p>
        </w:tc>
        <w:tc>
          <w:tcPr>
            <w:tcW w:w="114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下降39.6%</w:t>
            </w:r>
          </w:p>
        </w:tc>
        <w:tc>
          <w:tcPr>
            <w:tcW w:w="141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28</w:t>
            </w:r>
          </w:p>
        </w:tc>
        <w:tc>
          <w:tcPr>
            <w:tcW w:w="114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下降3.6%</w:t>
            </w:r>
          </w:p>
        </w:tc>
        <w:tc>
          <w:tcPr>
            <w:tcW w:w="1344"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156</w:t>
            </w:r>
          </w:p>
        </w:tc>
        <w:tc>
          <w:tcPr>
            <w:tcW w:w="1556"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下降43.3%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5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2017</w:t>
            </w:r>
          </w:p>
        </w:tc>
        <w:tc>
          <w:tcPr>
            <w:tcW w:w="141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142</w:t>
            </w:r>
          </w:p>
        </w:tc>
        <w:tc>
          <w:tcPr>
            <w:tcW w:w="114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下降60.1%</w:t>
            </w:r>
          </w:p>
        </w:tc>
        <w:tc>
          <w:tcPr>
            <w:tcW w:w="141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21</w:t>
            </w:r>
          </w:p>
        </w:tc>
        <w:tc>
          <w:tcPr>
            <w:tcW w:w="114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下降27.6%</w:t>
            </w:r>
          </w:p>
        </w:tc>
        <w:tc>
          <w:tcPr>
            <w:tcW w:w="1344"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144</w:t>
            </w:r>
          </w:p>
        </w:tc>
        <w:tc>
          <w:tcPr>
            <w:tcW w:w="1556"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下降47.6%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5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2018</w:t>
            </w:r>
          </w:p>
        </w:tc>
        <w:tc>
          <w:tcPr>
            <w:tcW w:w="141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68</w:t>
            </w:r>
          </w:p>
        </w:tc>
        <w:tc>
          <w:tcPr>
            <w:tcW w:w="114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下降80.9%</w:t>
            </w:r>
          </w:p>
        </w:tc>
        <w:tc>
          <w:tcPr>
            <w:tcW w:w="141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20</w:t>
            </w:r>
          </w:p>
        </w:tc>
        <w:tc>
          <w:tcPr>
            <w:tcW w:w="114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下降</w:t>
            </w:r>
          </w:p>
          <w:p>
            <w:pPr>
              <w:spacing w:line="360" w:lineRule="auto"/>
              <w:jc w:val="center"/>
              <w:rPr>
                <w:rFonts w:ascii="仿宋" w:hAnsi="仿宋" w:eastAsia="仿宋" w:cs="仿宋"/>
                <w:sz w:val="28"/>
                <w:szCs w:val="28"/>
              </w:rPr>
            </w:pPr>
            <w:r>
              <w:rPr>
                <w:rFonts w:hint="eastAsia" w:ascii="仿宋" w:hAnsi="仿宋" w:eastAsia="仿宋" w:cs="仿宋"/>
                <w:sz w:val="28"/>
                <w:szCs w:val="28"/>
              </w:rPr>
              <w:t>31%</w:t>
            </w:r>
          </w:p>
        </w:tc>
        <w:tc>
          <w:tcPr>
            <w:tcW w:w="1344"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47</w:t>
            </w:r>
          </w:p>
        </w:tc>
        <w:tc>
          <w:tcPr>
            <w:tcW w:w="1556"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下降</w:t>
            </w:r>
          </w:p>
          <w:p>
            <w:pPr>
              <w:spacing w:line="360" w:lineRule="auto"/>
              <w:jc w:val="center"/>
              <w:rPr>
                <w:rFonts w:ascii="仿宋" w:hAnsi="仿宋" w:eastAsia="仿宋" w:cs="仿宋"/>
                <w:sz w:val="28"/>
                <w:szCs w:val="28"/>
              </w:rPr>
            </w:pPr>
            <w:r>
              <w:rPr>
                <w:rFonts w:hint="eastAsia" w:ascii="仿宋" w:hAnsi="仿宋" w:eastAsia="仿宋" w:cs="仿宋"/>
                <w:sz w:val="28"/>
                <w:szCs w:val="28"/>
              </w:rPr>
              <w:t>82.91%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5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2019</w:t>
            </w:r>
          </w:p>
        </w:tc>
        <w:tc>
          <w:tcPr>
            <w:tcW w:w="141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32</w:t>
            </w:r>
          </w:p>
        </w:tc>
        <w:tc>
          <w:tcPr>
            <w:tcW w:w="114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下降</w:t>
            </w:r>
          </w:p>
          <w:p>
            <w:pPr>
              <w:spacing w:line="360" w:lineRule="auto"/>
              <w:jc w:val="center"/>
              <w:rPr>
                <w:rFonts w:ascii="仿宋" w:hAnsi="仿宋" w:eastAsia="仿宋" w:cs="仿宋"/>
                <w:sz w:val="28"/>
                <w:szCs w:val="28"/>
              </w:rPr>
            </w:pPr>
            <w:r>
              <w:rPr>
                <w:rFonts w:hint="eastAsia" w:ascii="仿宋" w:hAnsi="仿宋" w:eastAsia="仿宋" w:cs="仿宋"/>
                <w:sz w:val="28"/>
                <w:szCs w:val="28"/>
              </w:rPr>
              <w:t>91%</w:t>
            </w:r>
          </w:p>
        </w:tc>
        <w:tc>
          <w:tcPr>
            <w:tcW w:w="141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8</w:t>
            </w:r>
          </w:p>
        </w:tc>
        <w:tc>
          <w:tcPr>
            <w:tcW w:w="114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下降</w:t>
            </w:r>
          </w:p>
          <w:p>
            <w:pPr>
              <w:spacing w:line="360" w:lineRule="auto"/>
              <w:jc w:val="center"/>
              <w:rPr>
                <w:rFonts w:ascii="仿宋" w:hAnsi="仿宋" w:eastAsia="仿宋" w:cs="仿宋"/>
                <w:sz w:val="28"/>
                <w:szCs w:val="28"/>
              </w:rPr>
            </w:pPr>
            <w:r>
              <w:rPr>
                <w:rFonts w:hint="eastAsia" w:ascii="仿宋" w:hAnsi="仿宋" w:eastAsia="仿宋" w:cs="仿宋"/>
                <w:sz w:val="28"/>
                <w:szCs w:val="28"/>
              </w:rPr>
              <w:t>72.4%</w:t>
            </w:r>
          </w:p>
        </w:tc>
        <w:tc>
          <w:tcPr>
            <w:tcW w:w="1344"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25</w:t>
            </w:r>
          </w:p>
        </w:tc>
        <w:tc>
          <w:tcPr>
            <w:tcW w:w="1556"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下降</w:t>
            </w:r>
          </w:p>
          <w:p>
            <w:pPr>
              <w:spacing w:line="360" w:lineRule="auto"/>
              <w:jc w:val="center"/>
              <w:rPr>
                <w:rFonts w:ascii="仿宋" w:hAnsi="仿宋" w:eastAsia="仿宋" w:cs="仿宋"/>
                <w:sz w:val="28"/>
                <w:szCs w:val="28"/>
              </w:rPr>
            </w:pPr>
            <w:r>
              <w:rPr>
                <w:rFonts w:hint="eastAsia" w:ascii="仿宋" w:hAnsi="仿宋" w:eastAsia="仿宋" w:cs="仿宋"/>
                <w:sz w:val="28"/>
                <w:szCs w:val="28"/>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c>
          <w:tcPr>
            <w:tcW w:w="8027" w:type="dxa"/>
            <w:gridSpan w:val="6"/>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2015年，全区范围内共发生各类事故356起，死亡29人，受伤275人。</w:t>
            </w:r>
          </w:p>
        </w:tc>
      </w:tr>
    </w:tbl>
    <w:p>
      <w:pPr>
        <w:pStyle w:val="11"/>
        <w:widowControl/>
        <w:shd w:val="clear" w:color="auto" w:fill="FFFFFF"/>
        <w:spacing w:beforeAutospacing="0" w:afterAutospacing="0" w:line="360" w:lineRule="auto"/>
        <w:ind w:firstLine="640"/>
        <w:jc w:val="center"/>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表2：分项指标对比表</w:t>
      </w:r>
    </w:p>
    <w:tbl>
      <w:tblPr>
        <w:tblStyle w:val="13"/>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18"/>
        <w:gridCol w:w="1155"/>
        <w:gridCol w:w="1425"/>
        <w:gridCol w:w="1155"/>
        <w:gridCol w:w="1350"/>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5B9BD5" w:themeFill="accent1"/>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年度</w:t>
            </w:r>
          </w:p>
        </w:tc>
        <w:tc>
          <w:tcPr>
            <w:tcW w:w="1418" w:type="dxa"/>
            <w:shd w:val="clear" w:color="auto" w:fill="5B9BD5" w:themeFill="accent1"/>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生产经营性交通事故总数</w:t>
            </w:r>
          </w:p>
        </w:tc>
        <w:tc>
          <w:tcPr>
            <w:tcW w:w="1155" w:type="dxa"/>
            <w:shd w:val="clear" w:color="auto" w:fill="5B9BD5" w:themeFill="accent1"/>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同比2015年</w:t>
            </w:r>
          </w:p>
        </w:tc>
        <w:tc>
          <w:tcPr>
            <w:tcW w:w="1425" w:type="dxa"/>
            <w:shd w:val="clear" w:color="auto" w:fill="5B9BD5" w:themeFill="accent1"/>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生产经营性火灾事故总数</w:t>
            </w:r>
          </w:p>
        </w:tc>
        <w:tc>
          <w:tcPr>
            <w:tcW w:w="1155" w:type="dxa"/>
            <w:shd w:val="clear" w:color="auto" w:fill="5B9BD5" w:themeFill="accent1"/>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同比2015年</w:t>
            </w:r>
          </w:p>
        </w:tc>
        <w:tc>
          <w:tcPr>
            <w:tcW w:w="1350" w:type="dxa"/>
            <w:shd w:val="clear" w:color="auto" w:fill="5B9BD5" w:themeFill="accent1"/>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生产经营性工矿商贸事故</w:t>
            </w:r>
          </w:p>
        </w:tc>
        <w:tc>
          <w:tcPr>
            <w:tcW w:w="1520" w:type="dxa"/>
            <w:shd w:val="clear" w:color="auto" w:fill="5B9BD5" w:themeFill="accent1"/>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同比2015年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2016</w:t>
            </w:r>
          </w:p>
        </w:tc>
        <w:tc>
          <w:tcPr>
            <w:tcW w:w="141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173</w:t>
            </w:r>
          </w:p>
        </w:tc>
        <w:tc>
          <w:tcPr>
            <w:tcW w:w="115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下降33.5%</w:t>
            </w:r>
          </w:p>
        </w:tc>
        <w:tc>
          <w:tcPr>
            <w:tcW w:w="142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41</w:t>
            </w:r>
          </w:p>
        </w:tc>
        <w:tc>
          <w:tcPr>
            <w:tcW w:w="115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下降57.2%</w:t>
            </w:r>
          </w:p>
        </w:tc>
        <w:tc>
          <w:tcPr>
            <w:tcW w:w="135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152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上升100%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6"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2017</w:t>
            </w:r>
          </w:p>
        </w:tc>
        <w:tc>
          <w:tcPr>
            <w:tcW w:w="141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129</w:t>
            </w:r>
          </w:p>
        </w:tc>
        <w:tc>
          <w:tcPr>
            <w:tcW w:w="115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下降50.4%</w:t>
            </w:r>
          </w:p>
        </w:tc>
        <w:tc>
          <w:tcPr>
            <w:tcW w:w="142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11</w:t>
            </w:r>
          </w:p>
        </w:tc>
        <w:tc>
          <w:tcPr>
            <w:tcW w:w="115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下降88.5%</w:t>
            </w:r>
          </w:p>
        </w:tc>
        <w:tc>
          <w:tcPr>
            <w:tcW w:w="135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152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上升200%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6"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2018</w:t>
            </w:r>
          </w:p>
        </w:tc>
        <w:tc>
          <w:tcPr>
            <w:tcW w:w="141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55</w:t>
            </w:r>
          </w:p>
        </w:tc>
        <w:tc>
          <w:tcPr>
            <w:tcW w:w="115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下降78.8%</w:t>
            </w:r>
          </w:p>
        </w:tc>
        <w:tc>
          <w:tcPr>
            <w:tcW w:w="142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11</w:t>
            </w:r>
          </w:p>
        </w:tc>
        <w:tc>
          <w:tcPr>
            <w:tcW w:w="115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下降88.5%</w:t>
            </w:r>
          </w:p>
        </w:tc>
        <w:tc>
          <w:tcPr>
            <w:tcW w:w="135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152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上升200%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6"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2019</w:t>
            </w:r>
          </w:p>
        </w:tc>
        <w:tc>
          <w:tcPr>
            <w:tcW w:w="141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24</w:t>
            </w:r>
          </w:p>
        </w:tc>
        <w:tc>
          <w:tcPr>
            <w:tcW w:w="115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下降90.8%</w:t>
            </w:r>
          </w:p>
        </w:tc>
        <w:tc>
          <w:tcPr>
            <w:tcW w:w="142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7</w:t>
            </w:r>
          </w:p>
        </w:tc>
        <w:tc>
          <w:tcPr>
            <w:tcW w:w="115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下降92.7%</w:t>
            </w:r>
          </w:p>
        </w:tc>
        <w:tc>
          <w:tcPr>
            <w:tcW w:w="135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152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上升100%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c>
          <w:tcPr>
            <w:tcW w:w="8023" w:type="dxa"/>
            <w:gridSpan w:val="6"/>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2015年，全区范围内共发生生产经营性交通事故共260起；生产经营性火灾事故共96起；工矿商贸行业未发生生产经营性事故。</w:t>
            </w:r>
          </w:p>
        </w:tc>
      </w:tr>
    </w:tbl>
    <w:p>
      <w:pPr>
        <w:spacing w:line="360" w:lineRule="auto"/>
        <w:ind w:firstLine="640" w:firstLineChars="200"/>
        <w:jc w:val="left"/>
        <w:rPr>
          <w:rFonts w:ascii="仿宋" w:hAnsi="仿宋" w:eastAsia="仿宋" w:cs="仿宋"/>
          <w:sz w:val="32"/>
          <w:szCs w:val="32"/>
        </w:rPr>
      </w:pP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二是近年极端天气频繁，受气象灾害影响，防汛工作依然严峻，每年都有不同程度洪涝灾害，减灾救灾体制机制还不够完善，自然灾害防御能力还有待进一步提升，救灾救助综合协调机制还需进一步完善，减灾救灾科技支撑和人才保障还需加强。</w:t>
      </w:r>
    </w:p>
    <w:p>
      <w:pPr>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源城区三防灾情损失统计表（2016~2019）</w:t>
      </w:r>
    </w:p>
    <w:tbl>
      <w:tblPr>
        <w:tblStyle w:val="13"/>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6326"/>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shd w:val="clear" w:color="auto" w:fill="5B9BD5" w:themeFill="accent1"/>
          </w:tcPr>
          <w:p>
            <w:pPr>
              <w:spacing w:line="360" w:lineRule="auto"/>
              <w:jc w:val="center"/>
              <w:rPr>
                <w:rFonts w:ascii="仿宋" w:hAnsi="仿宋" w:eastAsia="仿宋" w:cs="仿宋"/>
                <w:sz w:val="28"/>
                <w:szCs w:val="28"/>
              </w:rPr>
            </w:pPr>
            <w:r>
              <w:rPr>
                <w:rFonts w:hint="eastAsia" w:ascii="仿宋" w:hAnsi="仿宋" w:eastAsia="仿宋" w:cs="仿宋"/>
                <w:sz w:val="28"/>
                <w:szCs w:val="28"/>
              </w:rPr>
              <w:t>年度</w:t>
            </w:r>
          </w:p>
        </w:tc>
        <w:tc>
          <w:tcPr>
            <w:tcW w:w="6326" w:type="dxa"/>
            <w:shd w:val="clear" w:color="auto" w:fill="5B9BD5" w:themeFill="accent1"/>
          </w:tcPr>
          <w:p>
            <w:pPr>
              <w:spacing w:line="360" w:lineRule="auto"/>
              <w:jc w:val="center"/>
              <w:rPr>
                <w:rFonts w:ascii="仿宋" w:hAnsi="仿宋" w:eastAsia="仿宋" w:cs="仿宋"/>
                <w:sz w:val="28"/>
                <w:szCs w:val="28"/>
              </w:rPr>
            </w:pPr>
            <w:r>
              <w:rPr>
                <w:rFonts w:hint="eastAsia" w:ascii="仿宋" w:hAnsi="仿宋" w:eastAsia="仿宋" w:cs="仿宋"/>
                <w:sz w:val="28"/>
                <w:szCs w:val="28"/>
              </w:rPr>
              <w:t>经济损失</w:t>
            </w:r>
          </w:p>
        </w:tc>
        <w:tc>
          <w:tcPr>
            <w:tcW w:w="1590" w:type="dxa"/>
            <w:shd w:val="clear" w:color="auto" w:fill="5B9BD5" w:themeFill="accent1"/>
          </w:tcPr>
          <w:p>
            <w:pPr>
              <w:spacing w:line="360" w:lineRule="auto"/>
              <w:jc w:val="center"/>
              <w:rPr>
                <w:rFonts w:ascii="仿宋" w:hAnsi="仿宋" w:eastAsia="仿宋" w:cs="仿宋"/>
                <w:sz w:val="28"/>
                <w:szCs w:val="28"/>
              </w:rPr>
            </w:pPr>
            <w:r>
              <w:rPr>
                <w:rFonts w:hint="eastAsia" w:ascii="仿宋" w:hAnsi="仿宋" w:eastAsia="仿宋" w:cs="仿宋"/>
                <w:sz w:val="28"/>
                <w:szCs w:val="28"/>
              </w:rPr>
              <w:t>成灾类型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2016年</w:t>
            </w:r>
          </w:p>
        </w:tc>
        <w:tc>
          <w:tcPr>
            <w:tcW w:w="6326"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洪涝受灾人口2.32万人，倒塌房屋53间，转移危险区域人员2610人，造成直接经济损失3180万元，其中农林牧渔业1650万元，工业交通运输业580万元，水利设施70万元，其它损失880万元。</w:t>
            </w:r>
          </w:p>
        </w:tc>
        <w:tc>
          <w:tcPr>
            <w:tcW w:w="1590"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台风、暴雨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2017年</w:t>
            </w:r>
          </w:p>
        </w:tc>
        <w:tc>
          <w:tcPr>
            <w:tcW w:w="6326"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洪涝受灾人口约0.52万人，转移危险区域人员19人，造成直接经济损失530万元，其中农林牧渔业50万元，工业交通运输业80万元，水利设施50万元，其它损失350万元。</w:t>
            </w:r>
          </w:p>
        </w:tc>
        <w:tc>
          <w:tcPr>
            <w:tcW w:w="1590"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台风、龙舟水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2018年</w:t>
            </w:r>
          </w:p>
        </w:tc>
        <w:tc>
          <w:tcPr>
            <w:tcW w:w="6326"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农林牧渔业直接经济损失32.5万元，其中埔前镇损失21.5万元，源西街道损失5万元，东埔街道损失6万元。全区转移安置总人数共1267人，无人员伤亡。</w:t>
            </w:r>
          </w:p>
        </w:tc>
        <w:tc>
          <w:tcPr>
            <w:tcW w:w="1590"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台风、内涝、旱灾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2019年</w:t>
            </w:r>
          </w:p>
        </w:tc>
        <w:tc>
          <w:tcPr>
            <w:tcW w:w="6326"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洪涝受灾人口3431人，转移514人，无人员伤亡，倒塌房屋11间（均为无人居住的瓦房），损坏房屋30间，农作物受灾面积1850亩(粮食作物1180亩)，水产养殖损失面积25亩，损坏河堤3处，损坏山塘2座，损坏陂头1座，损坏桥梁8座，山体滑坡16宗，直接经济损失近3000万元。</w:t>
            </w:r>
          </w:p>
        </w:tc>
        <w:tc>
          <w:tcPr>
            <w:tcW w:w="1590"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龙舟水、内涝</w:t>
            </w:r>
          </w:p>
        </w:tc>
      </w:tr>
    </w:tbl>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三是应急管理能力仍然相对落后，应急指挥信息化水平不高，迫切需要运用云计算、大数据、物联网、人工智能等新技术，建设全面支撑具有系统化、扁平化、立体化、智能化、人性化特征，与经济强区应急指挥能力相适应的现代应急指挥体系。</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四是随着经济社会的发展，城市规模日益扩大，结构日趋复杂，城市建设、轨道交通、油气输送管道、危旧房屋、玻璃幕墙、电梯设备以及人员密集场所等安全风险突出，城市安全管理难度增大。自然灾害、事故灾难、公共卫生事件、社会安全事件等突发事件也日益增多，使得源城区在“十四五”时期的城市公共安全管理面临愈加严峻的挑战。</w:t>
      </w:r>
    </w:p>
    <w:p>
      <w:pPr>
        <w:spacing w:line="360" w:lineRule="auto"/>
        <w:ind w:firstLine="560" w:firstLineChars="200"/>
        <w:jc w:val="center"/>
        <w:rPr>
          <w:rFonts w:ascii="仿宋" w:hAnsi="仿宋" w:eastAsia="仿宋" w:cs="仿宋"/>
          <w:sz w:val="28"/>
          <w:szCs w:val="28"/>
        </w:rPr>
      </w:pPr>
    </w:p>
    <w:p>
      <w:pPr>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源城区2020年危险化学品生产存储情况表</w:t>
      </w:r>
      <w:r>
        <w:rPr>
          <w:rFonts w:hint="eastAsia" w:ascii="仿宋" w:hAnsi="仿宋" w:eastAsia="仿宋" w:cs="仿宋"/>
          <w:sz w:val="24"/>
        </w:rPr>
        <w:t>（数据统计于2020年10月）</w:t>
      </w:r>
    </w:p>
    <w:tbl>
      <w:tblPr>
        <w:tblStyle w:val="13"/>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400"/>
        <w:gridCol w:w="3783"/>
        <w:gridCol w:w="1703"/>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17" w:type="dxa"/>
            <w:shd w:val="clear" w:color="auto" w:fill="5B9BD5" w:themeFill="accent1"/>
            <w:vAlign w:val="center"/>
          </w:tcPr>
          <w:p>
            <w:pPr>
              <w:pStyle w:val="2"/>
              <w:spacing w:line="360" w:lineRule="auto"/>
              <w:jc w:val="center"/>
              <w:rPr>
                <w:rFonts w:ascii="仿宋" w:hAnsi="仿宋" w:eastAsia="仿宋" w:cs="仿宋"/>
                <w:sz w:val="28"/>
                <w:szCs w:val="28"/>
              </w:rPr>
            </w:pPr>
            <w:r>
              <w:rPr>
                <w:rFonts w:hint="eastAsia" w:ascii="仿宋" w:hAnsi="仿宋" w:eastAsia="仿宋" w:cs="仿宋"/>
                <w:sz w:val="28"/>
                <w:szCs w:val="28"/>
              </w:rPr>
              <w:t>企业</w:t>
            </w:r>
          </w:p>
          <w:p>
            <w:pPr>
              <w:pStyle w:val="2"/>
              <w:spacing w:line="360" w:lineRule="auto"/>
              <w:jc w:val="center"/>
              <w:rPr>
                <w:rFonts w:ascii="仿宋" w:hAnsi="仿宋" w:eastAsia="仿宋" w:cs="仿宋"/>
                <w:sz w:val="28"/>
                <w:szCs w:val="28"/>
              </w:rPr>
            </w:pPr>
            <w:r>
              <w:rPr>
                <w:rFonts w:hint="eastAsia" w:ascii="仿宋" w:hAnsi="仿宋" w:eastAsia="仿宋" w:cs="仿宋"/>
                <w:sz w:val="28"/>
                <w:szCs w:val="28"/>
              </w:rPr>
              <w:t>总数</w:t>
            </w:r>
          </w:p>
        </w:tc>
        <w:tc>
          <w:tcPr>
            <w:tcW w:w="1400" w:type="dxa"/>
            <w:shd w:val="clear" w:color="auto" w:fill="5B9BD5" w:themeFill="accent1"/>
            <w:vAlign w:val="center"/>
          </w:tcPr>
          <w:p>
            <w:pPr>
              <w:pStyle w:val="2"/>
              <w:spacing w:line="360" w:lineRule="auto"/>
              <w:jc w:val="center"/>
              <w:rPr>
                <w:rFonts w:ascii="仿宋" w:hAnsi="仿宋" w:eastAsia="仿宋" w:cs="仿宋"/>
                <w:sz w:val="28"/>
                <w:szCs w:val="28"/>
              </w:rPr>
            </w:pPr>
            <w:r>
              <w:rPr>
                <w:rFonts w:hint="eastAsia" w:ascii="仿宋" w:hAnsi="仿宋" w:eastAsia="仿宋" w:cs="仿宋"/>
                <w:sz w:val="28"/>
                <w:szCs w:val="28"/>
              </w:rPr>
              <w:t>危险化</w:t>
            </w:r>
          </w:p>
          <w:p>
            <w:pPr>
              <w:pStyle w:val="2"/>
              <w:spacing w:line="360" w:lineRule="auto"/>
              <w:jc w:val="center"/>
              <w:rPr>
                <w:rFonts w:ascii="仿宋" w:hAnsi="仿宋" w:eastAsia="仿宋" w:cs="仿宋"/>
                <w:sz w:val="28"/>
                <w:szCs w:val="28"/>
              </w:rPr>
            </w:pPr>
            <w:r>
              <w:rPr>
                <w:rFonts w:hint="eastAsia" w:ascii="仿宋" w:hAnsi="仿宋" w:eastAsia="仿宋" w:cs="仿宋"/>
                <w:sz w:val="28"/>
                <w:szCs w:val="28"/>
              </w:rPr>
              <w:t>学  品</w:t>
            </w:r>
          </w:p>
        </w:tc>
        <w:tc>
          <w:tcPr>
            <w:tcW w:w="3783" w:type="dxa"/>
            <w:shd w:val="clear" w:color="auto" w:fill="5B9BD5" w:themeFill="accent1"/>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存储规模</w:t>
            </w:r>
          </w:p>
          <w:p>
            <w:pPr>
              <w:spacing w:line="360" w:lineRule="auto"/>
              <w:jc w:val="center"/>
              <w:rPr>
                <w:rFonts w:ascii="仿宋" w:hAnsi="仿宋" w:eastAsia="仿宋" w:cs="仿宋"/>
                <w:sz w:val="28"/>
                <w:szCs w:val="28"/>
              </w:rPr>
            </w:pPr>
            <w:r>
              <w:rPr>
                <w:rFonts w:hint="eastAsia" w:ascii="仿宋" w:hAnsi="仿宋" w:eastAsia="仿宋" w:cs="仿宋"/>
                <w:sz w:val="28"/>
                <w:szCs w:val="28"/>
              </w:rPr>
              <w:t>（立方米）</w:t>
            </w:r>
          </w:p>
        </w:tc>
        <w:tc>
          <w:tcPr>
            <w:tcW w:w="1703" w:type="dxa"/>
            <w:shd w:val="clear" w:color="auto" w:fill="5B9BD5" w:themeFill="accent1"/>
            <w:vAlign w:val="center"/>
          </w:tcPr>
          <w:p>
            <w:pPr>
              <w:pStyle w:val="2"/>
              <w:spacing w:line="360" w:lineRule="auto"/>
              <w:jc w:val="center"/>
              <w:rPr>
                <w:rFonts w:ascii="仿宋" w:hAnsi="仿宋" w:eastAsia="仿宋" w:cs="仿宋"/>
                <w:sz w:val="28"/>
                <w:szCs w:val="28"/>
              </w:rPr>
            </w:pPr>
            <w:r>
              <w:rPr>
                <w:rFonts w:hint="eastAsia" w:ascii="仿宋" w:hAnsi="仿宋" w:eastAsia="仿宋" w:cs="仿宋"/>
                <w:sz w:val="28"/>
                <w:szCs w:val="28"/>
              </w:rPr>
              <w:t>储存</w:t>
            </w:r>
          </w:p>
          <w:p>
            <w:pPr>
              <w:pStyle w:val="2"/>
              <w:spacing w:line="360" w:lineRule="auto"/>
              <w:jc w:val="center"/>
              <w:rPr>
                <w:rFonts w:ascii="仿宋" w:hAnsi="仿宋" w:eastAsia="仿宋" w:cs="仿宋"/>
                <w:sz w:val="28"/>
                <w:szCs w:val="28"/>
              </w:rPr>
            </w:pPr>
            <w:r>
              <w:rPr>
                <w:rFonts w:hint="eastAsia" w:ascii="仿宋" w:hAnsi="仿宋" w:eastAsia="仿宋" w:cs="仿宋"/>
                <w:sz w:val="28"/>
                <w:szCs w:val="28"/>
              </w:rPr>
              <w:t>方式</w:t>
            </w:r>
          </w:p>
        </w:tc>
        <w:tc>
          <w:tcPr>
            <w:tcW w:w="1515" w:type="dxa"/>
            <w:shd w:val="clear" w:color="auto" w:fill="5B9BD5" w:themeFill="accent1"/>
            <w:vAlign w:val="center"/>
          </w:tcPr>
          <w:p>
            <w:pPr>
              <w:pStyle w:val="2"/>
              <w:spacing w:line="360" w:lineRule="auto"/>
              <w:jc w:val="center"/>
              <w:rPr>
                <w:rFonts w:ascii="仿宋" w:hAnsi="仿宋" w:eastAsia="仿宋" w:cs="仿宋"/>
                <w:sz w:val="28"/>
                <w:szCs w:val="28"/>
              </w:rPr>
            </w:pPr>
            <w:r>
              <w:rPr>
                <w:rFonts w:hint="eastAsia" w:ascii="仿宋" w:hAnsi="仿宋" w:eastAsia="仿宋" w:cs="仿宋"/>
                <w:sz w:val="28"/>
                <w:szCs w:val="28"/>
              </w:rPr>
              <w:t>用 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center"/>
          </w:tcPr>
          <w:p>
            <w:pPr>
              <w:pStyle w:val="2"/>
              <w:spacing w:line="360" w:lineRule="auto"/>
              <w:jc w:val="center"/>
              <w:rPr>
                <w:rFonts w:ascii="仿宋" w:hAnsi="仿宋" w:eastAsia="仿宋" w:cs="仿宋"/>
                <w:sz w:val="28"/>
                <w:szCs w:val="28"/>
              </w:rPr>
            </w:pPr>
            <w:r>
              <w:rPr>
                <w:rFonts w:hint="eastAsia" w:ascii="仿宋" w:hAnsi="仿宋" w:eastAsia="仿宋" w:cs="仿宋"/>
                <w:sz w:val="28"/>
                <w:szCs w:val="28"/>
              </w:rPr>
              <w:t>24</w:t>
            </w:r>
          </w:p>
        </w:tc>
        <w:tc>
          <w:tcPr>
            <w:tcW w:w="1400" w:type="dxa"/>
          </w:tcPr>
          <w:p>
            <w:pPr>
              <w:pStyle w:val="2"/>
              <w:spacing w:line="360" w:lineRule="auto"/>
              <w:rPr>
                <w:rFonts w:ascii="仿宋" w:hAnsi="仿宋" w:eastAsia="仿宋" w:cs="仿宋"/>
                <w:sz w:val="28"/>
                <w:szCs w:val="28"/>
              </w:rPr>
            </w:pPr>
            <w:r>
              <w:rPr>
                <w:rFonts w:hint="eastAsia" w:ascii="仿宋" w:hAnsi="仿宋" w:eastAsia="仿宋" w:cs="仿宋"/>
                <w:sz w:val="28"/>
                <w:szCs w:val="28"/>
              </w:rPr>
              <w:t>液氨、</w:t>
            </w:r>
          </w:p>
          <w:p>
            <w:pPr>
              <w:pStyle w:val="2"/>
              <w:spacing w:line="360" w:lineRule="auto"/>
              <w:rPr>
                <w:rFonts w:ascii="仿宋" w:hAnsi="仿宋" w:eastAsia="仿宋" w:cs="仿宋"/>
                <w:sz w:val="28"/>
                <w:szCs w:val="28"/>
              </w:rPr>
            </w:pPr>
            <w:r>
              <w:rPr>
                <w:rFonts w:hint="eastAsia" w:ascii="仿宋" w:hAnsi="仿宋" w:eastAsia="仿宋" w:cs="仿宋"/>
                <w:sz w:val="28"/>
                <w:szCs w:val="28"/>
              </w:rPr>
              <w:t>汽油、</w:t>
            </w:r>
          </w:p>
          <w:p>
            <w:pPr>
              <w:pStyle w:val="2"/>
              <w:spacing w:line="360" w:lineRule="auto"/>
              <w:rPr>
                <w:rFonts w:ascii="仿宋" w:hAnsi="仿宋" w:eastAsia="仿宋" w:cs="仿宋"/>
                <w:sz w:val="28"/>
                <w:szCs w:val="28"/>
              </w:rPr>
            </w:pPr>
            <w:r>
              <w:rPr>
                <w:rFonts w:hint="eastAsia" w:ascii="仿宋" w:hAnsi="仿宋" w:eastAsia="仿宋" w:cs="仿宋"/>
                <w:sz w:val="28"/>
                <w:szCs w:val="28"/>
              </w:rPr>
              <w:t>柴油</w:t>
            </w:r>
          </w:p>
        </w:tc>
        <w:tc>
          <w:tcPr>
            <w:tcW w:w="3783" w:type="dxa"/>
          </w:tcPr>
          <w:p>
            <w:pPr>
              <w:pStyle w:val="2"/>
              <w:spacing w:line="360" w:lineRule="auto"/>
              <w:rPr>
                <w:rFonts w:ascii="仿宋" w:hAnsi="仿宋" w:eastAsia="仿宋" w:cs="仿宋"/>
                <w:sz w:val="28"/>
                <w:szCs w:val="28"/>
              </w:rPr>
            </w:pPr>
            <w:r>
              <w:rPr>
                <w:rFonts w:hint="eastAsia" w:ascii="仿宋" w:hAnsi="仿宋" w:eastAsia="仿宋" w:cs="仿宋"/>
                <w:sz w:val="28"/>
                <w:szCs w:val="28"/>
              </w:rPr>
              <w:t>液氨92*2，</w:t>
            </w:r>
          </w:p>
          <w:p>
            <w:pPr>
              <w:pStyle w:val="2"/>
              <w:spacing w:line="360" w:lineRule="auto"/>
              <w:rPr>
                <w:rFonts w:ascii="仿宋" w:hAnsi="仿宋" w:eastAsia="仿宋" w:cs="仿宋"/>
                <w:sz w:val="28"/>
                <w:szCs w:val="28"/>
              </w:rPr>
            </w:pPr>
            <w:r>
              <w:rPr>
                <w:rFonts w:hint="eastAsia" w:ascii="仿宋" w:hAnsi="仿宋" w:eastAsia="仿宋" w:cs="仿宋"/>
                <w:sz w:val="28"/>
                <w:szCs w:val="28"/>
              </w:rPr>
              <w:t>汽油30*56+20*2，</w:t>
            </w:r>
          </w:p>
          <w:p>
            <w:pPr>
              <w:pStyle w:val="2"/>
              <w:spacing w:line="360" w:lineRule="auto"/>
              <w:rPr>
                <w:rFonts w:ascii="仿宋" w:hAnsi="仿宋" w:eastAsia="仿宋" w:cs="仿宋"/>
                <w:sz w:val="28"/>
                <w:szCs w:val="28"/>
              </w:rPr>
            </w:pPr>
            <w:r>
              <w:rPr>
                <w:rFonts w:hint="eastAsia" w:ascii="仿宋" w:hAnsi="仿宋" w:eastAsia="仿宋" w:cs="仿宋"/>
                <w:sz w:val="28"/>
                <w:szCs w:val="28"/>
              </w:rPr>
              <w:t>柴油20*1+30*28+40*1+50*5</w:t>
            </w:r>
          </w:p>
        </w:tc>
        <w:tc>
          <w:tcPr>
            <w:tcW w:w="1703" w:type="dxa"/>
          </w:tcPr>
          <w:p>
            <w:pPr>
              <w:pStyle w:val="2"/>
              <w:spacing w:line="360" w:lineRule="auto"/>
              <w:rPr>
                <w:rFonts w:ascii="仿宋" w:hAnsi="仿宋" w:eastAsia="仿宋" w:cs="仿宋"/>
                <w:sz w:val="28"/>
                <w:szCs w:val="28"/>
              </w:rPr>
            </w:pPr>
            <w:r>
              <w:rPr>
                <w:rFonts w:hint="eastAsia" w:ascii="仿宋" w:hAnsi="仿宋" w:eastAsia="仿宋" w:cs="仿宋"/>
                <w:sz w:val="28"/>
                <w:szCs w:val="28"/>
              </w:rPr>
              <w:t>卧式地面</w:t>
            </w:r>
          </w:p>
          <w:p>
            <w:pPr>
              <w:pStyle w:val="2"/>
              <w:spacing w:line="360" w:lineRule="auto"/>
              <w:rPr>
                <w:rFonts w:ascii="仿宋" w:hAnsi="仿宋" w:eastAsia="仿宋" w:cs="仿宋"/>
                <w:sz w:val="28"/>
                <w:szCs w:val="28"/>
              </w:rPr>
            </w:pPr>
            <w:r>
              <w:rPr>
                <w:rFonts w:hint="eastAsia" w:ascii="仿宋" w:hAnsi="仿宋" w:eastAsia="仿宋" w:cs="仿宋"/>
                <w:sz w:val="28"/>
                <w:szCs w:val="28"/>
              </w:rPr>
              <w:t>储罐、卧式地埋管</w:t>
            </w:r>
          </w:p>
        </w:tc>
        <w:tc>
          <w:tcPr>
            <w:tcW w:w="1515" w:type="dxa"/>
          </w:tcPr>
          <w:p>
            <w:pPr>
              <w:pStyle w:val="2"/>
              <w:spacing w:line="360" w:lineRule="auto"/>
              <w:rPr>
                <w:rFonts w:ascii="仿宋" w:hAnsi="仿宋" w:eastAsia="仿宋" w:cs="仿宋"/>
                <w:sz w:val="28"/>
                <w:szCs w:val="28"/>
              </w:rPr>
            </w:pPr>
            <w:r>
              <w:rPr>
                <w:rFonts w:hint="eastAsia" w:ascii="仿宋" w:hAnsi="仿宋" w:eastAsia="仿宋" w:cs="仿宋"/>
                <w:sz w:val="28"/>
                <w:szCs w:val="28"/>
              </w:rPr>
              <w:t>非生产，使用、经营</w:t>
            </w:r>
          </w:p>
        </w:tc>
      </w:tr>
    </w:tbl>
    <w:p>
      <w:pPr>
        <w:pageBreakBefore/>
        <w:numPr>
          <w:ilvl w:val="0"/>
          <w:numId w:val="1"/>
        </w:numPr>
        <w:spacing w:line="360" w:lineRule="auto"/>
        <w:ind w:firstLine="640"/>
        <w:jc w:val="left"/>
        <w:outlineLvl w:val="0"/>
        <w:rPr>
          <w:rFonts w:ascii="仿宋" w:hAnsi="仿宋" w:eastAsia="仿宋" w:cs="仿宋"/>
          <w:b/>
          <w:bCs/>
          <w:sz w:val="32"/>
          <w:szCs w:val="32"/>
        </w:rPr>
      </w:pPr>
      <w:bookmarkStart w:id="4" w:name="_Toc17716"/>
      <w:r>
        <w:rPr>
          <w:rFonts w:hint="eastAsia" w:ascii="仿宋" w:hAnsi="仿宋" w:eastAsia="仿宋" w:cs="仿宋"/>
          <w:b/>
          <w:bCs/>
          <w:sz w:val="32"/>
          <w:szCs w:val="32"/>
        </w:rPr>
        <w:t>总体要求</w:t>
      </w:r>
      <w:bookmarkEnd w:id="4"/>
    </w:p>
    <w:p>
      <w:pPr>
        <w:numPr>
          <w:ilvl w:val="0"/>
          <w:numId w:val="3"/>
        </w:numPr>
        <w:spacing w:line="360" w:lineRule="auto"/>
        <w:jc w:val="left"/>
        <w:outlineLvl w:val="1"/>
        <w:rPr>
          <w:rFonts w:ascii="仿宋" w:hAnsi="仿宋" w:eastAsia="仿宋" w:cs="仿宋"/>
          <w:sz w:val="32"/>
          <w:szCs w:val="32"/>
        </w:rPr>
      </w:pPr>
      <w:bookmarkStart w:id="5" w:name="_Toc5708"/>
      <w:r>
        <w:rPr>
          <w:rFonts w:hint="eastAsia" w:ascii="仿宋" w:hAnsi="仿宋" w:eastAsia="仿宋" w:cs="仿宋"/>
          <w:sz w:val="32"/>
          <w:szCs w:val="32"/>
        </w:rPr>
        <w:t>指导思想</w:t>
      </w:r>
      <w:bookmarkEnd w:id="5"/>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坚持以习近平新时代中国特色社会主义思想为指导，深入贯彻落实习近平总书记关于安全生产、应急管理、防灾减灾救灾的重要论述精神，认真贯彻落实区委、区政府决策部署，坚定不移以全域全面融入粤港澳大湾区建设为</w:t>
      </w:r>
      <w:r>
        <w:rPr>
          <w:rFonts w:ascii="仿宋" w:hAnsi="仿宋" w:eastAsia="仿宋" w:cs="仿宋"/>
          <w:sz w:val="32"/>
          <w:szCs w:val="32"/>
        </w:rPr>
        <w:t>“</w:t>
      </w:r>
      <w:r>
        <w:rPr>
          <w:rFonts w:hint="eastAsia" w:ascii="仿宋" w:hAnsi="仿宋" w:eastAsia="仿宋" w:cs="仿宋"/>
          <w:sz w:val="32"/>
          <w:szCs w:val="32"/>
        </w:rPr>
        <w:t>纲</w:t>
      </w:r>
      <w:r>
        <w:rPr>
          <w:rFonts w:ascii="仿宋" w:hAnsi="仿宋" w:eastAsia="仿宋" w:cs="仿宋"/>
          <w:sz w:val="32"/>
          <w:szCs w:val="32"/>
        </w:rPr>
        <w:t>”</w:t>
      </w:r>
      <w:r>
        <w:rPr>
          <w:rFonts w:hint="eastAsia" w:ascii="仿宋" w:hAnsi="仿宋" w:eastAsia="仿宋" w:cs="仿宋"/>
          <w:sz w:val="32"/>
          <w:szCs w:val="32"/>
        </w:rPr>
        <w:t>，以深度参与深圳都市圈建设为契机，坚持稳中求进工作总基调，主动对接融湾规划，做好同市级应急管理“十四五”规划的衔接。以推进城区安全发展为目标，以推动改革创新为动力，以提升应急管理能力为主线，以狠抓安全生产责任落实为着力点，建立完善应急管理体系，统筹加强自然灾害防治，全力防范化解重大安全风险，着力提升应急管理和防灾减灾救灾能力，守牢安全生产底线，坚决防范遏制重特大安全事故，为全面开创源城区高质量发展高品质生活，加快“融深”“融湾”步伐，全力建设人民幸福“心城”提供坚实的安全保障。</w:t>
      </w:r>
    </w:p>
    <w:p>
      <w:pPr>
        <w:numPr>
          <w:ilvl w:val="0"/>
          <w:numId w:val="3"/>
        </w:numPr>
        <w:spacing w:line="360" w:lineRule="auto"/>
        <w:jc w:val="left"/>
        <w:outlineLvl w:val="1"/>
        <w:rPr>
          <w:rFonts w:ascii="仿宋" w:hAnsi="仿宋" w:eastAsia="仿宋" w:cs="仿宋"/>
          <w:sz w:val="32"/>
          <w:szCs w:val="32"/>
        </w:rPr>
      </w:pPr>
      <w:bookmarkStart w:id="6" w:name="_Toc16284"/>
      <w:r>
        <w:rPr>
          <w:rFonts w:hint="eastAsia" w:ascii="仿宋" w:hAnsi="仿宋" w:eastAsia="仿宋" w:cs="仿宋"/>
          <w:sz w:val="32"/>
          <w:szCs w:val="32"/>
        </w:rPr>
        <w:t>基本原则</w:t>
      </w:r>
      <w:bookmarkEnd w:id="6"/>
    </w:p>
    <w:p>
      <w:pPr>
        <w:spacing w:line="360" w:lineRule="auto"/>
        <w:ind w:firstLine="640" w:firstLineChars="200"/>
        <w:jc w:val="left"/>
        <w:outlineLvl w:val="2"/>
        <w:rPr>
          <w:rFonts w:ascii="仿宋" w:hAnsi="仿宋" w:eastAsia="仿宋" w:cs="仿宋"/>
          <w:sz w:val="32"/>
          <w:szCs w:val="32"/>
        </w:rPr>
      </w:pPr>
      <w:r>
        <w:rPr>
          <w:rFonts w:hint="eastAsia" w:ascii="仿宋" w:hAnsi="仿宋" w:eastAsia="仿宋" w:cs="仿宋"/>
          <w:sz w:val="32"/>
          <w:szCs w:val="32"/>
        </w:rPr>
        <w:t>1、以安全为支撑</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结合中心城区特点，以安全管理、安全技术、安全文化等三大要素为支撑，努力打造能够应对发展中各种风险、有快速修复能力的“韧性城市”。让城市自动适应各类风险及其变化，并使这些风险时刻处于受控状态，即使在突发事件冲击下，城市的各类功能始终处于完整状态。</w:t>
      </w:r>
    </w:p>
    <w:p>
      <w:pPr>
        <w:numPr>
          <w:ilvl w:val="0"/>
          <w:numId w:val="4"/>
        </w:numPr>
        <w:spacing w:line="360" w:lineRule="auto"/>
        <w:ind w:firstLine="640" w:firstLineChars="200"/>
        <w:jc w:val="left"/>
        <w:outlineLvl w:val="2"/>
        <w:rPr>
          <w:rFonts w:ascii="仿宋" w:hAnsi="仿宋" w:eastAsia="仿宋" w:cs="仿宋"/>
          <w:sz w:val="32"/>
          <w:szCs w:val="32"/>
        </w:rPr>
      </w:pPr>
      <w:r>
        <w:rPr>
          <w:rFonts w:hint="eastAsia" w:ascii="仿宋" w:hAnsi="仿宋" w:eastAsia="仿宋" w:cs="仿宋"/>
          <w:sz w:val="32"/>
          <w:szCs w:val="32"/>
        </w:rPr>
        <w:t>以防控为重点</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应急管理工作的意识转变，由原来的事故导向逐步向主动应急提前防范转变，落实风险分级管控和隐患排查治理双重预防机制，以安全风险感知敏锐、预警正确、预测超前、预防及时有效作为目标，推行风险管理关口前移，对各类风险的源头进行精准识别和全面综合管理，力争做到标本兼治，全面提升应急管理服务社会经济发展的能力。</w:t>
      </w:r>
    </w:p>
    <w:p>
      <w:pPr>
        <w:numPr>
          <w:ilvl w:val="0"/>
          <w:numId w:val="4"/>
        </w:numPr>
        <w:spacing w:line="360" w:lineRule="auto"/>
        <w:ind w:firstLine="640" w:firstLineChars="200"/>
        <w:jc w:val="left"/>
        <w:outlineLvl w:val="2"/>
        <w:rPr>
          <w:rFonts w:ascii="仿宋" w:hAnsi="仿宋" w:eastAsia="仿宋" w:cs="仿宋"/>
          <w:sz w:val="32"/>
          <w:szCs w:val="32"/>
        </w:rPr>
      </w:pPr>
      <w:r>
        <w:rPr>
          <w:rFonts w:hint="eastAsia" w:ascii="仿宋" w:hAnsi="仿宋" w:eastAsia="仿宋" w:cs="仿宋"/>
          <w:sz w:val="32"/>
          <w:szCs w:val="32"/>
        </w:rPr>
        <w:t>以科技为手段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按照“实战中管用、基层干部爱用、群众感到受用”的原则，对应急管理领域关键要素加以融合，对标建设高水平人民幸福“心城”，对应急管理领域关键要素加以融合、进一步将分散的应急资源、力量综合集成，构建“纵横交织、高效通达”的应急管理“智理”体系，用智能化手段把涉及城市运行安全的各类事务“一网统管”起来。</w:t>
      </w:r>
    </w:p>
    <w:p>
      <w:pPr>
        <w:numPr>
          <w:ilvl w:val="0"/>
          <w:numId w:val="3"/>
        </w:numPr>
        <w:spacing w:line="360" w:lineRule="auto"/>
        <w:jc w:val="left"/>
        <w:outlineLvl w:val="1"/>
        <w:rPr>
          <w:rFonts w:ascii="仿宋" w:hAnsi="仿宋" w:eastAsia="仿宋" w:cs="仿宋"/>
          <w:sz w:val="32"/>
          <w:szCs w:val="32"/>
        </w:rPr>
      </w:pPr>
      <w:bookmarkStart w:id="7" w:name="_Toc17240"/>
      <w:r>
        <w:rPr>
          <w:rFonts w:hint="eastAsia" w:ascii="仿宋" w:hAnsi="仿宋" w:eastAsia="仿宋" w:cs="仿宋"/>
          <w:sz w:val="32"/>
          <w:szCs w:val="32"/>
        </w:rPr>
        <w:t>规划目标</w:t>
      </w:r>
      <w:bookmarkEnd w:id="7"/>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贯彻落实习近平总书记关于安全生产、防灾减灾、应急救援，以推进大应急管理建设为主线，将“科学应备、时时应变、统一应战、精准应灾、及时应验”的“五应”贯穿于我区应急管理体系建设。进一步强化灾害救援统筹指挥能力，进一步减少各类事故发生。</w:t>
      </w:r>
    </w:p>
    <w:p>
      <w:pPr>
        <w:numPr>
          <w:ilvl w:val="0"/>
          <w:numId w:val="5"/>
        </w:numPr>
        <w:spacing w:line="360" w:lineRule="auto"/>
        <w:ind w:firstLine="640" w:firstLineChars="200"/>
        <w:jc w:val="left"/>
        <w:outlineLvl w:val="2"/>
        <w:rPr>
          <w:rFonts w:ascii="仿宋" w:hAnsi="仿宋" w:eastAsia="仿宋" w:cs="仿宋"/>
          <w:sz w:val="32"/>
          <w:szCs w:val="32"/>
        </w:rPr>
      </w:pPr>
      <w:r>
        <w:rPr>
          <w:rFonts w:hint="eastAsia" w:ascii="仿宋" w:hAnsi="仿宋" w:eastAsia="仿宋" w:cs="仿宋"/>
          <w:sz w:val="32"/>
          <w:szCs w:val="32"/>
        </w:rPr>
        <w:t>安全生产方面</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到2025年，各类事故死亡人数比2020年下降10%以上，杜绝特别重大事故，有效遏制重大事故和较大事故。建立完善监管体制机制，企业、群众安全生产意识进一步提升。</w:t>
      </w:r>
    </w:p>
    <w:p>
      <w:pPr>
        <w:numPr>
          <w:ilvl w:val="0"/>
          <w:numId w:val="5"/>
        </w:numPr>
        <w:spacing w:line="360" w:lineRule="auto"/>
        <w:ind w:firstLine="640" w:firstLineChars="200"/>
        <w:jc w:val="left"/>
        <w:outlineLvl w:val="2"/>
        <w:rPr>
          <w:rFonts w:ascii="仿宋" w:hAnsi="仿宋" w:eastAsia="仿宋" w:cs="仿宋"/>
          <w:sz w:val="32"/>
          <w:szCs w:val="32"/>
        </w:rPr>
      </w:pPr>
      <w:r>
        <w:rPr>
          <w:rFonts w:hint="eastAsia" w:ascii="仿宋" w:hAnsi="仿宋" w:eastAsia="仿宋" w:cs="仿宋"/>
          <w:sz w:val="32"/>
          <w:szCs w:val="32"/>
        </w:rPr>
        <w:t>应急救援救灾和物资储备方面</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到2025年，全面形成应急管理信息化指挥体系，具备与我区实际救灾救援需要的现代化应急管理指挥协调能力、应急救援能力和适应新时期的物资储备能力。</w:t>
      </w:r>
    </w:p>
    <w:p>
      <w:pPr>
        <w:numPr>
          <w:ilvl w:val="0"/>
          <w:numId w:val="5"/>
        </w:numPr>
        <w:spacing w:line="360" w:lineRule="auto"/>
        <w:ind w:firstLine="640" w:firstLineChars="200"/>
        <w:jc w:val="left"/>
        <w:outlineLvl w:val="2"/>
        <w:rPr>
          <w:rFonts w:ascii="仿宋" w:hAnsi="仿宋" w:eastAsia="仿宋" w:cs="仿宋"/>
          <w:sz w:val="32"/>
          <w:szCs w:val="32"/>
        </w:rPr>
      </w:pPr>
      <w:r>
        <w:rPr>
          <w:rFonts w:hint="eastAsia" w:ascii="仿宋" w:hAnsi="仿宋" w:eastAsia="仿宋" w:cs="仿宋"/>
          <w:sz w:val="32"/>
          <w:szCs w:val="32"/>
        </w:rPr>
        <w:t>防灾减灾方面</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到2025年，实现林区监控全覆盖，火灾受害率稳定在0.05%以下，防汛监测设施全覆盖，基本完成综合减灾示范社区建设工作。建成完善可分级分类处理的预警系统。</w:t>
      </w:r>
    </w:p>
    <w:p>
      <w:pPr>
        <w:pageBreakBefore/>
        <w:numPr>
          <w:ilvl w:val="0"/>
          <w:numId w:val="1"/>
        </w:numPr>
        <w:spacing w:line="360" w:lineRule="auto"/>
        <w:ind w:firstLine="640"/>
        <w:jc w:val="left"/>
        <w:outlineLvl w:val="0"/>
        <w:rPr>
          <w:rFonts w:ascii="仿宋" w:hAnsi="仿宋" w:eastAsia="仿宋" w:cs="仿宋"/>
          <w:b/>
          <w:bCs/>
          <w:sz w:val="32"/>
          <w:szCs w:val="32"/>
        </w:rPr>
      </w:pPr>
      <w:bookmarkStart w:id="8" w:name="_Toc30925"/>
      <w:r>
        <w:rPr>
          <w:rFonts w:hint="eastAsia" w:ascii="仿宋" w:hAnsi="仿宋" w:eastAsia="仿宋" w:cs="仿宋"/>
          <w:b/>
          <w:bCs/>
          <w:sz w:val="32"/>
          <w:szCs w:val="32"/>
        </w:rPr>
        <w:t>主要任务</w:t>
      </w:r>
      <w:bookmarkEnd w:id="8"/>
    </w:p>
    <w:p>
      <w:pPr>
        <w:numPr>
          <w:ilvl w:val="0"/>
          <w:numId w:val="6"/>
        </w:numPr>
        <w:spacing w:line="360" w:lineRule="auto"/>
        <w:ind w:firstLine="640" w:firstLineChars="200"/>
        <w:jc w:val="left"/>
        <w:outlineLvl w:val="1"/>
        <w:rPr>
          <w:rFonts w:ascii="仿宋" w:hAnsi="仿宋" w:eastAsia="仿宋" w:cs="仿宋"/>
          <w:sz w:val="32"/>
          <w:szCs w:val="32"/>
        </w:rPr>
      </w:pPr>
      <w:bookmarkStart w:id="9" w:name="_Toc5980"/>
      <w:r>
        <w:rPr>
          <w:rFonts w:hint="eastAsia" w:ascii="仿宋" w:hAnsi="仿宋" w:eastAsia="仿宋" w:cs="仿宋"/>
          <w:sz w:val="32"/>
          <w:szCs w:val="32"/>
        </w:rPr>
        <w:t>安全生产方面</w:t>
      </w:r>
      <w:bookmarkEnd w:id="9"/>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深化安全责任体系建设，全面提升依法治安能力水平；落实市应急管理局《关于进一步落实企业安全生产主体责任的意见》要求，进一步压实企业主体责任，持续推进重点行业领域隐患治理，强化风险隐患排查治理和双重预防机制建设。强化科学技术引领，提升科技兴安发展水平；强化基础配套建设，夯实安全生产基层基础；强化宣教体系建设，提升全民整体安全素质。</w:t>
      </w:r>
    </w:p>
    <w:p>
      <w:pPr>
        <w:numPr>
          <w:ilvl w:val="0"/>
          <w:numId w:val="6"/>
        </w:numPr>
        <w:spacing w:line="360" w:lineRule="auto"/>
        <w:ind w:firstLine="640" w:firstLineChars="200"/>
        <w:jc w:val="left"/>
        <w:outlineLvl w:val="1"/>
        <w:rPr>
          <w:rFonts w:ascii="仿宋" w:hAnsi="仿宋" w:eastAsia="仿宋" w:cs="仿宋"/>
          <w:sz w:val="32"/>
          <w:szCs w:val="32"/>
        </w:rPr>
      </w:pPr>
      <w:bookmarkStart w:id="10" w:name="_Toc15383"/>
      <w:r>
        <w:rPr>
          <w:rFonts w:hint="eastAsia" w:ascii="仿宋" w:hAnsi="仿宋" w:eastAsia="仿宋" w:cs="仿宋"/>
          <w:sz w:val="32"/>
          <w:szCs w:val="32"/>
        </w:rPr>
        <w:t>应急管理方面</w:t>
      </w:r>
      <w:bookmarkEnd w:id="10"/>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健全应急管理组织体系，加强区、街道两级应急指挥体系建设；完善应急预案体系并强化应急演练，推进应急救援队伍体系建设，不断增强应急实战能力；以城运中心系统为依托，加快应急平台系统整合；推进应急避难场所建设，完善应急物资保障系统，推进应急物资建设和管理，加强信息发布和舆情引导。</w:t>
      </w:r>
    </w:p>
    <w:p>
      <w:pPr>
        <w:numPr>
          <w:ilvl w:val="0"/>
          <w:numId w:val="6"/>
        </w:numPr>
        <w:spacing w:line="360" w:lineRule="auto"/>
        <w:ind w:firstLine="640" w:firstLineChars="200"/>
        <w:jc w:val="left"/>
        <w:outlineLvl w:val="1"/>
        <w:rPr>
          <w:rFonts w:ascii="仿宋" w:hAnsi="仿宋" w:eastAsia="仿宋" w:cs="仿宋"/>
          <w:sz w:val="32"/>
          <w:szCs w:val="32"/>
        </w:rPr>
      </w:pPr>
      <w:bookmarkStart w:id="11" w:name="_Toc21792"/>
      <w:r>
        <w:rPr>
          <w:rFonts w:hint="eastAsia" w:ascii="仿宋" w:hAnsi="仿宋" w:eastAsia="仿宋" w:cs="仿宋"/>
          <w:sz w:val="32"/>
          <w:szCs w:val="32"/>
        </w:rPr>
        <w:t>防灾减灾方面</w:t>
      </w:r>
      <w:bookmarkEnd w:id="11"/>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减灾救灾体制机制进一步健全，基本建成与源城区社会经济发展相适应的自然灾害预警、救助体系；引导社会组织积极参与减灾救灾，构建政府主导、多元联动、协同配合、有序参与的防灾减灾新格局，增强自然灾害风险防治能力。</w:t>
      </w:r>
    </w:p>
    <w:p>
      <w:pPr>
        <w:numPr>
          <w:ilvl w:val="0"/>
          <w:numId w:val="6"/>
        </w:numPr>
        <w:spacing w:line="360" w:lineRule="auto"/>
        <w:ind w:firstLine="640" w:firstLineChars="200"/>
        <w:jc w:val="left"/>
        <w:outlineLvl w:val="1"/>
        <w:rPr>
          <w:rFonts w:ascii="仿宋" w:hAnsi="仿宋" w:eastAsia="仿宋" w:cs="仿宋"/>
          <w:sz w:val="32"/>
          <w:szCs w:val="32"/>
        </w:rPr>
      </w:pPr>
      <w:bookmarkStart w:id="12" w:name="_Toc6918"/>
      <w:r>
        <w:rPr>
          <w:rFonts w:hint="eastAsia" w:ascii="仿宋" w:hAnsi="仿宋" w:eastAsia="仿宋" w:cs="仿宋"/>
          <w:sz w:val="32"/>
          <w:szCs w:val="32"/>
        </w:rPr>
        <w:t>应急救援方面</w:t>
      </w:r>
      <w:bookmarkEnd w:id="12"/>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健全应急管理组织体系，加强应急指挥体系建设；完善应急预案体系并强化应急演练，推进应急救援队伍体系建设，不断增强应急实战能力；以地区智慧平台为依托，加快应急平台系统建设；推进应急避难场所建设，完善应急物资保障系统，推进应急物资建设和管理，加强信息发布和舆情引导。</w:t>
      </w:r>
    </w:p>
    <w:p>
      <w:pPr>
        <w:pageBreakBefore/>
        <w:numPr>
          <w:ilvl w:val="0"/>
          <w:numId w:val="1"/>
        </w:numPr>
        <w:spacing w:line="360" w:lineRule="auto"/>
        <w:ind w:firstLine="640"/>
        <w:jc w:val="left"/>
        <w:outlineLvl w:val="0"/>
        <w:rPr>
          <w:rFonts w:ascii="仿宋" w:hAnsi="仿宋" w:eastAsia="仿宋" w:cs="仿宋"/>
          <w:b/>
          <w:bCs/>
          <w:sz w:val="32"/>
          <w:szCs w:val="32"/>
        </w:rPr>
      </w:pPr>
      <w:bookmarkStart w:id="13" w:name="_Toc25150"/>
      <w:r>
        <w:rPr>
          <w:rFonts w:hint="eastAsia" w:ascii="仿宋" w:hAnsi="仿宋" w:eastAsia="仿宋" w:cs="仿宋"/>
          <w:b/>
          <w:bCs/>
          <w:sz w:val="32"/>
          <w:szCs w:val="32"/>
        </w:rPr>
        <w:t>“十四五”应急管理规划设计框架</w:t>
      </w:r>
      <w:bookmarkEnd w:id="13"/>
    </w:p>
    <w:p>
      <w:pPr>
        <w:numPr>
          <w:ilvl w:val="0"/>
          <w:numId w:val="7"/>
        </w:numPr>
        <w:spacing w:line="360" w:lineRule="auto"/>
        <w:ind w:firstLine="640" w:firstLineChars="200"/>
        <w:jc w:val="left"/>
        <w:outlineLvl w:val="1"/>
        <w:rPr>
          <w:rFonts w:ascii="仿宋" w:hAnsi="仿宋" w:eastAsia="仿宋" w:cs="仿宋"/>
          <w:sz w:val="32"/>
          <w:szCs w:val="32"/>
        </w:rPr>
      </w:pPr>
      <w:bookmarkStart w:id="14" w:name="_Toc7690"/>
      <w:r>
        <w:rPr>
          <w:rFonts w:hint="eastAsia" w:ascii="仿宋" w:hAnsi="仿宋" w:eastAsia="仿宋" w:cs="仿宋"/>
          <w:sz w:val="32"/>
          <w:szCs w:val="32"/>
        </w:rPr>
        <w:t>改革创新应急管理体制机制</w:t>
      </w:r>
      <w:bookmarkEnd w:id="14"/>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在风险社会的背景下，对于安全的需要是人民日益增长的美好生活需要的关键部分。新时代应急管理的创新发展要提升国家治理满足人民日益增长的安全需要的能力。在“综合应急管理”的框架之下，中国的应急管理正在从强调全灾害管理到重视全过程管理、从实现“全面覆盖”到追求“深入有效”、从强调综合性到重视专业化转变。这就需要以应急管理部为中心建立和完善多主体协同网络，降低多主体协同的难度，提升多主体协同的效率；重塑应急管理流程，从准备、预防、减缓、响应和恢复五个环节全面优化应急管理的运行机制。相比而言，体制创新的空间小，机制创新的空间大。在应急管理部成立之后，应急管理在体制创新上已经实现重大进展，下一步的工作则更有赖于机制创新，这亟待加强探索。为此，实务界和理论界需要加强合作，共同推动新时代国家应急管理事业的良性发展。</w:t>
      </w:r>
    </w:p>
    <w:p>
      <w:pPr>
        <w:numPr>
          <w:ilvl w:val="0"/>
          <w:numId w:val="7"/>
        </w:numPr>
        <w:spacing w:line="360" w:lineRule="auto"/>
        <w:ind w:firstLine="640" w:firstLineChars="200"/>
        <w:jc w:val="left"/>
        <w:outlineLvl w:val="1"/>
        <w:rPr>
          <w:rFonts w:ascii="仿宋" w:hAnsi="仿宋" w:eastAsia="仿宋" w:cs="仿宋"/>
          <w:sz w:val="32"/>
          <w:szCs w:val="32"/>
        </w:rPr>
      </w:pPr>
      <w:bookmarkStart w:id="15" w:name="_Toc25019"/>
      <w:r>
        <w:rPr>
          <w:rFonts w:hint="eastAsia" w:ascii="仿宋" w:hAnsi="仿宋" w:eastAsia="仿宋" w:cs="仿宋"/>
          <w:sz w:val="32"/>
          <w:szCs w:val="32"/>
        </w:rPr>
        <w:t>加快完善应急管理信息化建设</w:t>
      </w:r>
      <w:bookmarkEnd w:id="15"/>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为深入贯彻落实习近平总书记关于应急管理、安全生产和防灾减灾救灾系列重要讲话和指示批示精神，全面提升自然灾害防治、生产安全事故预防和应急管理能力，积极适应“全灾种”管理带来的挑战，顺应建立“大应急”体系的要求，源城区应急管理局按照“高、统、快、防、实”的工作标准，以“聚焦实战、服务实战”为理念，以信息化建设为抓手，持续不断整合原有分散的应急资源，包括防汛、森林防火、人防、地震及安全生产等监管系统的资源整合，打破过去部门各自为战的格局，以信息化建设为变革动力，加快应急各要素的体系流程再造，着力拓展区应急指挥中心的实战、实用工作，强化应急保障能力。</w:t>
      </w:r>
    </w:p>
    <w:p>
      <w:pPr>
        <w:numPr>
          <w:ilvl w:val="0"/>
          <w:numId w:val="7"/>
        </w:numPr>
        <w:spacing w:line="360" w:lineRule="auto"/>
        <w:ind w:firstLine="640" w:firstLineChars="200"/>
        <w:jc w:val="left"/>
        <w:outlineLvl w:val="1"/>
        <w:rPr>
          <w:rFonts w:ascii="仿宋" w:hAnsi="仿宋" w:eastAsia="仿宋" w:cs="仿宋"/>
          <w:sz w:val="32"/>
          <w:szCs w:val="32"/>
        </w:rPr>
      </w:pPr>
      <w:bookmarkStart w:id="16" w:name="_Toc28444"/>
      <w:r>
        <w:rPr>
          <w:rFonts w:hint="eastAsia" w:ascii="仿宋" w:hAnsi="仿宋" w:eastAsia="仿宋" w:cs="仿宋"/>
          <w:sz w:val="32"/>
          <w:szCs w:val="32"/>
        </w:rPr>
        <w:t>提高应急救援物资储备标准</w:t>
      </w:r>
      <w:bookmarkEnd w:id="16"/>
    </w:p>
    <w:p>
      <w:pPr>
        <w:pStyle w:val="2"/>
        <w:spacing w:line="360" w:lineRule="auto"/>
        <w:ind w:left="0" w:firstLine="640" w:firstLineChars="200"/>
      </w:pPr>
      <w:r>
        <w:rPr>
          <w:rFonts w:hint="eastAsia"/>
        </w:rPr>
        <w:t>近年来，特大灾害发生的纪律逐年上升，积极有效的做好灾后保障工作，特别是针对性地加强新时期应急抢险救援物资储备能力、保障能力和配备能力建设是实现高效救灾的重要保障，是当前和今后一个时期重点研究和解决的现实问题。目前，区应急管理局储备了一定量的各类应急救援抢险物资，但是还有许多不足，如管理制度不完善，应急储备物资管理不规范、制度不健全，出入库账目信息有待提高，没有专人管理；缺少相应的库房、车辆等。这些问题反映出了应急物资储备能力还比较薄弱，不能满足“大应急”、“全灾种”的工作要求。因此要把应急救援物资储备能力建设作为当前一项重要工作来抓，纳入日常工作检查范围，按照规模适中、设备先进、物资齐全、管理科学、储备规范的标准，建立健全</w:t>
      </w:r>
      <w:r>
        <w:rPr>
          <w:rFonts w:hint="eastAsia" w:ascii="仿宋" w:hAnsi="仿宋" w:eastAsia="仿宋" w:cs="仿宋"/>
        </w:rPr>
        <w:t>应急救援物资和储备仓库。</w:t>
      </w:r>
    </w:p>
    <w:p>
      <w:pPr>
        <w:numPr>
          <w:ilvl w:val="0"/>
          <w:numId w:val="7"/>
        </w:numPr>
        <w:spacing w:line="360" w:lineRule="auto"/>
        <w:ind w:firstLine="640" w:firstLineChars="200"/>
        <w:jc w:val="left"/>
        <w:outlineLvl w:val="1"/>
        <w:rPr>
          <w:rFonts w:ascii="仿宋" w:hAnsi="仿宋" w:eastAsia="仿宋" w:cs="仿宋"/>
          <w:sz w:val="32"/>
          <w:szCs w:val="32"/>
        </w:rPr>
      </w:pPr>
      <w:bookmarkStart w:id="17" w:name="_Toc17546"/>
      <w:r>
        <w:rPr>
          <w:rFonts w:hint="eastAsia" w:ascii="仿宋" w:hAnsi="仿宋" w:eastAsia="仿宋" w:cs="仿宋"/>
          <w:sz w:val="32"/>
          <w:szCs w:val="32"/>
        </w:rPr>
        <w:t>推进综合性救援队伍建设</w:t>
      </w:r>
      <w:bookmarkEnd w:id="17"/>
    </w:p>
    <w:p>
      <w:pPr>
        <w:pStyle w:val="2"/>
        <w:spacing w:line="360" w:lineRule="auto"/>
        <w:ind w:left="0" w:firstLine="640" w:firstLineChars="200"/>
      </w:pPr>
      <w:r>
        <w:rPr>
          <w:rFonts w:hint="eastAsia"/>
        </w:rPr>
        <w:t>习近平总书记在人民大会堂亲自为国家综合性消防救援队伍授旗并致训词，明确提出了对党忠诚、纪律严明、赴汤蹈火、竭诚为民“四句话方针”，指引这支全新的人民队伍举旗定向、踏上征程。在授旗仪式当天，应急管理部党组就召开专题电视电话会议，动员部署全系统深入学习宣传贯彻习近平总书记重要训词精神。我们将坚定不移地以习近平总书记重要训词精神为统领，始终坚持“四句话方针”不动摇、坚持纪律部队建设标准不动摇、坚持24小时驻勤备战运行模式不动摇、坚持走中国特色消防救援队伍建设新路子不动摇，努力建设全面过硬的应急救援主力军和国家队，救民于水火、助民于危难，以实际行动维护人民群众生命财产安全和社会稳定，当好党和人民的“守夜人”。</w:t>
      </w:r>
    </w:p>
    <w:p>
      <w:pPr>
        <w:numPr>
          <w:ilvl w:val="0"/>
          <w:numId w:val="7"/>
        </w:numPr>
        <w:spacing w:line="360" w:lineRule="auto"/>
        <w:ind w:firstLine="640" w:firstLineChars="200"/>
        <w:jc w:val="left"/>
        <w:outlineLvl w:val="1"/>
        <w:rPr>
          <w:rFonts w:ascii="仿宋" w:hAnsi="仿宋" w:eastAsia="仿宋" w:cs="仿宋"/>
          <w:sz w:val="32"/>
          <w:szCs w:val="32"/>
        </w:rPr>
      </w:pPr>
      <w:bookmarkStart w:id="18" w:name="_Toc30398"/>
      <w:r>
        <w:rPr>
          <w:rFonts w:hint="eastAsia" w:ascii="仿宋" w:hAnsi="仿宋" w:eastAsia="仿宋" w:cs="仿宋"/>
          <w:sz w:val="32"/>
          <w:szCs w:val="32"/>
        </w:rPr>
        <w:t>全面推进全国综合减灾示范社区</w:t>
      </w:r>
      <w:bookmarkEnd w:id="18"/>
    </w:p>
    <w:p>
      <w:pPr>
        <w:pStyle w:val="2"/>
        <w:spacing w:line="360" w:lineRule="auto"/>
        <w:ind w:left="0" w:firstLine="640" w:firstLineChars="200"/>
      </w:pPr>
      <w:r>
        <w:rPr>
          <w:rFonts w:hint="eastAsia"/>
        </w:rPr>
        <w:t>城乡社区是基层防灾减灾工作的中坚力量，为突破过去防灾减灾中行业分割、灾种分割等局限，实现从应对单一灾种向综合减灾转变，全国综合减灾示范社区创建管理工作将在国家减灾委员会的领导下，逐步建设完善组织管理、灾害风险评估、应急预案与演练、宣传教育培训、应急储备与避难场所、志愿者队伍建设、资金投入等基本要素，加强社区层面减灾资源和力量统筹，进一步做好城乡社区综合减灾工作，主动适应国家综合防灾减灾体制机制改革。</w:t>
      </w:r>
    </w:p>
    <w:p>
      <w:pPr>
        <w:pageBreakBefore/>
        <w:numPr>
          <w:ilvl w:val="0"/>
          <w:numId w:val="1"/>
        </w:numPr>
        <w:spacing w:line="360" w:lineRule="auto"/>
        <w:ind w:firstLine="640"/>
        <w:jc w:val="left"/>
        <w:outlineLvl w:val="0"/>
        <w:rPr>
          <w:rFonts w:ascii="仿宋" w:hAnsi="仿宋" w:eastAsia="仿宋" w:cs="仿宋"/>
          <w:b/>
          <w:bCs/>
          <w:sz w:val="32"/>
          <w:szCs w:val="32"/>
        </w:rPr>
      </w:pPr>
      <w:bookmarkStart w:id="19" w:name="_Toc1818"/>
      <w:r>
        <w:rPr>
          <w:rFonts w:hint="eastAsia" w:ascii="仿宋" w:hAnsi="仿宋" w:eastAsia="仿宋" w:cs="仿宋"/>
          <w:b/>
          <w:bCs/>
          <w:sz w:val="32"/>
          <w:szCs w:val="32"/>
        </w:rPr>
        <w:t>“十四五”时期规划重大工程项目</w:t>
      </w:r>
      <w:bookmarkEnd w:id="19"/>
    </w:p>
    <w:p>
      <w:pPr>
        <w:numPr>
          <w:ilvl w:val="0"/>
          <w:numId w:val="8"/>
        </w:numPr>
        <w:spacing w:line="360" w:lineRule="auto"/>
        <w:ind w:firstLine="640" w:firstLineChars="200"/>
        <w:jc w:val="left"/>
        <w:outlineLvl w:val="1"/>
        <w:rPr>
          <w:rFonts w:ascii="仿宋" w:hAnsi="仿宋" w:eastAsia="仿宋" w:cs="仿宋"/>
          <w:sz w:val="32"/>
          <w:szCs w:val="32"/>
        </w:rPr>
      </w:pPr>
      <w:bookmarkStart w:id="20" w:name="_Toc26060"/>
      <w:r>
        <w:rPr>
          <w:rFonts w:hint="eastAsia" w:ascii="仿宋" w:hAnsi="仿宋" w:eastAsia="仿宋" w:cs="仿宋"/>
          <w:sz w:val="32"/>
          <w:szCs w:val="32"/>
        </w:rPr>
        <w:t>应急救援物资储备仓库</w:t>
      </w:r>
      <w:bookmarkEnd w:id="20"/>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规划投资金额：600万</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建设内容：拟建设建筑面积800平方米以上的应急救援物资储备仓库，仓库具备智能化管理，储备我区三防、森防、人防、安全生产救援等应急救援重要装备物资，包括高科技防汛物资，用于水面防汛抢险冲锋舟、橡皮艇、遥控</w:t>
      </w:r>
      <w:r>
        <w:rPr>
          <w:rFonts w:hint="eastAsia" w:ascii="仿宋" w:hAnsi="仿宋" w:eastAsia="仿宋" w:cs="仿宋"/>
          <w:sz w:val="32"/>
          <w:szCs w:val="32"/>
          <w:lang w:eastAsia="zh-CN"/>
        </w:rPr>
        <w:t>智</w:t>
      </w:r>
      <w:bookmarkStart w:id="51" w:name="_GoBack"/>
      <w:bookmarkEnd w:id="51"/>
      <w:r>
        <w:rPr>
          <w:rFonts w:hint="eastAsia" w:ascii="仿宋" w:hAnsi="仿宋" w:eastAsia="仿宋" w:cs="仿宋"/>
          <w:sz w:val="32"/>
          <w:szCs w:val="32"/>
        </w:rPr>
        <w:t>能救生艇、便携打桩机、升降照明车、排水设备、无人机、智能应急救援装备等。</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建设地址：七礤水库或区人武部办公区域</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建设周期：2年</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资金渠道：财政资金</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目前进展：拟定正在筹划建设用地问题</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建设意义：对于增强灾害快速反应能力、提高灾害应急救助工作的整体水平，具有极其重要的意义。</w:t>
      </w:r>
    </w:p>
    <w:p>
      <w:pPr>
        <w:pStyle w:val="2"/>
        <w:spacing w:line="360" w:lineRule="auto"/>
        <w:jc w:val="center"/>
        <w:rPr>
          <w:rFonts w:eastAsia="宋体"/>
        </w:rPr>
      </w:pPr>
      <w:r>
        <w:rPr>
          <w:rFonts w:ascii="宋体" w:hAnsi="宋体" w:eastAsia="宋体" w:cs="宋体"/>
          <w:sz w:val="24"/>
          <w:szCs w:val="24"/>
        </w:rPr>
        <w:drawing>
          <wp:inline distT="0" distB="0" distL="114300" distR="114300">
            <wp:extent cx="38100" cy="7620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7"/>
                    <a:stretch>
                      <a:fillRect/>
                    </a:stretch>
                  </pic:blipFill>
                  <pic:spPr>
                    <a:xfrm>
                      <a:off x="0" y="0"/>
                      <a:ext cx="38100" cy="7620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38100" cy="76200"/>
            <wp:effectExtent l="0" t="0" r="0" b="0"/>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7"/>
                    <a:stretch>
                      <a:fillRect/>
                    </a:stretch>
                  </pic:blipFill>
                  <pic:spPr>
                    <a:xfrm>
                      <a:off x="0" y="0"/>
                      <a:ext cx="38100" cy="76200"/>
                    </a:xfrm>
                    <a:prstGeom prst="rect">
                      <a:avLst/>
                    </a:prstGeom>
                    <a:noFill/>
                    <a:ln w="9525">
                      <a:noFill/>
                    </a:ln>
                  </pic:spPr>
                </pic:pic>
              </a:graphicData>
            </a:graphic>
          </wp:inline>
        </w:drawing>
      </w:r>
      <w:r>
        <w:rPr>
          <w:rFonts w:hint="eastAsia" w:eastAsia="宋体"/>
        </w:rPr>
        <w:drawing>
          <wp:inline distT="0" distB="0" distL="114300" distR="114300">
            <wp:extent cx="4787265" cy="2237740"/>
            <wp:effectExtent l="0" t="0" r="13335" b="10160"/>
            <wp:docPr id="7" name="图片 7"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timg"/>
                    <pic:cNvPicPr>
                      <a:picLocks noChangeAspect="1"/>
                    </pic:cNvPicPr>
                  </pic:nvPicPr>
                  <pic:blipFill>
                    <a:blip r:embed="rId8"/>
                    <a:stretch>
                      <a:fillRect/>
                    </a:stretch>
                  </pic:blipFill>
                  <pic:spPr>
                    <a:xfrm>
                      <a:off x="0" y="0"/>
                      <a:ext cx="4787265" cy="2237740"/>
                    </a:xfrm>
                    <a:prstGeom prst="rect">
                      <a:avLst/>
                    </a:prstGeom>
                  </pic:spPr>
                </pic:pic>
              </a:graphicData>
            </a:graphic>
          </wp:inline>
        </w:drawing>
      </w:r>
    </w:p>
    <w:p>
      <w:pPr>
        <w:pStyle w:val="2"/>
        <w:spacing w:line="360" w:lineRule="auto"/>
        <w:jc w:val="center"/>
        <w:rPr>
          <w:rFonts w:eastAsia="宋体"/>
        </w:rPr>
      </w:pPr>
    </w:p>
    <w:p>
      <w:pPr>
        <w:numPr>
          <w:ilvl w:val="0"/>
          <w:numId w:val="8"/>
        </w:numPr>
        <w:spacing w:line="360" w:lineRule="auto"/>
        <w:ind w:firstLine="640" w:firstLineChars="200"/>
        <w:jc w:val="left"/>
        <w:outlineLvl w:val="1"/>
        <w:rPr>
          <w:rFonts w:ascii="仿宋" w:hAnsi="仿宋" w:eastAsia="仿宋" w:cs="仿宋"/>
          <w:sz w:val="32"/>
          <w:szCs w:val="32"/>
        </w:rPr>
      </w:pPr>
      <w:bookmarkStart w:id="21" w:name="_Toc19547"/>
      <w:r>
        <w:rPr>
          <w:rFonts w:hint="eastAsia" w:ascii="仿宋" w:hAnsi="仿宋" w:eastAsia="仿宋" w:cs="仿宋"/>
          <w:sz w:val="32"/>
          <w:szCs w:val="32"/>
        </w:rPr>
        <w:t>应急保障技术装备现代化工程</w:t>
      </w:r>
      <w:bookmarkEnd w:id="21"/>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规划投资金额：3800万</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建设内容：推进应急管理装备现代化，装备现代化应急处置与救援装备，包括大范围和负责灾害环节下的搜索、定位、救援，复杂环境下破拆装备工具、生命支撑装备，有害物质洗消、吸附、分解设备等全灾种应急救援装备。</w:t>
      </w:r>
    </w:p>
    <w:p>
      <w:pPr>
        <w:pStyle w:val="2"/>
        <w:spacing w:line="360" w:lineRule="auto"/>
        <w:ind w:left="0" w:firstLine="640" w:firstLineChars="200"/>
        <w:rPr>
          <w:rFonts w:ascii="仿宋" w:hAnsi="仿宋" w:eastAsia="仿宋" w:cs="仿宋"/>
        </w:rPr>
      </w:pPr>
      <w:r>
        <w:rPr>
          <w:rFonts w:hint="eastAsia" w:ascii="仿宋" w:hAnsi="仿宋" w:eastAsia="仿宋" w:cs="仿宋"/>
        </w:rPr>
        <w:t>建设地址：不涉及</w:t>
      </w:r>
    </w:p>
    <w:p>
      <w:pPr>
        <w:pStyle w:val="2"/>
        <w:spacing w:line="360" w:lineRule="auto"/>
        <w:ind w:left="0" w:firstLine="640" w:firstLineChars="200"/>
        <w:rPr>
          <w:rFonts w:ascii="仿宋" w:hAnsi="仿宋" w:eastAsia="仿宋" w:cs="仿宋"/>
        </w:rPr>
      </w:pPr>
      <w:r>
        <w:rPr>
          <w:rFonts w:hint="eastAsia" w:ascii="仿宋" w:hAnsi="仿宋" w:eastAsia="仿宋" w:cs="仿宋"/>
        </w:rPr>
        <w:t>建设周期：3年</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资金渠道：财政资金</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目前进展：按逐年储备，逐年增加的原则进行储备</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建设意义：先进的应急管理装备是高效、可靠实施突发事件预防与应急准备、监测预警、处置救援、预防防护等的重要基础和有效保障，部分关键应急技术装备是制约救援效率的重要因素，建设应急保障技术装备现代化工程，使公共安全保障的能力和突发事件应对的能力得到有效的提升。</w:t>
      </w:r>
    </w:p>
    <w:p>
      <w:pPr>
        <w:pStyle w:val="2"/>
      </w:pPr>
    </w:p>
    <w:p>
      <w:pPr>
        <w:numPr>
          <w:ilvl w:val="0"/>
          <w:numId w:val="8"/>
        </w:numPr>
        <w:spacing w:line="360" w:lineRule="auto"/>
        <w:ind w:firstLine="640" w:firstLineChars="200"/>
        <w:jc w:val="left"/>
        <w:outlineLvl w:val="1"/>
        <w:rPr>
          <w:rFonts w:ascii="仿宋" w:hAnsi="仿宋" w:eastAsia="仿宋" w:cs="仿宋"/>
          <w:sz w:val="32"/>
          <w:szCs w:val="32"/>
        </w:rPr>
      </w:pPr>
      <w:bookmarkStart w:id="22" w:name="_Toc15087"/>
      <w:r>
        <w:rPr>
          <w:rFonts w:hint="eastAsia" w:ascii="仿宋" w:hAnsi="仿宋" w:eastAsia="仿宋" w:cs="仿宋"/>
          <w:sz w:val="32"/>
          <w:szCs w:val="32"/>
        </w:rPr>
        <w:t>应急救援实训中心工程</w:t>
      </w:r>
      <w:bookmarkEnd w:id="22"/>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规划投资金额：2000万</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建设内容：拟建设占地面积20亩，建筑面积1000平方，集应急救援实训、应急技能培训考核于一体的综合平台。建立4个教学体验馆：包括自然灾害、消防安全、生产安全、应急救援等四个方面，融合声、光、电效果，综合运用实物展示、多媒体互动、视频等形式和技术，直观、全面的重现事故、灾害发生的场景，提升专业队伍培训教育效果。</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建设地址：待定</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建设周期：3年</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资金渠道：财政资金</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目前进展：拟定正在筹划建设用地问题</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建设意义：充分利用应急救援实训中心资源，对各级行政责任人领导和应急管理干部进行培训训练，提高领导干部熟悉法律法规、掌握运用预案、提高应急指挥决策能力，统筹推进应急管理工作；对安监系统应急管理人员、企业主管负责人进行专题应急管理培训，提高应急管理理论水平和应急管理能力；对企业选派的一线安全员进行应急安全培训，提高岗位应急能力，提高企业职工自救互救和事故初期应对能力。</w:t>
      </w:r>
    </w:p>
    <w:p>
      <w:pPr>
        <w:pStyle w:val="2"/>
        <w:jc w:val="center"/>
      </w:pPr>
      <w:r>
        <w:drawing>
          <wp:inline distT="0" distB="0" distL="114300" distR="114300">
            <wp:extent cx="2876550" cy="2225040"/>
            <wp:effectExtent l="0" t="0" r="0" b="381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2876550" cy="2225040"/>
                    </a:xfrm>
                    <a:prstGeom prst="rect">
                      <a:avLst/>
                    </a:prstGeom>
                    <a:noFill/>
                    <a:ln>
                      <a:noFill/>
                    </a:ln>
                  </pic:spPr>
                </pic:pic>
              </a:graphicData>
            </a:graphic>
          </wp:inline>
        </w:drawing>
      </w:r>
    </w:p>
    <w:p>
      <w:pPr>
        <w:pStyle w:val="2"/>
      </w:pPr>
    </w:p>
    <w:p>
      <w:pPr>
        <w:numPr>
          <w:ilvl w:val="0"/>
          <w:numId w:val="8"/>
        </w:numPr>
        <w:spacing w:line="360" w:lineRule="auto"/>
        <w:ind w:firstLine="640" w:firstLineChars="200"/>
        <w:jc w:val="left"/>
        <w:outlineLvl w:val="1"/>
        <w:rPr>
          <w:rFonts w:ascii="仿宋" w:hAnsi="仿宋" w:eastAsia="仿宋" w:cs="仿宋"/>
          <w:sz w:val="32"/>
          <w:szCs w:val="32"/>
        </w:rPr>
      </w:pPr>
      <w:bookmarkStart w:id="23" w:name="_Toc18909"/>
      <w:r>
        <w:rPr>
          <w:rFonts w:hint="eastAsia" w:ascii="仿宋" w:hAnsi="仿宋" w:eastAsia="仿宋" w:cs="仿宋"/>
          <w:sz w:val="32"/>
          <w:szCs w:val="32"/>
        </w:rPr>
        <w:t>推进全国综合救灾示范社区</w:t>
      </w:r>
      <w:bookmarkEnd w:id="23"/>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规划投资金额：3300万</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建设内容：推进全国综合减灾社区工作，完成基层应急预案与演练、指挥队伍、宣传教育培训、应急储备与避难场所、志愿者队伍建设，合计69个村居。</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建设地址：各村（社区）</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建设周期:5年</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资金渠道：财政资金</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目前进展：按年度计划任务实施</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建设意义：村（社区）是社会基本单元，居民是各种灾害最直接的相关者，在防灾减灾救灾中扮演着特色角色，发挥</w:t>
      </w:r>
      <w:r>
        <w:rPr>
          <w:rFonts w:hint="eastAsia" w:ascii="仿宋" w:hAnsi="仿宋" w:eastAsia="仿宋" w:cs="仿宋"/>
          <w:sz w:val="32"/>
          <w:szCs w:val="32"/>
          <w:lang w:val="en-US" w:eastAsia="zh-CN"/>
        </w:rPr>
        <w:t>着</w:t>
      </w:r>
      <w:r>
        <w:rPr>
          <w:rFonts w:hint="eastAsia" w:ascii="仿宋" w:hAnsi="仿宋" w:eastAsia="仿宋" w:cs="仿宋"/>
          <w:sz w:val="32"/>
          <w:szCs w:val="32"/>
        </w:rPr>
        <w:t>重要作用，建立具有抗灾能力的村（社区），有计划的提升居民的防灾减灾意识和自救互救技能，是减轻人员伤亡的重要手段之一。</w:t>
      </w:r>
    </w:p>
    <w:p>
      <w:pPr>
        <w:pStyle w:val="2"/>
      </w:pPr>
    </w:p>
    <w:p>
      <w:pPr>
        <w:numPr>
          <w:ilvl w:val="0"/>
          <w:numId w:val="8"/>
        </w:numPr>
        <w:spacing w:line="360" w:lineRule="auto"/>
        <w:ind w:firstLine="640" w:firstLineChars="200"/>
        <w:jc w:val="left"/>
        <w:outlineLvl w:val="1"/>
        <w:rPr>
          <w:rFonts w:ascii="仿宋" w:hAnsi="仿宋" w:eastAsia="仿宋" w:cs="仿宋"/>
          <w:sz w:val="32"/>
          <w:szCs w:val="32"/>
        </w:rPr>
      </w:pPr>
      <w:bookmarkStart w:id="24" w:name="_Toc2242"/>
      <w:r>
        <w:rPr>
          <w:rFonts w:hint="eastAsia" w:ascii="仿宋" w:hAnsi="仿宋" w:eastAsia="仿宋" w:cs="仿宋"/>
          <w:sz w:val="32"/>
          <w:szCs w:val="32"/>
        </w:rPr>
        <w:t>源城区应急指挥系统项目</w:t>
      </w:r>
      <w:bookmarkEnd w:id="24"/>
    </w:p>
    <w:p>
      <w:pPr>
        <w:pStyle w:val="2"/>
        <w:jc w:val="center"/>
      </w:pPr>
      <w:r>
        <w:drawing>
          <wp:inline distT="0" distB="0" distL="0" distR="0">
            <wp:extent cx="5278120" cy="2968625"/>
            <wp:effectExtent l="0" t="0" r="17780" b="3175"/>
            <wp:docPr id="1387" name="图片 5" descr="L3D206S3ENDIIS7QEAUI5N2GLUF3P3WO888_2560x1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 name="图片 5" descr="L3D206S3ENDIIS7QEAUI5N2GLUF3P3WO888_2560x1440.jpg"/>
                    <pic:cNvPicPr>
                      <a:picLocks noChangeAspect="1"/>
                    </pic:cNvPicPr>
                  </pic:nvPicPr>
                  <pic:blipFill>
                    <a:blip r:embed="rId10"/>
                    <a:stretch>
                      <a:fillRect/>
                    </a:stretch>
                  </pic:blipFill>
                  <pic:spPr>
                    <a:xfrm>
                      <a:off x="0" y="0"/>
                      <a:ext cx="5278120" cy="2968943"/>
                    </a:xfrm>
                    <a:prstGeom prst="rect">
                      <a:avLst/>
                    </a:prstGeom>
                  </pic:spPr>
                </pic:pic>
              </a:graphicData>
            </a:graphic>
          </wp:inline>
        </w:drawing>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规划投资金额：3400万</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建设内容：区级应急指挥系统包含指挥大厅、联合值班值守室、多功能会议室与领导决策室、安防监控系统、设备间；应急指挥视频调度系统建设，互联网+执法系统建设，应急数据构建与接入等，以及镇、村二级应急指挥体系，建设连通国家、省、市应急和7个镇街、68个村居和重点自然村的应急指挥体系，建立信息共享，资源共用，符合智慧城市的信息综合处理和展示中心。</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建设地址：区应急管理局、各镇及级村（居）</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建设周期：1年</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资金渠道：财政资金</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目前进展：目前已经完成指挥大厅的基本建设，完成投资约800万元，剩余2600万元建设内容已经优化设计方案并通过了市应急管理局的审查。</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建设意义：有效应对各类突发事件、提升应急处置能力的重要保障，有助于第一时间掌握灾情，迅速指挥处置抢险救灾工作。</w:t>
      </w:r>
    </w:p>
    <w:p>
      <w:pPr>
        <w:pageBreakBefore/>
        <w:numPr>
          <w:ilvl w:val="0"/>
          <w:numId w:val="1"/>
        </w:numPr>
        <w:spacing w:line="360" w:lineRule="auto"/>
        <w:ind w:firstLine="640"/>
        <w:jc w:val="left"/>
        <w:outlineLvl w:val="0"/>
        <w:rPr>
          <w:rFonts w:ascii="仿宋" w:hAnsi="仿宋" w:eastAsia="仿宋" w:cs="仿宋"/>
          <w:b/>
          <w:bCs/>
          <w:sz w:val="32"/>
          <w:szCs w:val="32"/>
        </w:rPr>
      </w:pPr>
      <w:bookmarkStart w:id="25" w:name="_Toc22007"/>
      <w:r>
        <w:rPr>
          <w:rFonts w:hint="eastAsia" w:ascii="仿宋" w:hAnsi="仿宋" w:eastAsia="仿宋" w:cs="仿宋"/>
          <w:b/>
          <w:bCs/>
          <w:sz w:val="32"/>
          <w:szCs w:val="32"/>
        </w:rPr>
        <w:t>“十四五”时期重大改革举措</w:t>
      </w:r>
      <w:bookmarkEnd w:id="25"/>
    </w:p>
    <w:p>
      <w:pPr>
        <w:numPr>
          <w:ilvl w:val="0"/>
          <w:numId w:val="9"/>
        </w:numPr>
        <w:spacing w:line="360" w:lineRule="auto"/>
        <w:ind w:left="638" w:leftChars="304"/>
        <w:jc w:val="left"/>
        <w:outlineLvl w:val="0"/>
        <w:rPr>
          <w:rFonts w:ascii="仿宋" w:hAnsi="仿宋" w:eastAsia="仿宋" w:cs="仿宋"/>
          <w:sz w:val="32"/>
          <w:szCs w:val="32"/>
        </w:rPr>
      </w:pPr>
      <w:bookmarkStart w:id="26" w:name="_Toc10715"/>
      <w:r>
        <w:rPr>
          <w:rFonts w:hint="eastAsia" w:ascii="仿宋" w:hAnsi="仿宋" w:eastAsia="仿宋" w:cs="仿宋"/>
          <w:sz w:val="32"/>
          <w:szCs w:val="32"/>
        </w:rPr>
        <w:t>完善三防体系建设</w:t>
      </w:r>
      <w:bookmarkEnd w:id="26"/>
    </w:p>
    <w:p>
      <w:pPr>
        <w:spacing w:line="360" w:lineRule="auto"/>
        <w:ind w:firstLine="640" w:firstLineChars="200"/>
        <w:jc w:val="left"/>
        <w:outlineLvl w:val="1"/>
        <w:rPr>
          <w:rFonts w:ascii="仿宋" w:hAnsi="仿宋" w:eastAsia="仿宋" w:cs="仿宋"/>
          <w:sz w:val="32"/>
          <w:szCs w:val="32"/>
        </w:rPr>
      </w:pPr>
      <w:bookmarkStart w:id="27" w:name="_Toc12313"/>
      <w:r>
        <w:rPr>
          <w:rFonts w:hint="eastAsia" w:ascii="仿宋" w:hAnsi="仿宋" w:eastAsia="仿宋" w:cs="仿宋"/>
          <w:sz w:val="32"/>
          <w:szCs w:val="32"/>
        </w:rPr>
        <w:t>1、不断完善三防应急预案体系</w:t>
      </w:r>
      <w:bookmarkEnd w:id="27"/>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系统构建三防相关行业领域的应急预案体系，健全完善行业主管部门和重点企事业单位的应急预案；完善极端天气情况下应急预案体系，明确不同级别应急响应下三防指挥、排险除险、专家支撑等具体工作要求；完善应急响应启动机制。</w:t>
      </w:r>
    </w:p>
    <w:p>
      <w:pPr>
        <w:spacing w:line="360" w:lineRule="auto"/>
        <w:ind w:firstLine="640" w:firstLineChars="200"/>
        <w:jc w:val="left"/>
        <w:outlineLvl w:val="1"/>
        <w:rPr>
          <w:rFonts w:ascii="仿宋" w:hAnsi="仿宋" w:eastAsia="仿宋" w:cs="仿宋"/>
          <w:sz w:val="32"/>
          <w:szCs w:val="32"/>
        </w:rPr>
      </w:pPr>
      <w:bookmarkStart w:id="28" w:name="_Toc14932"/>
      <w:r>
        <w:rPr>
          <w:rFonts w:hint="eastAsia" w:ascii="仿宋" w:hAnsi="仿宋" w:eastAsia="仿宋" w:cs="仿宋"/>
          <w:sz w:val="32"/>
          <w:szCs w:val="32"/>
        </w:rPr>
        <w:t>2、完善灾害威胁区域人员转移安置工作指引</w:t>
      </w:r>
      <w:bookmarkEnd w:id="28"/>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制定灾害威胁区域人员的转移安置指引，明确避险转移路线、转移方式和时间要求，固化避险救助渠道、转移安置方式、工作流程，优化应急响应各个环节和流程。</w:t>
      </w:r>
    </w:p>
    <w:p>
      <w:pPr>
        <w:spacing w:line="360" w:lineRule="auto"/>
        <w:ind w:firstLine="640" w:firstLineChars="200"/>
        <w:jc w:val="left"/>
        <w:outlineLvl w:val="1"/>
        <w:rPr>
          <w:rFonts w:ascii="仿宋" w:hAnsi="仿宋" w:eastAsia="仿宋" w:cs="仿宋"/>
          <w:sz w:val="32"/>
          <w:szCs w:val="32"/>
        </w:rPr>
      </w:pPr>
      <w:bookmarkStart w:id="29" w:name="_Toc7346"/>
      <w:r>
        <w:rPr>
          <w:rFonts w:hint="eastAsia" w:ascii="仿宋" w:hAnsi="仿宋" w:eastAsia="仿宋" w:cs="仿宋"/>
          <w:sz w:val="32"/>
          <w:szCs w:val="32"/>
        </w:rPr>
        <w:t>3、编制各行业台风暴雨灾害应急救援操作手册</w:t>
      </w:r>
      <w:bookmarkEnd w:id="29"/>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依据《台风暴雨灾害防御应急响应操作指令》和有关文件要求，结合各行业领域台风灾害损失统计数据、风险评估成果和相关应急预案，编制符合行业领域特点的台风暴雨灾害应急救援操作手册。</w:t>
      </w:r>
    </w:p>
    <w:p>
      <w:pPr>
        <w:spacing w:line="360" w:lineRule="auto"/>
        <w:ind w:firstLine="640" w:firstLineChars="200"/>
        <w:jc w:val="left"/>
        <w:outlineLvl w:val="1"/>
        <w:rPr>
          <w:rFonts w:ascii="仿宋" w:hAnsi="仿宋" w:eastAsia="仿宋" w:cs="仿宋"/>
          <w:sz w:val="32"/>
          <w:szCs w:val="32"/>
        </w:rPr>
      </w:pPr>
      <w:bookmarkStart w:id="30" w:name="_Toc10904"/>
      <w:r>
        <w:rPr>
          <w:rFonts w:hint="eastAsia" w:ascii="仿宋" w:hAnsi="仿宋" w:eastAsia="仿宋" w:cs="仿宋"/>
          <w:sz w:val="32"/>
          <w:szCs w:val="32"/>
        </w:rPr>
        <w:t>4、完善基于水利工程险情情景构建的应急救援处置指南</w:t>
      </w:r>
      <w:bookmarkEnd w:id="30"/>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梳理水库险情、河岸险情应急救援处置任务，完善应急救援程序和保障措施，编制水库险情、河岸险情应急救援处置技术操作指南；制作水库险情、河岸险情应急救援处置宣传培训视频。</w:t>
      </w:r>
    </w:p>
    <w:p>
      <w:pPr>
        <w:spacing w:line="360" w:lineRule="auto"/>
        <w:ind w:firstLine="640" w:firstLineChars="200"/>
        <w:jc w:val="left"/>
        <w:outlineLvl w:val="1"/>
        <w:rPr>
          <w:rFonts w:ascii="仿宋" w:hAnsi="仿宋" w:eastAsia="仿宋" w:cs="仿宋"/>
          <w:sz w:val="32"/>
          <w:szCs w:val="32"/>
        </w:rPr>
      </w:pPr>
      <w:bookmarkStart w:id="31" w:name="_Toc31064"/>
      <w:r>
        <w:rPr>
          <w:rFonts w:hint="eastAsia" w:ascii="仿宋" w:hAnsi="仿宋" w:eastAsia="仿宋" w:cs="仿宋"/>
          <w:sz w:val="32"/>
          <w:szCs w:val="32"/>
        </w:rPr>
        <w:t>5、提升城市防洪、排涝能力</w:t>
      </w:r>
      <w:bookmarkEnd w:id="31"/>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根据住建部门、城管部门的发展规划，开展易涝风险区整治、河道综合整治、排涝泵站等防洪、排涝能力提升等建设项目。</w:t>
      </w:r>
    </w:p>
    <w:p>
      <w:pPr>
        <w:spacing w:line="360" w:lineRule="auto"/>
        <w:ind w:firstLine="640" w:firstLineChars="200"/>
        <w:jc w:val="left"/>
        <w:outlineLvl w:val="1"/>
        <w:rPr>
          <w:rFonts w:ascii="仿宋" w:hAnsi="仿宋" w:eastAsia="仿宋" w:cs="仿宋"/>
          <w:sz w:val="32"/>
          <w:szCs w:val="32"/>
        </w:rPr>
      </w:pPr>
      <w:bookmarkStart w:id="32" w:name="_Toc7536"/>
      <w:r>
        <w:rPr>
          <w:rFonts w:hint="eastAsia" w:ascii="仿宋" w:hAnsi="仿宋" w:eastAsia="仿宋" w:cs="仿宋"/>
          <w:sz w:val="32"/>
          <w:szCs w:val="32"/>
        </w:rPr>
        <w:t>6、提升极端天气情况下应急通信保障能力</w:t>
      </w:r>
      <w:bookmarkEnd w:id="32"/>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研究制定区级层面应急通信保障专项预案，完善通信设备设施保障，建设极端天气情况下应急指挥预警通信系统。</w:t>
      </w:r>
    </w:p>
    <w:p>
      <w:pPr>
        <w:spacing w:line="360" w:lineRule="auto"/>
        <w:ind w:firstLine="640" w:firstLineChars="200"/>
        <w:jc w:val="left"/>
        <w:outlineLvl w:val="1"/>
        <w:rPr>
          <w:rFonts w:ascii="仿宋" w:hAnsi="仿宋" w:eastAsia="仿宋" w:cs="仿宋"/>
          <w:sz w:val="32"/>
          <w:szCs w:val="32"/>
        </w:rPr>
      </w:pPr>
      <w:bookmarkStart w:id="33" w:name="_Toc21263"/>
      <w:r>
        <w:rPr>
          <w:rFonts w:hint="eastAsia" w:ascii="仿宋" w:hAnsi="仿宋" w:eastAsia="仿宋" w:cs="仿宋"/>
          <w:sz w:val="32"/>
          <w:szCs w:val="32"/>
        </w:rPr>
        <w:t>7、强化抢险救灾应急物资保障能力</w:t>
      </w:r>
      <w:bookmarkEnd w:id="33"/>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加快开展应急物资储备仓库规划、选址和建设；完善商业应急储备物资机制，建立与不同领域、各商贸企业的物资保障应急联动机制；探索建立快捷高效的物资调拨调运模式，形成布局合理、点面结合的应急物资保障体系。</w:t>
      </w:r>
    </w:p>
    <w:p>
      <w:pPr>
        <w:spacing w:line="360" w:lineRule="auto"/>
        <w:ind w:firstLine="640" w:firstLineChars="200"/>
        <w:jc w:val="left"/>
        <w:outlineLvl w:val="1"/>
        <w:rPr>
          <w:rFonts w:ascii="仿宋" w:hAnsi="仿宋" w:eastAsia="仿宋" w:cs="仿宋"/>
          <w:sz w:val="32"/>
          <w:szCs w:val="32"/>
        </w:rPr>
      </w:pPr>
      <w:bookmarkStart w:id="34" w:name="_Toc5034"/>
      <w:r>
        <w:rPr>
          <w:rFonts w:hint="eastAsia" w:ascii="仿宋" w:hAnsi="仿宋" w:eastAsia="仿宋" w:cs="仿宋"/>
          <w:sz w:val="32"/>
          <w:szCs w:val="32"/>
        </w:rPr>
        <w:t>8、加快推进新一代应急指挥平台建设</w:t>
      </w:r>
      <w:bookmarkEnd w:id="34"/>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融合原应急办、安监、三防、森林防火、防灾减灾救灾等应急指挥平台功能，建立集统一指挥、快速响应、信息共享、可视化管理于一体的智慧应急指挥平台。</w:t>
      </w:r>
    </w:p>
    <w:p>
      <w:pPr>
        <w:spacing w:line="360" w:lineRule="auto"/>
        <w:ind w:firstLine="640" w:firstLineChars="200"/>
        <w:jc w:val="left"/>
        <w:outlineLvl w:val="1"/>
        <w:rPr>
          <w:rFonts w:ascii="仿宋" w:hAnsi="仿宋" w:eastAsia="仿宋" w:cs="仿宋"/>
          <w:sz w:val="32"/>
          <w:szCs w:val="32"/>
        </w:rPr>
      </w:pPr>
      <w:bookmarkStart w:id="35" w:name="_Toc6113"/>
      <w:r>
        <w:rPr>
          <w:rFonts w:hint="eastAsia" w:ascii="仿宋" w:hAnsi="仿宋" w:eastAsia="仿宋" w:cs="仿宋"/>
          <w:sz w:val="32"/>
          <w:szCs w:val="32"/>
        </w:rPr>
        <w:t>9、建设预警及应急广播系统</w:t>
      </w:r>
      <w:bookmarkEnd w:id="35"/>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加快建设预警及应急广播系统，通过多种渠道、多种方式播发应急信息，实现应急信息分类型、分级别、分区域、分人群的有效传播</w:t>
      </w:r>
    </w:p>
    <w:p>
      <w:pPr>
        <w:spacing w:line="360" w:lineRule="auto"/>
        <w:ind w:firstLine="640" w:firstLineChars="200"/>
        <w:jc w:val="left"/>
        <w:outlineLvl w:val="1"/>
        <w:rPr>
          <w:rFonts w:ascii="仿宋" w:hAnsi="仿宋" w:eastAsia="仿宋" w:cs="仿宋"/>
          <w:sz w:val="32"/>
          <w:szCs w:val="32"/>
        </w:rPr>
      </w:pPr>
      <w:bookmarkStart w:id="36" w:name="_Toc14803"/>
      <w:r>
        <w:rPr>
          <w:rFonts w:hint="eastAsia" w:ascii="仿宋" w:hAnsi="仿宋" w:eastAsia="仿宋" w:cs="仿宋"/>
          <w:sz w:val="32"/>
          <w:szCs w:val="32"/>
        </w:rPr>
        <w:t>10、内涝积水点监测及标识系统建设</w:t>
      </w:r>
      <w:bookmarkEnd w:id="36"/>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识别区域重要管网及易涝常涝区域，增设积水监测设备（包括道路积水监测和管网监测），提前防范、及时预警、有效处置。</w:t>
      </w:r>
    </w:p>
    <w:p>
      <w:pPr>
        <w:spacing w:line="360" w:lineRule="auto"/>
        <w:ind w:firstLine="640" w:firstLineChars="200"/>
        <w:jc w:val="left"/>
        <w:outlineLvl w:val="1"/>
        <w:rPr>
          <w:rFonts w:ascii="仿宋" w:hAnsi="仿宋" w:eastAsia="仿宋" w:cs="仿宋"/>
          <w:sz w:val="32"/>
          <w:szCs w:val="32"/>
        </w:rPr>
      </w:pPr>
      <w:bookmarkStart w:id="37" w:name="_Toc1577"/>
      <w:r>
        <w:rPr>
          <w:rFonts w:hint="eastAsia" w:ascii="仿宋" w:hAnsi="仿宋" w:eastAsia="仿宋" w:cs="仿宋"/>
          <w:sz w:val="32"/>
          <w:szCs w:val="32"/>
        </w:rPr>
        <w:t>11、完善水文、气象等监测预警</w:t>
      </w:r>
      <w:bookmarkEnd w:id="37"/>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结合水务部门，补充建设水库、河道水文监测站点；加快镇、街道落地气象水文数据查看系统，提高监测预警能力。</w:t>
      </w:r>
    </w:p>
    <w:p>
      <w:pPr>
        <w:spacing w:line="360" w:lineRule="auto"/>
        <w:ind w:firstLine="640" w:firstLineChars="200"/>
        <w:jc w:val="left"/>
        <w:outlineLvl w:val="1"/>
        <w:rPr>
          <w:rFonts w:ascii="仿宋" w:hAnsi="仿宋" w:eastAsia="仿宋" w:cs="仿宋"/>
          <w:sz w:val="32"/>
          <w:szCs w:val="32"/>
        </w:rPr>
      </w:pPr>
      <w:bookmarkStart w:id="38" w:name="_Toc4309"/>
      <w:r>
        <w:rPr>
          <w:rFonts w:hint="eastAsia" w:ascii="仿宋" w:hAnsi="仿宋" w:eastAsia="仿宋" w:cs="仿宋"/>
          <w:sz w:val="32"/>
          <w:szCs w:val="32"/>
        </w:rPr>
        <w:t>12、提升水库水源工程应对极端天气能力</w:t>
      </w:r>
      <w:bookmarkEnd w:id="38"/>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研究制定水库工程、水源工程应对极端天气工作和措施指引；开展水库水源工程应对极端天气的设施和管理能力提升工作。</w:t>
      </w:r>
    </w:p>
    <w:p>
      <w:pPr>
        <w:spacing w:line="360" w:lineRule="auto"/>
        <w:ind w:firstLine="640" w:firstLineChars="200"/>
        <w:jc w:val="left"/>
        <w:outlineLvl w:val="1"/>
        <w:rPr>
          <w:rFonts w:ascii="仿宋" w:hAnsi="仿宋" w:eastAsia="仿宋" w:cs="仿宋"/>
          <w:sz w:val="32"/>
          <w:szCs w:val="32"/>
        </w:rPr>
      </w:pPr>
      <w:bookmarkStart w:id="39" w:name="_Toc20282"/>
      <w:r>
        <w:rPr>
          <w:rFonts w:hint="eastAsia" w:ascii="仿宋" w:hAnsi="仿宋" w:eastAsia="仿宋" w:cs="仿宋"/>
          <w:sz w:val="32"/>
          <w:szCs w:val="32"/>
        </w:rPr>
        <w:t>13、提升台风暴雨灾害风险评估和灾害预判能力</w:t>
      </w:r>
      <w:bookmarkEnd w:id="39"/>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组织编制台风、暴雨和洪涝灾害风险图，划定风险范围和风险等级，整合各类实时监测信息，为应急抢险、转移安置和指挥调度提供科学的研判依据。</w:t>
      </w:r>
    </w:p>
    <w:p>
      <w:pPr>
        <w:numPr>
          <w:ilvl w:val="0"/>
          <w:numId w:val="9"/>
        </w:numPr>
        <w:spacing w:line="360" w:lineRule="auto"/>
        <w:ind w:left="638" w:leftChars="304"/>
        <w:jc w:val="left"/>
        <w:outlineLvl w:val="0"/>
        <w:rPr>
          <w:rFonts w:ascii="仿宋" w:hAnsi="仿宋" w:eastAsia="仿宋" w:cs="仿宋"/>
          <w:sz w:val="32"/>
          <w:szCs w:val="32"/>
        </w:rPr>
      </w:pPr>
      <w:bookmarkStart w:id="40" w:name="_Toc12412"/>
      <w:r>
        <w:rPr>
          <w:rFonts w:hint="eastAsia" w:ascii="仿宋" w:hAnsi="仿宋" w:eastAsia="仿宋" w:cs="仿宋"/>
          <w:sz w:val="32"/>
          <w:szCs w:val="32"/>
        </w:rPr>
        <w:t>应急指挥平台系统建设</w:t>
      </w:r>
      <w:bookmarkEnd w:id="40"/>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以地区智慧平台为依托，加快推荐应急指挥平台系统建设，推进应急指挥技术支撑系统相关技术的发展和应用，进一步完善区应急指挥平台和各专项应急指挥部应急指挥平台功能，提高指挥系统的先进性、实用性和安全性；进一步整合各层级、各有关单位的应急资源，建立完善应急救援队伍、应急物资储备、应急避难场所、应急装备和设备、风险源信息等基础数据库。结合公共安全监管的实际需求，充分利用互联网+、物联网、云计算和 5G 信息技术等先进科技手段，推进城市安全和应急管理领域物联网应用建设，建立地区应急系统物联网应用体系，全面提升区应急指挥技术支撑系统的科技含量和智能化水平。</w:t>
      </w:r>
    </w:p>
    <w:p>
      <w:pPr>
        <w:numPr>
          <w:ilvl w:val="0"/>
          <w:numId w:val="10"/>
        </w:numPr>
        <w:spacing w:line="360" w:lineRule="auto"/>
        <w:ind w:firstLine="640" w:firstLineChars="200"/>
        <w:jc w:val="left"/>
        <w:outlineLvl w:val="1"/>
        <w:rPr>
          <w:rFonts w:ascii="仿宋" w:hAnsi="仿宋" w:eastAsia="仿宋" w:cs="仿宋"/>
          <w:sz w:val="32"/>
          <w:szCs w:val="32"/>
        </w:rPr>
      </w:pPr>
      <w:bookmarkStart w:id="41" w:name="_Toc20561"/>
      <w:r>
        <w:rPr>
          <w:rFonts w:hint="eastAsia" w:ascii="仿宋" w:hAnsi="仿宋" w:eastAsia="仿宋" w:cs="仿宋"/>
          <w:sz w:val="32"/>
          <w:szCs w:val="32"/>
        </w:rPr>
        <w:t>充分用好大数据</w:t>
      </w:r>
      <w:bookmarkEnd w:id="41"/>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依托应急指挥系统项目，用好用足区政务数据管理局共享数据中心的大数据，开发建设信息系统联合展示平台，以系统整合促进业务融合。</w:t>
      </w:r>
    </w:p>
    <w:p>
      <w:pPr>
        <w:numPr>
          <w:ilvl w:val="0"/>
          <w:numId w:val="10"/>
        </w:numPr>
        <w:spacing w:line="360" w:lineRule="auto"/>
        <w:ind w:firstLine="640" w:firstLineChars="200"/>
        <w:jc w:val="left"/>
        <w:outlineLvl w:val="1"/>
        <w:rPr>
          <w:rFonts w:ascii="仿宋" w:hAnsi="仿宋" w:eastAsia="仿宋" w:cs="仿宋"/>
          <w:sz w:val="32"/>
          <w:szCs w:val="32"/>
        </w:rPr>
      </w:pPr>
      <w:bookmarkStart w:id="42" w:name="_Toc6960"/>
      <w:r>
        <w:rPr>
          <w:rFonts w:hint="eastAsia" w:ascii="仿宋" w:hAnsi="仿宋" w:eastAsia="仿宋" w:cs="仿宋"/>
          <w:sz w:val="32"/>
          <w:szCs w:val="32"/>
        </w:rPr>
        <w:t>建立智慧化应急指挥平台</w:t>
      </w:r>
      <w:bookmarkEnd w:id="42"/>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融合原应急办、安监、三防、森林防火、防灾减灾救灾等应急指挥平台功能，升级建设集统一指挥、快速响应、信息共享、可视化管理于一体的智慧应急指挥平台。</w:t>
      </w:r>
    </w:p>
    <w:p>
      <w:pPr>
        <w:numPr>
          <w:ilvl w:val="0"/>
          <w:numId w:val="10"/>
        </w:numPr>
        <w:spacing w:line="360" w:lineRule="auto"/>
        <w:ind w:firstLine="640" w:firstLineChars="200"/>
        <w:jc w:val="left"/>
        <w:outlineLvl w:val="1"/>
        <w:rPr>
          <w:rFonts w:ascii="仿宋" w:hAnsi="仿宋" w:eastAsia="仿宋" w:cs="仿宋"/>
          <w:sz w:val="32"/>
          <w:szCs w:val="32"/>
        </w:rPr>
      </w:pPr>
      <w:bookmarkStart w:id="43" w:name="_Toc7148"/>
      <w:r>
        <w:rPr>
          <w:rFonts w:hint="eastAsia" w:ascii="仿宋" w:hAnsi="仿宋" w:eastAsia="仿宋" w:cs="仿宋"/>
          <w:sz w:val="32"/>
          <w:szCs w:val="32"/>
        </w:rPr>
        <w:t>完善安全生产信息化系统</w:t>
      </w:r>
      <w:bookmarkEnd w:id="43"/>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优化完善安全生产综合信息系统，深入推广网格化二维码监管应用系统，改进隐患排查、执法检查模块功能，实现隐患排查、执法检查全流程、规范化网上办理，不断提升监管效率。督促企业推广应用隐患自查移动终端， 引导企业和网格人员通过手机、平板等移动终端开展隐患排查治理工作，实现隐患排查治理质量、数量、效率“三提升”；建设危化品行业及其他工矿商贸企业的风险分级管控和隐患排查系统，实现危险化学品、行业、区域安全生产风险评估和分级管控。</w:t>
      </w:r>
    </w:p>
    <w:p>
      <w:pPr>
        <w:numPr>
          <w:ilvl w:val="0"/>
          <w:numId w:val="10"/>
        </w:numPr>
        <w:spacing w:line="360" w:lineRule="auto"/>
        <w:ind w:firstLine="640" w:firstLineChars="200"/>
        <w:jc w:val="left"/>
        <w:outlineLvl w:val="1"/>
        <w:rPr>
          <w:rFonts w:ascii="仿宋" w:hAnsi="仿宋" w:eastAsia="仿宋" w:cs="仿宋"/>
          <w:sz w:val="32"/>
          <w:szCs w:val="32"/>
        </w:rPr>
      </w:pPr>
      <w:bookmarkStart w:id="44" w:name="_Toc5217"/>
      <w:r>
        <w:rPr>
          <w:rFonts w:hint="eastAsia" w:ascii="仿宋" w:hAnsi="仿宋" w:eastAsia="仿宋" w:cs="仿宋"/>
          <w:sz w:val="32"/>
          <w:szCs w:val="32"/>
        </w:rPr>
        <w:t>融合“森林防火”信息化平台建设</w:t>
      </w:r>
      <w:bookmarkEnd w:id="44"/>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积极配合建设市区两级监测信息共享机制，实现态势感知全域化、辅助决策智能化、指挥控制科学化；推进森林防火通讯指挥系统更新升级工作，积极推动森林防火专用无人机巡查监控系统建设，增强森林火灾“空、地、人”一体化监测预警和应急响应能力，提升森林防火智能化水平。</w:t>
      </w:r>
    </w:p>
    <w:p>
      <w:pPr>
        <w:pageBreakBefore/>
        <w:numPr>
          <w:ilvl w:val="0"/>
          <w:numId w:val="1"/>
        </w:numPr>
        <w:spacing w:line="360" w:lineRule="auto"/>
        <w:ind w:firstLine="640"/>
        <w:jc w:val="left"/>
        <w:outlineLvl w:val="0"/>
        <w:rPr>
          <w:rFonts w:ascii="仿宋" w:hAnsi="仿宋" w:eastAsia="仿宋" w:cs="仿宋"/>
          <w:b/>
          <w:bCs/>
          <w:sz w:val="32"/>
          <w:szCs w:val="32"/>
        </w:rPr>
      </w:pPr>
      <w:bookmarkStart w:id="45" w:name="_Toc7929"/>
      <w:r>
        <w:rPr>
          <w:rFonts w:hint="eastAsia" w:ascii="仿宋" w:hAnsi="仿宋" w:eastAsia="仿宋" w:cs="仿宋"/>
          <w:b/>
          <w:bCs/>
          <w:sz w:val="32"/>
          <w:szCs w:val="32"/>
        </w:rPr>
        <w:t>保障措施</w:t>
      </w:r>
      <w:bookmarkEnd w:id="45"/>
    </w:p>
    <w:p>
      <w:pPr>
        <w:numPr>
          <w:ilvl w:val="0"/>
          <w:numId w:val="11"/>
        </w:numPr>
        <w:spacing w:line="360" w:lineRule="auto"/>
        <w:outlineLvl w:val="1"/>
        <w:rPr>
          <w:rFonts w:ascii="仿宋" w:hAnsi="仿宋" w:eastAsia="仿宋" w:cs="仿宋"/>
          <w:sz w:val="32"/>
          <w:szCs w:val="32"/>
        </w:rPr>
      </w:pPr>
      <w:bookmarkStart w:id="46" w:name="_Toc14203"/>
      <w:r>
        <w:rPr>
          <w:rFonts w:hint="eastAsia" w:ascii="仿宋" w:hAnsi="仿宋" w:eastAsia="仿宋" w:cs="仿宋"/>
          <w:sz w:val="32"/>
          <w:szCs w:val="32"/>
        </w:rPr>
        <w:t>加强组织领导</w:t>
      </w:r>
      <w:bookmarkEnd w:id="46"/>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各部门要充分发挥规划引领作用，切实加强组织领导，认真履行职责，积极推进规划目标、任务落实。完善配套政策措施，促进重要项目、重点工程顺利实施，尽快落地见效。有关部门要各司其职，密切协作配合，形成工作合力，同时加强对地方工作的指导和支持，推动落实好《规划》各项任务。</w:t>
      </w:r>
    </w:p>
    <w:p>
      <w:pPr>
        <w:numPr>
          <w:ilvl w:val="0"/>
          <w:numId w:val="11"/>
        </w:numPr>
        <w:spacing w:line="360" w:lineRule="auto"/>
        <w:outlineLvl w:val="1"/>
        <w:rPr>
          <w:rFonts w:ascii="仿宋" w:hAnsi="仿宋" w:eastAsia="仿宋" w:cs="仿宋"/>
          <w:sz w:val="32"/>
          <w:szCs w:val="32"/>
        </w:rPr>
      </w:pPr>
      <w:bookmarkStart w:id="47" w:name="_Toc18566"/>
      <w:r>
        <w:rPr>
          <w:rFonts w:hint="eastAsia" w:ascii="仿宋" w:hAnsi="仿宋" w:eastAsia="仿宋" w:cs="仿宋"/>
          <w:sz w:val="32"/>
          <w:szCs w:val="32"/>
        </w:rPr>
        <w:t>落实目标责任</w:t>
      </w:r>
      <w:bookmarkEnd w:id="47"/>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各部门根据“十四五”应急管理改革发展总体部署和要求，结合实际，把《规划》确定的主要目标、重点任务、重大举措进一步细化，明确分工，精心组织，加强协调，强化政策支撑，增强要素保障，切实做好组织实施工作，及时研究解决问题。</w:t>
      </w:r>
    </w:p>
    <w:p>
      <w:pPr>
        <w:numPr>
          <w:ilvl w:val="0"/>
          <w:numId w:val="11"/>
        </w:numPr>
        <w:spacing w:line="360" w:lineRule="auto"/>
        <w:outlineLvl w:val="1"/>
        <w:rPr>
          <w:rFonts w:ascii="仿宋" w:hAnsi="仿宋" w:eastAsia="仿宋" w:cs="仿宋"/>
          <w:sz w:val="32"/>
          <w:szCs w:val="32"/>
        </w:rPr>
      </w:pPr>
      <w:bookmarkStart w:id="48" w:name="_Toc15200"/>
      <w:r>
        <w:rPr>
          <w:rFonts w:hint="eastAsia" w:ascii="仿宋" w:hAnsi="仿宋" w:eastAsia="仿宋" w:cs="仿宋"/>
          <w:sz w:val="32"/>
          <w:szCs w:val="32"/>
        </w:rPr>
        <w:t>深化前期工作</w:t>
      </w:r>
      <w:bookmarkEnd w:id="48"/>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规划》所列项目，是“十四五”期间选择建设项目的控制范围和审批、核准项目建设的前提条件，不是必须完成的约束性任务。要认真履行建设程序，逐项扎实做好各项目前期工作，妥善解决好工程建设中的生态环境保护、用地审批和功能实现等问题，合理确定建设方案，加强项目储备，科学有序实施。同时，建立项目前期工作责任制，严格执行项目建设有关强制性标准和规程规范，确保项目前期工作质量和深度。</w:t>
      </w:r>
    </w:p>
    <w:p>
      <w:pPr>
        <w:numPr>
          <w:ilvl w:val="0"/>
          <w:numId w:val="11"/>
        </w:numPr>
        <w:spacing w:line="360" w:lineRule="auto"/>
        <w:outlineLvl w:val="1"/>
        <w:rPr>
          <w:rFonts w:ascii="仿宋" w:hAnsi="仿宋" w:eastAsia="仿宋" w:cs="仿宋"/>
          <w:sz w:val="32"/>
          <w:szCs w:val="32"/>
        </w:rPr>
      </w:pPr>
      <w:bookmarkStart w:id="49" w:name="_Toc4049"/>
      <w:r>
        <w:rPr>
          <w:rFonts w:hint="eastAsia" w:ascii="仿宋" w:hAnsi="仿宋" w:eastAsia="仿宋" w:cs="仿宋"/>
          <w:sz w:val="32"/>
          <w:szCs w:val="32"/>
        </w:rPr>
        <w:t>凝聚社会力量</w:t>
      </w:r>
      <w:bookmarkEnd w:id="49"/>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加大国情突然事件和自然灾害宣传教育力度，把突然事件和自然灾害教育纳入国民素质教育体系、中小学教育课程体系，作为各级领导干部和公务员教育培训的重要内容。持久开展安全生产和防灾减灾宣传教育，提高全社会的忧患意识，凝聚社会共识，激发发展热情，为应急管理工作又好又快发展营造良好的社会环境。加强应急管理人才、队伍和能力建设，构建完善的基层应急管理体系。积极引导全社会参与规划实施和应急管理建设管理，形成合力。</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（五）经费保障</w:t>
      </w:r>
    </w:p>
    <w:p>
      <w:pPr>
        <w:spacing w:line="360" w:lineRule="auto"/>
        <w:ind w:firstLine="566" w:firstLineChars="177"/>
        <w:outlineLvl w:val="1"/>
        <w:rPr>
          <w:rFonts w:ascii="仿宋" w:hAnsi="仿宋" w:eastAsia="仿宋" w:cs="仿宋"/>
          <w:sz w:val="32"/>
          <w:szCs w:val="32"/>
        </w:rPr>
      </w:pPr>
      <w:r>
        <w:rPr>
          <w:rFonts w:hint="eastAsia" w:ascii="仿宋" w:hAnsi="仿宋" w:eastAsia="仿宋" w:cs="仿宋"/>
          <w:sz w:val="32"/>
          <w:szCs w:val="32"/>
        </w:rPr>
        <w:t>本项目规划预算经费由源城区财政局保障，费用包括为本项目研究所支付的设备费用、调研经费、专家咨询费、调研组成员绩效和劳务报酬以及税费和管理费等在内。</w:t>
      </w:r>
    </w:p>
    <w:p>
      <w:pPr>
        <w:pStyle w:val="2"/>
        <w:rPr>
          <w:rFonts w:ascii="仿宋" w:hAnsi="仿宋" w:eastAsia="仿宋" w:cs="仿宋"/>
          <w:color w:val="FF0000"/>
        </w:rPr>
      </w:pPr>
    </w:p>
    <w:p>
      <w:pPr>
        <w:pStyle w:val="2"/>
        <w:rPr>
          <w:rFonts w:ascii="仿宋" w:hAnsi="仿宋" w:eastAsia="仿宋" w:cs="仿宋"/>
          <w:color w:val="FF0000"/>
        </w:rPr>
      </w:pPr>
    </w:p>
    <w:p>
      <w:pPr>
        <w:pStyle w:val="2"/>
        <w:rPr>
          <w:rFonts w:ascii="仿宋" w:hAnsi="仿宋" w:eastAsia="仿宋" w:cs="仿宋"/>
          <w:color w:val="FF0000"/>
        </w:rPr>
        <w:sectPr>
          <w:footerReference r:id="rId3" w:type="default"/>
          <w:pgSz w:w="11906" w:h="16838"/>
          <w:pgMar w:top="1417" w:right="1417" w:bottom="1417" w:left="1757" w:header="851" w:footer="992" w:gutter="0"/>
          <w:cols w:space="0" w:num="1"/>
          <w:docGrid w:type="lines" w:linePitch="312" w:charSpace="0"/>
        </w:sectPr>
      </w:pPr>
    </w:p>
    <w:p>
      <w:pPr>
        <w:pageBreakBefore/>
        <w:numPr>
          <w:ilvl w:val="0"/>
          <w:numId w:val="1"/>
        </w:numPr>
        <w:spacing w:line="360" w:lineRule="auto"/>
        <w:ind w:firstLine="640"/>
        <w:jc w:val="left"/>
        <w:outlineLvl w:val="0"/>
        <w:rPr>
          <w:rFonts w:ascii="仿宋" w:hAnsi="仿宋" w:eastAsia="仿宋" w:cs="仿宋"/>
          <w:b/>
          <w:bCs/>
          <w:sz w:val="32"/>
          <w:szCs w:val="32"/>
        </w:rPr>
      </w:pPr>
      <w:bookmarkStart w:id="50" w:name="_Toc28338"/>
      <w:r>
        <w:rPr>
          <w:rFonts w:hint="eastAsia" w:ascii="仿宋" w:hAnsi="仿宋" w:eastAsia="仿宋" w:cs="仿宋"/>
          <w:b/>
          <w:bCs/>
          <w:sz w:val="32"/>
          <w:szCs w:val="32"/>
        </w:rPr>
        <w:t>源城区应急管理2021年-2025年项目计划表</w:t>
      </w:r>
      <w:bookmarkEnd w:id="50"/>
    </w:p>
    <w:tbl>
      <w:tblPr>
        <w:tblStyle w:val="12"/>
        <w:tblW w:w="21163" w:type="dxa"/>
        <w:tblInd w:w="0" w:type="dxa"/>
        <w:tblLayout w:type="fixed"/>
        <w:tblCellMar>
          <w:top w:w="0" w:type="dxa"/>
          <w:left w:w="0" w:type="dxa"/>
          <w:bottom w:w="0" w:type="dxa"/>
          <w:right w:w="0" w:type="dxa"/>
        </w:tblCellMar>
      </w:tblPr>
      <w:tblGrid>
        <w:gridCol w:w="750"/>
        <w:gridCol w:w="725"/>
        <w:gridCol w:w="251"/>
        <w:gridCol w:w="1736"/>
        <w:gridCol w:w="1125"/>
        <w:gridCol w:w="510"/>
        <w:gridCol w:w="396"/>
        <w:gridCol w:w="510"/>
        <w:gridCol w:w="1514"/>
        <w:gridCol w:w="251"/>
        <w:gridCol w:w="251"/>
        <w:gridCol w:w="251"/>
        <w:gridCol w:w="251"/>
        <w:gridCol w:w="390"/>
        <w:gridCol w:w="510"/>
        <w:gridCol w:w="472"/>
        <w:gridCol w:w="251"/>
        <w:gridCol w:w="251"/>
        <w:gridCol w:w="251"/>
        <w:gridCol w:w="601"/>
        <w:gridCol w:w="795"/>
        <w:gridCol w:w="24"/>
        <w:gridCol w:w="669"/>
        <w:gridCol w:w="693"/>
        <w:gridCol w:w="294"/>
        <w:gridCol w:w="622"/>
        <w:gridCol w:w="630"/>
        <w:gridCol w:w="630"/>
        <w:gridCol w:w="630"/>
        <w:gridCol w:w="630"/>
        <w:gridCol w:w="693"/>
        <w:gridCol w:w="693"/>
        <w:gridCol w:w="271"/>
        <w:gridCol w:w="1350"/>
        <w:gridCol w:w="271"/>
        <w:gridCol w:w="271"/>
        <w:gridCol w:w="750"/>
      </w:tblGrid>
      <w:tr>
        <w:tblPrEx>
          <w:tblCellMar>
            <w:top w:w="0" w:type="dxa"/>
            <w:left w:w="0" w:type="dxa"/>
            <w:bottom w:w="0" w:type="dxa"/>
            <w:right w:w="0" w:type="dxa"/>
          </w:tblCellMar>
        </w:tblPrEx>
        <w:trPr>
          <w:trHeight w:val="28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序号</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项目名称</w:t>
            </w:r>
          </w:p>
        </w:tc>
        <w:tc>
          <w:tcPr>
            <w:tcW w:w="2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项目代码</w:t>
            </w:r>
          </w:p>
        </w:tc>
        <w:tc>
          <w:tcPr>
            <w:tcW w:w="17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建设内容及规模</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建设起止年限</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总投资</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预计到2020年底累计完成投资</w:t>
            </w:r>
          </w:p>
        </w:tc>
        <w:tc>
          <w:tcPr>
            <w:tcW w:w="20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2"/>
                <w:szCs w:val="22"/>
              </w:rPr>
            </w:pPr>
            <w:r>
              <w:rPr>
                <w:rFonts w:ascii="Times New Roman" w:hAnsi="Times New Roman" w:eastAsia="宋体" w:cs="Times New Roman"/>
                <w:b/>
                <w:color w:val="000000"/>
                <w:kern w:val="0"/>
                <w:sz w:val="22"/>
                <w:szCs w:val="22"/>
              </w:rPr>
              <w:t>2021</w:t>
            </w:r>
            <w:r>
              <w:rPr>
                <w:rFonts w:hint="eastAsia" w:ascii="宋体" w:hAnsi="宋体" w:eastAsia="宋体" w:cs="宋体"/>
                <w:b/>
                <w:color w:val="000000"/>
                <w:kern w:val="0"/>
                <w:sz w:val="22"/>
                <w:szCs w:val="22"/>
              </w:rPr>
              <w:t>年投资计划</w:t>
            </w:r>
          </w:p>
        </w:tc>
        <w:tc>
          <w:tcPr>
            <w:tcW w:w="373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2021年投资资金来源</w:t>
            </w:r>
          </w:p>
        </w:tc>
        <w:tc>
          <w:tcPr>
            <w:tcW w:w="21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2021年资源要素需求</w:t>
            </w:r>
          </w:p>
        </w:tc>
        <w:tc>
          <w:tcPr>
            <w:tcW w:w="34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项目审批情况</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（拟）开工时间</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（拟）列入规划情况及文件名称</w:t>
            </w:r>
          </w:p>
        </w:tc>
        <w:tc>
          <w:tcPr>
            <w:tcW w:w="2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业主单位</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业主单位申报联系人及手机号码</w:t>
            </w:r>
          </w:p>
        </w:tc>
        <w:tc>
          <w:tcPr>
            <w:tcW w:w="2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申报单位</w:t>
            </w:r>
          </w:p>
        </w:tc>
        <w:tc>
          <w:tcPr>
            <w:tcW w:w="2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申报项目类型</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项目所在地</w:t>
            </w:r>
          </w:p>
        </w:tc>
      </w:tr>
      <w:tr>
        <w:tblPrEx>
          <w:tblCellMar>
            <w:top w:w="0" w:type="dxa"/>
            <w:left w:w="0" w:type="dxa"/>
            <w:bottom w:w="0" w:type="dxa"/>
            <w:right w:w="0" w:type="dxa"/>
          </w:tblCellMar>
        </w:tblPrEx>
        <w:trPr>
          <w:trHeight w:val="28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2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b/>
                <w:color w:val="000000"/>
                <w:sz w:val="22"/>
                <w:szCs w:val="22"/>
              </w:rPr>
            </w:pPr>
          </w:p>
        </w:tc>
        <w:tc>
          <w:tcPr>
            <w:tcW w:w="237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已落实资金</w:t>
            </w:r>
          </w:p>
        </w:tc>
        <w:tc>
          <w:tcPr>
            <w:tcW w:w="13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待落实资金</w:t>
            </w:r>
            <w:r>
              <w:rPr>
                <w:rFonts w:hint="eastAsia" w:ascii="宋体" w:hAnsi="宋体" w:eastAsia="宋体" w:cs="宋体"/>
                <w:b/>
                <w:color w:val="000000"/>
                <w:kern w:val="0"/>
                <w:sz w:val="22"/>
                <w:szCs w:val="22"/>
              </w:rPr>
              <w:br w:type="textWrapping"/>
            </w:r>
            <w:r>
              <w:rPr>
                <w:rFonts w:hint="eastAsia" w:ascii="宋体" w:hAnsi="宋体" w:eastAsia="宋体" w:cs="宋体"/>
                <w:b/>
                <w:color w:val="000000"/>
                <w:kern w:val="0"/>
                <w:sz w:val="22"/>
                <w:szCs w:val="22"/>
              </w:rPr>
              <w:t>筹措方式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项目计划占地规模（亩）</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占用永久基本农田（亩）</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2"/>
                <w:szCs w:val="22"/>
              </w:rPr>
            </w:pPr>
            <w:r>
              <w:rPr>
                <w:rFonts w:ascii="Times New Roman" w:hAnsi="Times New Roman" w:eastAsia="宋体" w:cs="Times New Roman"/>
                <w:b/>
                <w:color w:val="000000"/>
                <w:kern w:val="0"/>
                <w:sz w:val="22"/>
                <w:szCs w:val="22"/>
              </w:rPr>
              <w:t>2021</w:t>
            </w:r>
            <w:r>
              <w:rPr>
                <w:rFonts w:hint="eastAsia" w:ascii="宋体" w:hAnsi="宋体" w:eastAsia="宋体" w:cs="宋体"/>
                <w:b/>
                <w:color w:val="000000"/>
                <w:kern w:val="0"/>
                <w:sz w:val="22"/>
                <w:szCs w:val="22"/>
              </w:rPr>
              <w:t>年用林面积（亩）</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立项</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规划选址和用地预审</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用林</w:t>
            </w:r>
            <w:r>
              <w:rPr>
                <w:rFonts w:hint="eastAsia" w:ascii="宋体" w:hAnsi="宋体" w:eastAsia="宋体" w:cs="宋体"/>
                <w:b/>
                <w:color w:val="000000"/>
                <w:kern w:val="0"/>
                <w:sz w:val="22"/>
                <w:szCs w:val="22"/>
              </w:rPr>
              <w:br w:type="textWrapping"/>
            </w:r>
            <w:r>
              <w:rPr>
                <w:rFonts w:hint="eastAsia" w:ascii="宋体" w:hAnsi="宋体" w:eastAsia="宋体" w:cs="宋体"/>
                <w:b/>
                <w:color w:val="000000"/>
                <w:kern w:val="0"/>
                <w:sz w:val="22"/>
                <w:szCs w:val="22"/>
              </w:rPr>
              <w:t>手续</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用地</w:t>
            </w:r>
            <w:r>
              <w:rPr>
                <w:rFonts w:hint="eastAsia" w:ascii="宋体" w:hAnsi="宋体" w:eastAsia="宋体" w:cs="宋体"/>
                <w:b/>
                <w:color w:val="000000"/>
                <w:kern w:val="0"/>
                <w:sz w:val="22"/>
                <w:szCs w:val="22"/>
              </w:rPr>
              <w:br w:type="textWrapping"/>
            </w:r>
            <w:r>
              <w:rPr>
                <w:rFonts w:hint="eastAsia" w:ascii="宋体" w:hAnsi="宋体" w:eastAsia="宋体" w:cs="宋体"/>
                <w:b/>
                <w:color w:val="000000"/>
                <w:kern w:val="0"/>
                <w:sz w:val="22"/>
                <w:szCs w:val="22"/>
              </w:rPr>
              <w:t>报批</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环境影响评价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4"/>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4"/>
              </w:rPr>
            </w:pPr>
          </w:p>
        </w:tc>
        <w:tc>
          <w:tcPr>
            <w:tcW w:w="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4"/>
              </w:rPr>
            </w:pPr>
          </w:p>
        </w:tc>
        <w:tc>
          <w:tcPr>
            <w:tcW w:w="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4"/>
              </w:rPr>
            </w:pPr>
          </w:p>
        </w:tc>
      </w:tr>
      <w:tr>
        <w:tblPrEx>
          <w:tblCellMar>
            <w:top w:w="0" w:type="dxa"/>
            <w:left w:w="0" w:type="dxa"/>
            <w:bottom w:w="0" w:type="dxa"/>
            <w:right w:w="0" w:type="dxa"/>
          </w:tblCellMar>
        </w:tblPrEx>
        <w:trPr>
          <w:trHeight w:val="28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2"/>
                <w:szCs w:val="22"/>
              </w:rPr>
            </w:pPr>
            <w:r>
              <w:rPr>
                <w:rFonts w:ascii="Times New Roman" w:hAnsi="Times New Roman" w:eastAsia="宋体" w:cs="Times New Roman"/>
                <w:b/>
                <w:color w:val="000000"/>
                <w:kern w:val="0"/>
                <w:sz w:val="22"/>
                <w:szCs w:val="22"/>
              </w:rPr>
              <w:t>2021</w:t>
            </w:r>
            <w:r>
              <w:rPr>
                <w:rFonts w:hint="eastAsia" w:ascii="宋体" w:hAnsi="宋体" w:eastAsia="宋体" w:cs="宋体"/>
                <w:b/>
                <w:color w:val="000000"/>
                <w:kern w:val="0"/>
                <w:sz w:val="22"/>
                <w:szCs w:val="22"/>
              </w:rPr>
              <w:t>年计划投资额</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2"/>
                <w:szCs w:val="22"/>
              </w:rPr>
            </w:pPr>
            <w:r>
              <w:rPr>
                <w:rFonts w:ascii="Times New Roman" w:hAnsi="Times New Roman" w:eastAsia="宋体" w:cs="Times New Roman"/>
                <w:b/>
                <w:color w:val="000000"/>
                <w:kern w:val="0"/>
                <w:sz w:val="22"/>
                <w:szCs w:val="22"/>
              </w:rPr>
              <w:t>2021</w:t>
            </w:r>
            <w:r>
              <w:rPr>
                <w:rFonts w:hint="eastAsia" w:ascii="宋体" w:hAnsi="宋体" w:eastAsia="宋体" w:cs="宋体"/>
                <w:b/>
                <w:color w:val="000000"/>
                <w:kern w:val="0"/>
                <w:sz w:val="22"/>
                <w:szCs w:val="22"/>
              </w:rPr>
              <w:t>年主要建设内容</w:t>
            </w:r>
          </w:p>
        </w:tc>
        <w:tc>
          <w:tcPr>
            <w:tcW w:w="2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中央资金</w:t>
            </w:r>
          </w:p>
        </w:tc>
        <w:tc>
          <w:tcPr>
            <w:tcW w:w="7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省级财政</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市级财政</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县级财政</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其他（银行贷款、自筹等）</w:t>
            </w:r>
          </w:p>
        </w:tc>
        <w:tc>
          <w:tcPr>
            <w:tcW w:w="2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省级财政</w:t>
            </w:r>
          </w:p>
        </w:tc>
        <w:tc>
          <w:tcPr>
            <w:tcW w:w="2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市级财政</w:t>
            </w:r>
          </w:p>
        </w:tc>
        <w:tc>
          <w:tcPr>
            <w:tcW w:w="2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县级财政</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其他</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其中：新增建设用地（亩）</w:t>
            </w:r>
          </w:p>
        </w:tc>
        <w:tc>
          <w:tcPr>
            <w:tcW w:w="6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69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b/>
                <w:color w:val="000000"/>
                <w:sz w:val="22"/>
                <w:szCs w:val="22"/>
              </w:rPr>
            </w:pPr>
          </w:p>
        </w:tc>
        <w:tc>
          <w:tcPr>
            <w:tcW w:w="2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立项</w:t>
            </w:r>
            <w:r>
              <w:rPr>
                <w:rFonts w:hint="eastAsia" w:ascii="宋体" w:hAnsi="宋体" w:eastAsia="宋体" w:cs="宋体"/>
                <w:b/>
                <w:color w:val="000000"/>
                <w:kern w:val="0"/>
                <w:sz w:val="22"/>
                <w:szCs w:val="22"/>
              </w:rPr>
              <w:br w:type="textWrapping"/>
            </w:r>
            <w:r>
              <w:rPr>
                <w:rFonts w:hint="eastAsia" w:ascii="宋体" w:hAnsi="宋体" w:eastAsia="宋体" w:cs="宋体"/>
                <w:b/>
                <w:color w:val="000000"/>
                <w:kern w:val="0"/>
                <w:sz w:val="22"/>
                <w:szCs w:val="22"/>
              </w:rPr>
              <w:t>方式</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立项</w:t>
            </w:r>
            <w:r>
              <w:rPr>
                <w:rFonts w:hint="eastAsia" w:ascii="宋体" w:hAnsi="宋体" w:eastAsia="宋体" w:cs="宋体"/>
                <w:b/>
                <w:color w:val="000000"/>
                <w:kern w:val="0"/>
                <w:sz w:val="22"/>
                <w:szCs w:val="22"/>
              </w:rPr>
              <w:br w:type="textWrapping"/>
            </w:r>
            <w:r>
              <w:rPr>
                <w:rFonts w:hint="eastAsia" w:ascii="宋体" w:hAnsi="宋体" w:eastAsia="宋体" w:cs="宋体"/>
                <w:b/>
                <w:color w:val="000000"/>
                <w:kern w:val="0"/>
                <w:sz w:val="22"/>
                <w:szCs w:val="22"/>
              </w:rPr>
              <w:t>文号</w:t>
            </w:r>
          </w:p>
        </w:tc>
        <w:tc>
          <w:tcPr>
            <w:tcW w:w="6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6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6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6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69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69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2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4"/>
              </w:rPr>
            </w:pPr>
          </w:p>
        </w:tc>
        <w:tc>
          <w:tcPr>
            <w:tcW w:w="1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4"/>
              </w:rPr>
            </w:pPr>
          </w:p>
        </w:tc>
        <w:tc>
          <w:tcPr>
            <w:tcW w:w="2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4"/>
              </w:rPr>
            </w:pPr>
          </w:p>
        </w:tc>
        <w:tc>
          <w:tcPr>
            <w:tcW w:w="2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4"/>
              </w:rPr>
            </w:pPr>
          </w:p>
        </w:tc>
        <w:tc>
          <w:tcPr>
            <w:tcW w:w="7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4"/>
              </w:rPr>
            </w:pPr>
          </w:p>
        </w:tc>
      </w:tr>
      <w:tr>
        <w:tblPrEx>
          <w:tblCellMar>
            <w:top w:w="0" w:type="dxa"/>
            <w:left w:w="0" w:type="dxa"/>
            <w:bottom w:w="0" w:type="dxa"/>
            <w:right w:w="0" w:type="dxa"/>
          </w:tblCellMar>
        </w:tblPrEx>
        <w:trPr>
          <w:trHeight w:val="109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b/>
                <w:color w:val="000000"/>
                <w:sz w:val="22"/>
                <w:szCs w:val="22"/>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b/>
                <w:color w:val="000000"/>
                <w:sz w:val="22"/>
                <w:szCs w:val="22"/>
              </w:rPr>
            </w:pPr>
          </w:p>
        </w:tc>
        <w:tc>
          <w:tcPr>
            <w:tcW w:w="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投资金额</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投资方式</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资金来源</w:t>
            </w: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其中：</w:t>
            </w:r>
            <w:r>
              <w:rPr>
                <w:rFonts w:ascii="Times New Roman" w:hAnsi="Times New Roman" w:eastAsia="宋体" w:cs="Times New Roman"/>
                <w:b/>
                <w:color w:val="000000"/>
                <w:kern w:val="0"/>
                <w:sz w:val="22"/>
                <w:szCs w:val="22"/>
              </w:rPr>
              <w:t>2021</w:t>
            </w:r>
            <w:r>
              <w:rPr>
                <w:rFonts w:hint="eastAsia" w:ascii="宋体" w:hAnsi="宋体" w:eastAsia="宋体" w:cs="宋体"/>
                <w:b/>
                <w:color w:val="000000"/>
                <w:kern w:val="0"/>
                <w:sz w:val="22"/>
                <w:szCs w:val="22"/>
              </w:rPr>
              <w:t>年新增建设用地（亩）</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b/>
                <w:color w:val="000000"/>
                <w:sz w:val="22"/>
                <w:szCs w:val="22"/>
              </w:rPr>
            </w:pPr>
          </w:p>
        </w:tc>
        <w:tc>
          <w:tcPr>
            <w:tcW w:w="2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4"/>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4"/>
              </w:rPr>
            </w:pPr>
          </w:p>
        </w:tc>
        <w:tc>
          <w:tcPr>
            <w:tcW w:w="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4"/>
              </w:rPr>
            </w:pPr>
          </w:p>
        </w:tc>
        <w:tc>
          <w:tcPr>
            <w:tcW w:w="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4"/>
              </w:rPr>
            </w:pPr>
          </w:p>
        </w:tc>
      </w:tr>
      <w:tr>
        <w:tblPrEx>
          <w:tblCellMar>
            <w:top w:w="0" w:type="dxa"/>
            <w:left w:w="0" w:type="dxa"/>
            <w:bottom w:w="0" w:type="dxa"/>
            <w:right w:w="0"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w:t>
            </w:r>
          </w:p>
        </w:tc>
        <w:tc>
          <w:tcPr>
            <w:tcW w:w="20413"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b/>
                <w:color w:val="000000"/>
                <w:sz w:val="22"/>
                <w:szCs w:val="22"/>
              </w:rPr>
            </w:pPr>
            <w:r>
              <w:rPr>
                <w:rFonts w:hint="eastAsia" w:ascii="仿宋_GB2312" w:hAnsi="宋体" w:eastAsia="仿宋_GB2312" w:cs="仿宋_GB2312"/>
                <w:color w:val="000000"/>
                <w:kern w:val="0"/>
                <w:sz w:val="20"/>
                <w:szCs w:val="20"/>
              </w:rPr>
              <w:t>应急保障项目</w:t>
            </w:r>
          </w:p>
        </w:tc>
      </w:tr>
      <w:tr>
        <w:tblPrEx>
          <w:tblCellMar>
            <w:top w:w="0" w:type="dxa"/>
            <w:left w:w="0" w:type="dxa"/>
            <w:bottom w:w="0" w:type="dxa"/>
            <w:right w:w="0" w:type="dxa"/>
          </w:tblCellMar>
        </w:tblPrEx>
        <w:trPr>
          <w:trHeight w:val="313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（一）</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应急救援物资储备仓库</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4"/>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建设800平方米以上的应急救援物资储备仓库，仓库具备智能化管理，储备我区三防、森防、应急救援重要装备物资，包括高科技防汛物资，用于水面防汛抢险冲锋舟、橡皮艇、遥控</w:t>
            </w:r>
            <w:r>
              <w:rPr>
                <w:rFonts w:hint="eastAsia" w:ascii="仿宋_GB2312" w:hAnsi="宋体" w:eastAsia="仿宋_GB2312" w:cs="仿宋_GB2312"/>
                <w:color w:val="000000"/>
                <w:kern w:val="0"/>
                <w:sz w:val="24"/>
                <w:lang w:val="en-US" w:eastAsia="zh-CN"/>
              </w:rPr>
              <w:t>智能</w:t>
            </w:r>
            <w:r>
              <w:rPr>
                <w:rFonts w:hint="eastAsia" w:ascii="仿宋_GB2312" w:hAnsi="宋体" w:eastAsia="仿宋_GB2312" w:cs="仿宋_GB2312"/>
                <w:color w:val="000000"/>
                <w:kern w:val="0"/>
                <w:sz w:val="24"/>
              </w:rPr>
              <w:t>救生艇、便携打桩机、升降照明车、排水设备、无人机、智能应急救援装备等。</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2021-2025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600 </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15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165</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拟建设建筑面积超800平方的应急救援物资储备仓库，仓库具备智能化管理基础条件及地基按照符合3层结构建设</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180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520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无</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无</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无</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审批</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未完成+区应急管理局+2021年5月</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未完成+区应急管理局+2021年5月</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不需办理</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未完成+区应急管理局+2021年5月</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未完成+区应急管理局+2021年5月</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2021年</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4"/>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源城区应急管理局</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源城区应急管理局</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续建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源城区</w:t>
            </w:r>
          </w:p>
        </w:tc>
      </w:tr>
      <w:tr>
        <w:tblPrEx>
          <w:tblCellMar>
            <w:top w:w="0" w:type="dxa"/>
            <w:left w:w="0" w:type="dxa"/>
            <w:bottom w:w="0" w:type="dxa"/>
            <w:right w:w="0" w:type="dxa"/>
          </w:tblCellMar>
        </w:tblPrEx>
        <w:trPr>
          <w:trHeight w:val="2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（二）</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应急保障技术装备现代化工程</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b/>
                <w:color w:val="000000"/>
                <w:sz w:val="24"/>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推进应急管理装备现代化，装备现代化应急处置与救援装备，包括大范围和负责灾害环节下的搜索、定位、救援，复杂环境下破拆装备工具、生命支撑装备，有害物质洗消、吸附、分解设备。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2022-2025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3800 </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0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300</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根据区物资仓库储备的物资，优先储备急需的物资。</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3800</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无</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无</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无</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未完成+区应急管理局+2022年5月</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不需办理</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不需办理</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不需办理</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不需办理</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2021年</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4"/>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源城区应急管理局</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源城区应急管理局</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源城区</w:t>
            </w:r>
          </w:p>
        </w:tc>
      </w:tr>
      <w:tr>
        <w:tblPrEx>
          <w:tblCellMar>
            <w:top w:w="0" w:type="dxa"/>
            <w:left w:w="0" w:type="dxa"/>
            <w:bottom w:w="0" w:type="dxa"/>
            <w:right w:w="0" w:type="dxa"/>
          </w:tblCellMar>
        </w:tblPrEx>
        <w:trPr>
          <w:trHeight w:val="370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（三）</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应急救援实训中心工程</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4"/>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占地面积，建筑面积500平方，集应急救援实训、应急技能培训考核于一体的综合平台。建立4个教学体验馆：包括自然灾害、消防安全、生产安全、应急救援等四个方面，融合声、光、电效果，综合运用实物展示、多媒体互动、视频等形式和技术，直观、全面的重现事故、灾害发生的场景，提升专业队伍培训教育效果。</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2022-2025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2000 </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0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0 </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前期调研</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2000 </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无</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无</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审批</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未完成+区应急管理局+2022年5月</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未完成+区应急管理局+2022年5月</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未完成+区应急管理局+2022年5月</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未完成+区应急管理局+2022年5月</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未完成+区应急管理局+2022年5月</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2022年</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4"/>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源城区应急管理局</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源城区应急管理局</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源城区</w:t>
            </w:r>
          </w:p>
        </w:tc>
      </w:tr>
      <w:tr>
        <w:tblPrEx>
          <w:tblCellMar>
            <w:top w:w="0" w:type="dxa"/>
            <w:left w:w="0" w:type="dxa"/>
            <w:bottom w:w="0" w:type="dxa"/>
            <w:right w:w="0" w:type="dxa"/>
          </w:tblCellMar>
        </w:tblPrEx>
        <w:trPr>
          <w:trHeight w:val="256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（四）</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创建全国综合救灾示范社区</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进行全国综合减灾社区创建，合计69个村居。</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2021-2025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3300 </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0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0 </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结合应急指挥平台项目，完善镇、村应急管理体系同时，推进全国综合减灾社区创建，实行综合减灾社区全覆盖。</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3300 </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无</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无</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无</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审批</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未完成+区应急管理局+2021年5月</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不需办理</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不需办理</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不需办理</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不需办理</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2021年</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4"/>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源城区应急管理局</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源城区应急管理局</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新建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各镇街道及村（居）</w:t>
            </w:r>
          </w:p>
        </w:tc>
      </w:tr>
      <w:tr>
        <w:tblPrEx>
          <w:tblCellMar>
            <w:top w:w="0" w:type="dxa"/>
            <w:left w:w="0" w:type="dxa"/>
            <w:bottom w:w="0" w:type="dxa"/>
            <w:right w:w="0" w:type="dxa"/>
          </w:tblCellMar>
        </w:tblPrEx>
        <w:trPr>
          <w:trHeight w:val="48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（五）</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源城区应急指挥系统项目</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 w:val="24"/>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仿宋_GB2312" w:hAnsi="宋体" w:eastAsia="仿宋_GB2312" w:cs="仿宋_GB2312"/>
                <w:color w:val="000000"/>
                <w:kern w:val="0"/>
                <w:sz w:val="24"/>
              </w:rPr>
              <w:t>建立区、镇、村三级应急指挥体系，建设连通国家、省、市应急和</w:t>
            </w:r>
            <w:r>
              <w:rPr>
                <w:rFonts w:ascii="仿宋_GB2312" w:hAnsi="宋体" w:eastAsia="仿宋_GB2312" w:cs="仿宋_GB2312"/>
                <w:color w:val="000000"/>
                <w:kern w:val="0"/>
                <w:sz w:val="24"/>
              </w:rPr>
              <w:t>7</w:t>
            </w:r>
            <w:r>
              <w:rPr>
                <w:rFonts w:hint="eastAsia" w:ascii="仿宋_GB2312" w:hAnsi="宋体" w:eastAsia="仿宋_GB2312" w:cs="仿宋_GB2312"/>
                <w:color w:val="000000"/>
                <w:kern w:val="0"/>
                <w:sz w:val="24"/>
              </w:rPr>
              <w:t>个镇街、</w:t>
            </w:r>
            <w:r>
              <w:rPr>
                <w:rFonts w:ascii="仿宋_GB2312" w:hAnsi="宋体" w:eastAsia="仿宋_GB2312" w:cs="仿宋_GB2312"/>
                <w:color w:val="000000"/>
                <w:kern w:val="0"/>
                <w:sz w:val="24"/>
              </w:rPr>
              <w:t>68</w:t>
            </w:r>
            <w:r>
              <w:rPr>
                <w:rFonts w:hint="eastAsia" w:ascii="仿宋_GB2312" w:hAnsi="宋体" w:eastAsia="仿宋_GB2312" w:cs="仿宋_GB2312"/>
                <w:color w:val="000000"/>
                <w:kern w:val="0"/>
                <w:sz w:val="24"/>
              </w:rPr>
              <w:t>个村居和重点自然村的应急指挥体系，建立信息共享，资源共用，符合智慧城市的信息综合处理和展示中心。</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2020-2021</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kern w:val="0"/>
                <w:sz w:val="24"/>
              </w:rPr>
              <w:t>34</w:t>
            </w:r>
            <w:r>
              <w:rPr>
                <w:rFonts w:ascii="Times New Roman" w:hAnsi="Times New Roman" w:eastAsia="宋体" w:cs="Times New Roman"/>
                <w:color w:val="000000"/>
                <w:kern w:val="0"/>
                <w:sz w:val="24"/>
              </w:rPr>
              <w:t xml:space="preserve">00 </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 xml:space="preserve">800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r>
              <w:rPr>
                <w:rFonts w:hint="eastAsia" w:ascii="Times New Roman" w:hAnsi="Times New Roman" w:eastAsia="宋体" w:cs="Times New Roman"/>
                <w:color w:val="000000"/>
                <w:kern w:val="0"/>
                <w:sz w:val="24"/>
              </w:rPr>
              <w:t>6</w:t>
            </w:r>
            <w:r>
              <w:rPr>
                <w:rFonts w:ascii="Times New Roman" w:hAnsi="Times New Roman" w:eastAsia="宋体" w:cs="Times New Roman"/>
                <w:color w:val="000000"/>
                <w:kern w:val="0"/>
                <w:sz w:val="24"/>
              </w:rPr>
              <w:t xml:space="preserve">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包括联合值班值守室、多功能会议室与领导决策室、安防监控系统、设备间；应急指挥视频调度系统建设，互联网+执法系统建设，应急数据构建与接入等设计方案的优化，评审、招标及实施，争取2021年完成建设任务。</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3400 </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无</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无</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无</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审批</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未完成</w:t>
            </w:r>
            <w:r>
              <w:rPr>
                <w:rFonts w:ascii="Times New Roman" w:hAnsi="Times New Roman" w:eastAsia="宋体" w:cs="Times New Roman"/>
                <w:color w:val="000000"/>
                <w:kern w:val="0"/>
                <w:sz w:val="24"/>
              </w:rPr>
              <w:t>+</w:t>
            </w:r>
            <w:r>
              <w:rPr>
                <w:rFonts w:hint="eastAsia" w:ascii="宋体" w:hAnsi="宋体" w:eastAsia="宋体" w:cs="宋体"/>
                <w:color w:val="000000"/>
                <w:kern w:val="0"/>
                <w:sz w:val="24"/>
              </w:rPr>
              <w:t>区应急管理局</w:t>
            </w:r>
            <w:r>
              <w:rPr>
                <w:rFonts w:ascii="Times New Roman" w:hAnsi="Times New Roman" w:eastAsia="宋体" w:cs="Times New Roman"/>
                <w:color w:val="000000"/>
                <w:kern w:val="0"/>
                <w:sz w:val="24"/>
              </w:rPr>
              <w:t>+2021</w:t>
            </w:r>
            <w:r>
              <w:rPr>
                <w:rFonts w:hint="eastAsia" w:ascii="宋体" w:hAnsi="宋体" w:eastAsia="宋体" w:cs="宋体"/>
                <w:color w:val="000000"/>
                <w:kern w:val="0"/>
                <w:sz w:val="24"/>
              </w:rPr>
              <w:t>年1月</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不需办理</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不需办理</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不需办理</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不需办理</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2021年2月</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Times New Roman"/>
                <w:color w:val="000000"/>
                <w:sz w:val="24"/>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源城区应急管理局</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源城区应急管理局</w:t>
            </w:r>
          </w:p>
        </w:tc>
        <w:tc>
          <w:tcPr>
            <w:tcW w:w="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续建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源城区、各镇街道及村（居）</w:t>
            </w:r>
          </w:p>
        </w:tc>
      </w:tr>
    </w:tbl>
    <w:p>
      <w:pPr>
        <w:pStyle w:val="2"/>
        <w:ind w:left="0"/>
      </w:pPr>
    </w:p>
    <w:sectPr>
      <w:pgSz w:w="23811" w:h="16838" w:orient="landscape"/>
      <w:pgMar w:top="1758" w:right="1440" w:bottom="1588" w:left="1440"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1BCD3"/>
    <w:multiLevelType w:val="singleLevel"/>
    <w:tmpl w:val="8D91BCD3"/>
    <w:lvl w:ilvl="0" w:tentative="0">
      <w:start w:val="1"/>
      <w:numFmt w:val="chineseCounting"/>
      <w:suff w:val="nothing"/>
      <w:lvlText w:val="（%1）"/>
      <w:lvlJc w:val="left"/>
      <w:rPr>
        <w:rFonts w:hint="eastAsia"/>
      </w:rPr>
    </w:lvl>
  </w:abstractNum>
  <w:abstractNum w:abstractNumId="1">
    <w:nsid w:val="8F073D8B"/>
    <w:multiLevelType w:val="singleLevel"/>
    <w:tmpl w:val="8F073D8B"/>
    <w:lvl w:ilvl="0" w:tentative="0">
      <w:start w:val="1"/>
      <w:numFmt w:val="chineseCounting"/>
      <w:suff w:val="nothing"/>
      <w:lvlText w:val="（%1）"/>
      <w:lvlJc w:val="left"/>
      <w:rPr>
        <w:rFonts w:hint="eastAsia"/>
      </w:rPr>
    </w:lvl>
  </w:abstractNum>
  <w:abstractNum w:abstractNumId="2">
    <w:nsid w:val="9A673313"/>
    <w:multiLevelType w:val="singleLevel"/>
    <w:tmpl w:val="9A673313"/>
    <w:lvl w:ilvl="0" w:tentative="0">
      <w:start w:val="1"/>
      <w:numFmt w:val="chineseCounting"/>
      <w:suff w:val="nothing"/>
      <w:lvlText w:val="（%1）"/>
      <w:lvlJc w:val="left"/>
      <w:pPr>
        <w:ind w:left="0" w:firstLine="420"/>
      </w:pPr>
      <w:rPr>
        <w:rFonts w:hint="eastAsia"/>
      </w:rPr>
    </w:lvl>
  </w:abstractNum>
  <w:abstractNum w:abstractNumId="3">
    <w:nsid w:val="C99364C9"/>
    <w:multiLevelType w:val="singleLevel"/>
    <w:tmpl w:val="C99364C9"/>
    <w:lvl w:ilvl="0" w:tentative="0">
      <w:start w:val="1"/>
      <w:numFmt w:val="chineseCounting"/>
      <w:suff w:val="nothing"/>
      <w:lvlText w:val="（%1）"/>
      <w:lvlJc w:val="left"/>
      <w:rPr>
        <w:rFonts w:hint="eastAsia"/>
      </w:rPr>
    </w:lvl>
  </w:abstractNum>
  <w:abstractNum w:abstractNumId="4">
    <w:nsid w:val="0DA8F757"/>
    <w:multiLevelType w:val="singleLevel"/>
    <w:tmpl w:val="0DA8F757"/>
    <w:lvl w:ilvl="0" w:tentative="0">
      <w:start w:val="2"/>
      <w:numFmt w:val="decimal"/>
      <w:suff w:val="nothing"/>
      <w:lvlText w:val="%1、"/>
      <w:lvlJc w:val="left"/>
    </w:lvl>
  </w:abstractNum>
  <w:abstractNum w:abstractNumId="5">
    <w:nsid w:val="2272CC07"/>
    <w:multiLevelType w:val="singleLevel"/>
    <w:tmpl w:val="2272CC07"/>
    <w:lvl w:ilvl="0" w:tentative="0">
      <w:start w:val="1"/>
      <w:numFmt w:val="chineseCounting"/>
      <w:suff w:val="nothing"/>
      <w:lvlText w:val="%1、"/>
      <w:lvlJc w:val="left"/>
      <w:pPr>
        <w:ind w:left="0" w:firstLine="420"/>
      </w:pPr>
      <w:rPr>
        <w:rFonts w:hint="eastAsia"/>
      </w:rPr>
    </w:lvl>
  </w:abstractNum>
  <w:abstractNum w:abstractNumId="6">
    <w:nsid w:val="2F2A449C"/>
    <w:multiLevelType w:val="singleLevel"/>
    <w:tmpl w:val="2F2A449C"/>
    <w:lvl w:ilvl="0" w:tentative="0">
      <w:start w:val="1"/>
      <w:numFmt w:val="decimal"/>
      <w:suff w:val="nothing"/>
      <w:lvlText w:val="%1、"/>
      <w:lvlJc w:val="left"/>
    </w:lvl>
  </w:abstractNum>
  <w:abstractNum w:abstractNumId="7">
    <w:nsid w:val="531DE4B4"/>
    <w:multiLevelType w:val="singleLevel"/>
    <w:tmpl w:val="531DE4B4"/>
    <w:lvl w:ilvl="0" w:tentative="0">
      <w:start w:val="1"/>
      <w:numFmt w:val="decimal"/>
      <w:suff w:val="nothing"/>
      <w:lvlText w:val="%1、"/>
      <w:lvlJc w:val="left"/>
    </w:lvl>
  </w:abstractNum>
  <w:abstractNum w:abstractNumId="8">
    <w:nsid w:val="53A59B07"/>
    <w:multiLevelType w:val="singleLevel"/>
    <w:tmpl w:val="53A59B07"/>
    <w:lvl w:ilvl="0" w:tentative="0">
      <w:start w:val="1"/>
      <w:numFmt w:val="chineseCounting"/>
      <w:suff w:val="nothing"/>
      <w:lvlText w:val="（%1）"/>
      <w:lvlJc w:val="left"/>
      <w:rPr>
        <w:rFonts w:hint="eastAsia"/>
      </w:rPr>
    </w:lvl>
  </w:abstractNum>
  <w:abstractNum w:abstractNumId="9">
    <w:nsid w:val="6D8758FC"/>
    <w:multiLevelType w:val="singleLevel"/>
    <w:tmpl w:val="6D8758FC"/>
    <w:lvl w:ilvl="0" w:tentative="0">
      <w:start w:val="1"/>
      <w:numFmt w:val="chineseCounting"/>
      <w:suff w:val="nothing"/>
      <w:lvlText w:val="（%1）"/>
      <w:lvlJc w:val="left"/>
      <w:pPr>
        <w:ind w:left="0" w:firstLine="420"/>
      </w:pPr>
      <w:rPr>
        <w:rFonts w:hint="eastAsia"/>
      </w:rPr>
    </w:lvl>
  </w:abstractNum>
  <w:abstractNum w:abstractNumId="10">
    <w:nsid w:val="717BCD72"/>
    <w:multiLevelType w:val="singleLevel"/>
    <w:tmpl w:val="717BCD72"/>
    <w:lvl w:ilvl="0" w:tentative="0">
      <w:start w:val="1"/>
      <w:numFmt w:val="chineseCounting"/>
      <w:suff w:val="nothing"/>
      <w:lvlText w:val="（%1）"/>
      <w:lvlJc w:val="left"/>
      <w:pPr>
        <w:ind w:left="0" w:firstLine="420"/>
      </w:pPr>
      <w:rPr>
        <w:rFonts w:hint="eastAsia"/>
      </w:rPr>
    </w:lvl>
  </w:abstractNum>
  <w:num w:numId="1">
    <w:abstractNumId w:val="5"/>
  </w:num>
  <w:num w:numId="2">
    <w:abstractNumId w:val="10"/>
  </w:num>
  <w:num w:numId="3">
    <w:abstractNumId w:val="2"/>
  </w:num>
  <w:num w:numId="4">
    <w:abstractNumId w:val="4"/>
  </w:num>
  <w:num w:numId="5">
    <w:abstractNumId w:val="6"/>
  </w:num>
  <w:num w:numId="6">
    <w:abstractNumId w:val="3"/>
  </w:num>
  <w:num w:numId="7">
    <w:abstractNumId w:val="8"/>
  </w:num>
  <w:num w:numId="8">
    <w:abstractNumId w:val="1"/>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OGU1OWYzZDI4MjAwMDU1NDUzZGYzNWU1Yjg0MGEifQ=="/>
  </w:docVars>
  <w:rsids>
    <w:rsidRoot w:val="11E624D9"/>
    <w:rsid w:val="0002499A"/>
    <w:rsid w:val="000C241B"/>
    <w:rsid w:val="00132AB2"/>
    <w:rsid w:val="0017212C"/>
    <w:rsid w:val="001B6400"/>
    <w:rsid w:val="00291189"/>
    <w:rsid w:val="00363B14"/>
    <w:rsid w:val="00391C13"/>
    <w:rsid w:val="003954EA"/>
    <w:rsid w:val="003D64E8"/>
    <w:rsid w:val="00447EBD"/>
    <w:rsid w:val="00470196"/>
    <w:rsid w:val="004D51BF"/>
    <w:rsid w:val="004E4EFA"/>
    <w:rsid w:val="00543BA6"/>
    <w:rsid w:val="00576BD8"/>
    <w:rsid w:val="0060034E"/>
    <w:rsid w:val="00644AAA"/>
    <w:rsid w:val="006A13F1"/>
    <w:rsid w:val="006A7653"/>
    <w:rsid w:val="007A51A0"/>
    <w:rsid w:val="007D2094"/>
    <w:rsid w:val="008B7854"/>
    <w:rsid w:val="008E2C23"/>
    <w:rsid w:val="00900047"/>
    <w:rsid w:val="00A75DAE"/>
    <w:rsid w:val="00AE0310"/>
    <w:rsid w:val="00AE7BCE"/>
    <w:rsid w:val="00B6648B"/>
    <w:rsid w:val="00B73830"/>
    <w:rsid w:val="00B97E4E"/>
    <w:rsid w:val="00BE6255"/>
    <w:rsid w:val="00CF2BA3"/>
    <w:rsid w:val="00D25E3E"/>
    <w:rsid w:val="00D91757"/>
    <w:rsid w:val="00E92EF3"/>
    <w:rsid w:val="00EA0927"/>
    <w:rsid w:val="00EC7F73"/>
    <w:rsid w:val="00F676AF"/>
    <w:rsid w:val="00F76F34"/>
    <w:rsid w:val="026C7DE8"/>
    <w:rsid w:val="027907FB"/>
    <w:rsid w:val="02835230"/>
    <w:rsid w:val="0479605F"/>
    <w:rsid w:val="054555A2"/>
    <w:rsid w:val="09BD7BC0"/>
    <w:rsid w:val="0D8343C8"/>
    <w:rsid w:val="0EBB198F"/>
    <w:rsid w:val="11E624D9"/>
    <w:rsid w:val="124D1131"/>
    <w:rsid w:val="13731A01"/>
    <w:rsid w:val="145579B5"/>
    <w:rsid w:val="145C62C6"/>
    <w:rsid w:val="156C56DC"/>
    <w:rsid w:val="157E406D"/>
    <w:rsid w:val="15EB2084"/>
    <w:rsid w:val="170221D6"/>
    <w:rsid w:val="17822289"/>
    <w:rsid w:val="17D12808"/>
    <w:rsid w:val="18957C33"/>
    <w:rsid w:val="19733F5D"/>
    <w:rsid w:val="1A734A20"/>
    <w:rsid w:val="1D5E71C3"/>
    <w:rsid w:val="2045345A"/>
    <w:rsid w:val="217C0989"/>
    <w:rsid w:val="221044C8"/>
    <w:rsid w:val="22220856"/>
    <w:rsid w:val="227C201C"/>
    <w:rsid w:val="22C02DC0"/>
    <w:rsid w:val="22E708A6"/>
    <w:rsid w:val="23013D19"/>
    <w:rsid w:val="241F7F2C"/>
    <w:rsid w:val="24CF673D"/>
    <w:rsid w:val="24F47AA7"/>
    <w:rsid w:val="263061C1"/>
    <w:rsid w:val="28B3506F"/>
    <w:rsid w:val="2940193D"/>
    <w:rsid w:val="2CCC3FA3"/>
    <w:rsid w:val="2EB62660"/>
    <w:rsid w:val="310C082C"/>
    <w:rsid w:val="31F82AE5"/>
    <w:rsid w:val="32057083"/>
    <w:rsid w:val="323F4BF6"/>
    <w:rsid w:val="3408632F"/>
    <w:rsid w:val="341A7670"/>
    <w:rsid w:val="35E812F9"/>
    <w:rsid w:val="365875A1"/>
    <w:rsid w:val="37BD2EFE"/>
    <w:rsid w:val="39107929"/>
    <w:rsid w:val="398838AC"/>
    <w:rsid w:val="3A391F2B"/>
    <w:rsid w:val="3AC81F7E"/>
    <w:rsid w:val="3D352FC6"/>
    <w:rsid w:val="3D424AD0"/>
    <w:rsid w:val="3DBC7868"/>
    <w:rsid w:val="3E4E1EFA"/>
    <w:rsid w:val="3E573C9D"/>
    <w:rsid w:val="3ED63F17"/>
    <w:rsid w:val="40C15A9C"/>
    <w:rsid w:val="41F27E26"/>
    <w:rsid w:val="448940B5"/>
    <w:rsid w:val="45B602F2"/>
    <w:rsid w:val="46D32F87"/>
    <w:rsid w:val="47644A76"/>
    <w:rsid w:val="499C59E9"/>
    <w:rsid w:val="4A4D3696"/>
    <w:rsid w:val="4B2D015D"/>
    <w:rsid w:val="4B2D7C74"/>
    <w:rsid w:val="4DF13BF1"/>
    <w:rsid w:val="50884E3B"/>
    <w:rsid w:val="54B90E32"/>
    <w:rsid w:val="54C9641C"/>
    <w:rsid w:val="558B602E"/>
    <w:rsid w:val="55B50E3E"/>
    <w:rsid w:val="564D3E1E"/>
    <w:rsid w:val="578F0176"/>
    <w:rsid w:val="57E5690C"/>
    <w:rsid w:val="58402599"/>
    <w:rsid w:val="58571F17"/>
    <w:rsid w:val="5F217259"/>
    <w:rsid w:val="5F2F2614"/>
    <w:rsid w:val="5FAA491D"/>
    <w:rsid w:val="606A2EB0"/>
    <w:rsid w:val="61FD0B6D"/>
    <w:rsid w:val="62AE6DF6"/>
    <w:rsid w:val="63B83821"/>
    <w:rsid w:val="67594E4C"/>
    <w:rsid w:val="6786364B"/>
    <w:rsid w:val="679C7D36"/>
    <w:rsid w:val="67FC7CBA"/>
    <w:rsid w:val="685C7D48"/>
    <w:rsid w:val="68D47076"/>
    <w:rsid w:val="69A27510"/>
    <w:rsid w:val="69C6264B"/>
    <w:rsid w:val="6A6750FC"/>
    <w:rsid w:val="6D6A738A"/>
    <w:rsid w:val="6E314165"/>
    <w:rsid w:val="6EBE2265"/>
    <w:rsid w:val="71286E58"/>
    <w:rsid w:val="73DA4E25"/>
    <w:rsid w:val="73DF6BAE"/>
    <w:rsid w:val="77CC6D95"/>
    <w:rsid w:val="784E527A"/>
    <w:rsid w:val="784E6B10"/>
    <w:rsid w:val="79B434D2"/>
    <w:rsid w:val="7B24583C"/>
    <w:rsid w:val="7B54154C"/>
    <w:rsid w:val="7CAE25E6"/>
    <w:rsid w:val="7E003C41"/>
    <w:rsid w:val="7E7D1269"/>
    <w:rsid w:val="7E9D2EE8"/>
    <w:rsid w:val="7F390768"/>
    <w:rsid w:val="7F3E33AA"/>
    <w:rsid w:val="7F840D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
    </w:pPr>
    <w:rPr>
      <w:rFonts w:ascii="仿宋_GB2312" w:hAnsi="仿宋_GB2312" w:eastAsia="仿宋_GB2312" w:cs="仿宋_GB2312"/>
      <w:sz w:val="32"/>
      <w:szCs w:val="32"/>
    </w:rPr>
  </w:style>
  <w:style w:type="paragraph" w:styleId="5">
    <w:name w:val="Normal Indent"/>
    <w:basedOn w:val="1"/>
    <w:qFormat/>
    <w:uiPriority w:val="0"/>
    <w:pPr>
      <w:autoSpaceDE w:val="0"/>
      <w:autoSpaceDN w:val="0"/>
      <w:adjustRightInd w:val="0"/>
      <w:spacing w:line="315" w:lineRule="atLeast"/>
      <w:ind w:firstLine="420"/>
      <w:jc w:val="left"/>
    </w:pPr>
    <w:rPr>
      <w:rFonts w:ascii="楷体_GB2312" w:eastAsia="楷体_GB2312" w:cs="Times New Roman"/>
      <w:kern w:val="0"/>
      <w:sz w:val="28"/>
      <w:szCs w:val="20"/>
    </w:rPr>
  </w:style>
  <w:style w:type="paragraph" w:styleId="6">
    <w:name w:val="Balloon Text"/>
    <w:basedOn w:val="1"/>
    <w:link w:val="3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qFormat/>
    <w:uiPriority w:val="0"/>
    <w:rPr>
      <w:color w:val="333333"/>
      <w:u w:val="none"/>
    </w:rPr>
  </w:style>
  <w:style w:type="character" w:styleId="16">
    <w:name w:val="Hyperlink"/>
    <w:basedOn w:val="14"/>
    <w:qFormat/>
    <w:uiPriority w:val="0"/>
    <w:rPr>
      <w:color w:val="333333"/>
      <w:u w:val="none"/>
    </w:rPr>
  </w:style>
  <w:style w:type="character" w:styleId="17">
    <w:name w:val="HTML Code"/>
    <w:basedOn w:val="14"/>
    <w:qFormat/>
    <w:uiPriority w:val="0"/>
    <w:rPr>
      <w:rFonts w:ascii="Courier New" w:hAnsi="Courier New"/>
      <w:sz w:val="20"/>
    </w:rPr>
  </w:style>
  <w:style w:type="paragraph" w:customStyle="1" w:styleId="18">
    <w:name w:val="WPSOffice手动目录 1"/>
    <w:qFormat/>
    <w:uiPriority w:val="0"/>
    <w:rPr>
      <w:rFonts w:asciiTheme="minorHAnsi" w:hAnsiTheme="minorHAnsi" w:eastAsiaTheme="minorHAnsi" w:cstheme="minorBidi"/>
      <w:lang w:val="en-US" w:eastAsia="zh-CN" w:bidi="ar-SA"/>
    </w:rPr>
  </w:style>
  <w:style w:type="paragraph" w:customStyle="1" w:styleId="19">
    <w:name w:val="WPSOffice手动目录 2"/>
    <w:qFormat/>
    <w:uiPriority w:val="0"/>
    <w:pPr>
      <w:ind w:left="200" w:leftChars="200"/>
    </w:pPr>
    <w:rPr>
      <w:rFonts w:asciiTheme="minorHAnsi" w:hAnsiTheme="minorHAnsi" w:eastAsiaTheme="minorHAnsi" w:cstheme="minorBidi"/>
      <w:lang w:val="en-US" w:eastAsia="zh-CN" w:bidi="ar-SA"/>
    </w:rPr>
  </w:style>
  <w:style w:type="character" w:customStyle="1" w:styleId="20">
    <w:name w:val="calendar-head__text-display"/>
    <w:basedOn w:val="14"/>
    <w:qFormat/>
    <w:uiPriority w:val="0"/>
    <w:rPr>
      <w:vanish/>
    </w:rPr>
  </w:style>
  <w:style w:type="character" w:customStyle="1" w:styleId="21">
    <w:name w:val="hover"/>
    <w:basedOn w:val="14"/>
    <w:qFormat/>
    <w:uiPriority w:val="0"/>
    <w:rPr>
      <w:color w:val="2F6EA2"/>
    </w:rPr>
  </w:style>
  <w:style w:type="character" w:customStyle="1" w:styleId="22">
    <w:name w:val="calendar-head__next-year-btn"/>
    <w:basedOn w:val="14"/>
    <w:qFormat/>
    <w:uiPriority w:val="0"/>
  </w:style>
  <w:style w:type="character" w:customStyle="1" w:styleId="23">
    <w:name w:val="calendar-head__next-month-btn"/>
    <w:basedOn w:val="14"/>
    <w:qFormat/>
    <w:uiPriority w:val="0"/>
  </w:style>
  <w:style w:type="character" w:customStyle="1" w:styleId="24">
    <w:name w:val="calendar-head__prev-range-btn"/>
    <w:basedOn w:val="14"/>
    <w:qFormat/>
    <w:uiPriority w:val="0"/>
    <w:rPr>
      <w:vanish/>
    </w:rPr>
  </w:style>
  <w:style w:type="character" w:customStyle="1" w:styleId="25">
    <w:name w:val="calendar-head__next-range-btn"/>
    <w:basedOn w:val="14"/>
    <w:qFormat/>
    <w:uiPriority w:val="0"/>
    <w:rPr>
      <w:vanish/>
    </w:rPr>
  </w:style>
  <w:style w:type="character" w:customStyle="1" w:styleId="26">
    <w:name w:val="calendar-head__year-range"/>
    <w:basedOn w:val="14"/>
    <w:qFormat/>
    <w:uiPriority w:val="0"/>
    <w:rPr>
      <w:vanish/>
    </w:rPr>
  </w:style>
  <w:style w:type="character" w:customStyle="1" w:styleId="27">
    <w:name w:val="active4"/>
    <w:basedOn w:val="14"/>
    <w:qFormat/>
    <w:uiPriority w:val="0"/>
    <w:rPr>
      <w:color w:val="333333"/>
    </w:rPr>
  </w:style>
  <w:style w:type="character" w:customStyle="1" w:styleId="28">
    <w:name w:val="hover2"/>
    <w:basedOn w:val="14"/>
    <w:qFormat/>
    <w:uiPriority w:val="0"/>
    <w:rPr>
      <w:color w:val="2F6EA2"/>
    </w:rPr>
  </w:style>
  <w:style w:type="character" w:customStyle="1" w:styleId="29">
    <w:name w:val="font11"/>
    <w:basedOn w:val="14"/>
    <w:qFormat/>
    <w:uiPriority w:val="0"/>
    <w:rPr>
      <w:rFonts w:hint="eastAsia" w:ascii="宋体" w:hAnsi="宋体" w:eastAsia="宋体" w:cs="宋体"/>
      <w:b/>
      <w:color w:val="000000"/>
      <w:sz w:val="22"/>
      <w:szCs w:val="22"/>
      <w:u w:val="none"/>
    </w:rPr>
  </w:style>
  <w:style w:type="character" w:customStyle="1" w:styleId="30">
    <w:name w:val="font181"/>
    <w:basedOn w:val="14"/>
    <w:qFormat/>
    <w:uiPriority w:val="0"/>
    <w:rPr>
      <w:rFonts w:hint="default" w:ascii="Times New Roman" w:hAnsi="Times New Roman" w:cs="Times New Roman"/>
      <w:b/>
      <w:color w:val="000000"/>
      <w:sz w:val="22"/>
      <w:szCs w:val="22"/>
      <w:u w:val="none"/>
    </w:rPr>
  </w:style>
  <w:style w:type="character" w:customStyle="1" w:styleId="31">
    <w:name w:val="font191"/>
    <w:basedOn w:val="14"/>
    <w:uiPriority w:val="0"/>
    <w:rPr>
      <w:rFonts w:hint="default" w:ascii="Times New Roman" w:hAnsi="Times New Roman" w:cs="Times New Roman"/>
      <w:color w:val="000000"/>
      <w:sz w:val="18"/>
      <w:szCs w:val="18"/>
      <w:u w:val="none"/>
    </w:rPr>
  </w:style>
  <w:style w:type="character" w:customStyle="1" w:styleId="32">
    <w:name w:val="font31"/>
    <w:basedOn w:val="14"/>
    <w:qFormat/>
    <w:uiPriority w:val="0"/>
    <w:rPr>
      <w:rFonts w:hint="eastAsia" w:ascii="宋体" w:hAnsi="宋体" w:eastAsia="宋体" w:cs="宋体"/>
      <w:color w:val="000000"/>
      <w:sz w:val="18"/>
      <w:szCs w:val="18"/>
      <w:u w:val="none"/>
    </w:rPr>
  </w:style>
  <w:style w:type="character" w:customStyle="1" w:styleId="33">
    <w:name w:val="font51"/>
    <w:basedOn w:val="14"/>
    <w:qFormat/>
    <w:uiPriority w:val="0"/>
    <w:rPr>
      <w:rFonts w:hint="default" w:ascii="Times New Roman" w:hAnsi="Times New Roman" w:cs="Times New Roman"/>
      <w:b/>
      <w:color w:val="000000"/>
      <w:sz w:val="22"/>
      <w:szCs w:val="22"/>
      <w:u w:val="none"/>
    </w:rPr>
  </w:style>
  <w:style w:type="character" w:customStyle="1" w:styleId="34">
    <w:name w:val="font61"/>
    <w:basedOn w:val="14"/>
    <w:qFormat/>
    <w:uiPriority w:val="0"/>
    <w:rPr>
      <w:rFonts w:hint="default" w:ascii="Times New Roman" w:hAnsi="Times New Roman" w:cs="Times New Roman"/>
      <w:color w:val="000000"/>
      <w:sz w:val="24"/>
      <w:szCs w:val="24"/>
      <w:u w:val="none"/>
    </w:rPr>
  </w:style>
  <w:style w:type="character" w:customStyle="1" w:styleId="35">
    <w:name w:val="font21"/>
    <w:basedOn w:val="14"/>
    <w:qFormat/>
    <w:uiPriority w:val="0"/>
    <w:rPr>
      <w:rFonts w:hint="eastAsia" w:ascii="宋体" w:hAnsi="宋体" w:eastAsia="宋体" w:cs="宋体"/>
      <w:color w:val="000000"/>
      <w:sz w:val="24"/>
      <w:szCs w:val="24"/>
      <w:u w:val="none"/>
    </w:rPr>
  </w:style>
  <w:style w:type="character" w:customStyle="1" w:styleId="36">
    <w:name w:val="批注框文本 Char"/>
    <w:basedOn w:val="14"/>
    <w:link w:val="6"/>
    <w:uiPriority w:val="0"/>
    <w:rPr>
      <w:kern w:val="2"/>
      <w:sz w:val="18"/>
      <w:szCs w:val="18"/>
    </w:rPr>
  </w:style>
  <w:style w:type="paragraph" w:styleId="3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GIF"/><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4E2227-7B5A-4703-8AEB-5F30335FE3B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35</Pages>
  <Words>13014</Words>
  <Characters>13606</Characters>
  <Lines>119</Lines>
  <Paragraphs>33</Paragraphs>
  <TotalTime>58</TotalTime>
  <ScaleCrop>false</ScaleCrop>
  <LinksUpToDate>false</LinksUpToDate>
  <CharactersWithSpaces>13822</CharactersWithSpaces>
  <Application>WPS Office_11.8.2.10989_F1E327BC-269C-435d-A152-05C5408002CA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2021-01-20T07:16:00Z</dcterms:created>
  <dc:creator>喵</dc:creator>
  <cp:lastModifiedBy>黄艳</cp:lastModifiedBy>
  <cp:lastPrinted>2021-08-09T02:06:00Z</cp:lastPrinted>
  <dcterms:modified xsi:type="dcterms:W3CDTF">2022-12-16T03:02:40Z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2052-11.8.2.10989</vt:lpwstr>
  </property>
  <property fmtid="{D5CDD505-2E9C-101B-9397-08002B2CF9AE}" pid="3" name="ICV">
    <vt:lpwstr>C1E93B93B16646178C47FE0042778E17</vt:lpwstr>
  </property>
</Properties>
</file>