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附件2：</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outlineLvl w:val="9"/>
        <w:rPr>
          <w:rFonts w:hint="eastAsia" w:ascii="方正小标宋简体" w:hAnsi="方正小标宋简体" w:eastAsia="方正小标宋简体" w:cs="方正小标宋简体"/>
          <w:sz w:val="40"/>
          <w:szCs w:val="40"/>
        </w:rPr>
      </w:pPr>
      <w:bookmarkStart w:id="0" w:name="_GoBack"/>
      <w:r>
        <w:rPr>
          <w:rFonts w:hint="eastAsia" w:ascii="方正小标宋简体" w:hAnsi="方正小标宋简体" w:eastAsia="方正小标宋简体" w:cs="方正小标宋简体"/>
          <w:sz w:val="40"/>
          <w:szCs w:val="40"/>
        </w:rPr>
        <w:t>河源市源南片区滨江大道以西土地储备项目</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outlineLvl w:val="9"/>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土地征收补偿安置方案</w:t>
      </w:r>
      <w:bookmarkEnd w:id="0"/>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为确保源南片区滨江大道以西土地储备项目征地工作的顺利进行，根据《中华人民共和国土地管理法》、《广东省征地补偿保护标准》等有关法律法规的规定，结合市区实际，制定本方案。</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hint="eastAsia" w:ascii="黑体" w:hAnsi="黑体" w:eastAsia="黑体" w:cs="黑体"/>
          <w:sz w:val="28"/>
          <w:szCs w:val="28"/>
        </w:rPr>
      </w:pPr>
      <w:r>
        <w:rPr>
          <w:rFonts w:hint="eastAsia" w:ascii="黑体" w:hAnsi="黑体" w:eastAsia="黑体" w:cs="黑体"/>
          <w:sz w:val="28"/>
          <w:szCs w:val="28"/>
        </w:rPr>
        <w:t>一、批准文号、机关及用途</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本项目征地根据河源市人民政府《河源市园南片区钓鱼台、滨江大道以西土地储备项目工作方案》（河府办函[2018]85号），批准用途为城镇建设用地。</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hint="eastAsia" w:ascii="黑体" w:hAnsi="黑体" w:eastAsia="黑体" w:cs="黑体"/>
          <w:sz w:val="28"/>
          <w:szCs w:val="28"/>
        </w:rPr>
      </w:pPr>
      <w:r>
        <w:rPr>
          <w:rFonts w:hint="eastAsia" w:ascii="黑体" w:hAnsi="黑体" w:eastAsia="黑体" w:cs="黑体"/>
          <w:sz w:val="28"/>
          <w:szCs w:val="28"/>
        </w:rPr>
        <w:t>二、征收土地范围和面积</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（一）滨江大道以西土地储备项目征地范围东至东江、南至市高新区用地、西至河源大道、北至桂山迎客大道，位于源南镇风光、白田、榄坝村辖区，总实施面积约300万平方米。（具体以项目实施红线为准）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hint="eastAsia" w:ascii="黑体" w:hAnsi="黑体" w:eastAsia="黑体" w:cs="黑体"/>
          <w:sz w:val="28"/>
          <w:szCs w:val="28"/>
        </w:rPr>
      </w:pPr>
      <w:r>
        <w:rPr>
          <w:rFonts w:hint="eastAsia" w:ascii="黑体" w:hAnsi="黑体" w:eastAsia="黑体" w:cs="黑体"/>
          <w:sz w:val="28"/>
          <w:szCs w:val="28"/>
          <w:lang w:eastAsia="zh-CN"/>
        </w:rPr>
        <w:t>三</w:t>
      </w:r>
      <w:r>
        <w:rPr>
          <w:rFonts w:hint="eastAsia" w:ascii="黑体" w:hAnsi="黑体" w:eastAsia="黑体" w:cs="黑体"/>
          <w:sz w:val="28"/>
          <w:szCs w:val="28"/>
        </w:rPr>
        <w:t>、补偿标准和被征地农民安置途径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（一）本项目征地补偿标准按照《河源市市区征地补偿指导标准（2017年修订调整）》（河府〔2017〕61号）执行。详见附表。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二）本项目主要采取货币补偿安置、社会养老保险安置、留用地安置等途径安置被征地农民。其中留用地安置按《广东省征收农村集体土地留用地管理办法（试行）》（粤府办〔2009〕41号）和《广东省人民政府办公厅关于加强征收农村集体土地留用地安置管理工作的意见》（粤府办〔2016〕30号）执行，在符合总体规划的前提下，按征地红线面积的10%安排给被征地所在村集体。</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黑体" w:hAnsi="黑体" w:eastAsia="黑体" w:cs="黑体"/>
          <w:sz w:val="28"/>
          <w:szCs w:val="28"/>
        </w:rPr>
      </w:pPr>
      <w:r>
        <w:rPr>
          <w:rFonts w:hint="eastAsia" w:ascii="黑体" w:hAnsi="黑体" w:eastAsia="黑体" w:cs="黑体"/>
          <w:sz w:val="28"/>
          <w:szCs w:val="28"/>
        </w:rPr>
        <w:t>四、补偿安置资金的支付方式</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土地补偿费在土地地类、面积、果木及其他地上物经村民和现场工作人员签名确认及张榜公布核实无误后，市国土资源局将补偿资金拨付至源南镇，由源南镇拨付到相关村委会，再由各相关村委会以实名制存折的方式支付给被征地村民。</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imes New Roman" w:hAnsi="Times New Roman" w:eastAsia="方正仿宋简体" w:cs="Times New Roman"/>
          <w:sz w:val="28"/>
          <w:szCs w:val="28"/>
          <w:lang w:eastAsia="zh-CN"/>
        </w:rPr>
      </w:pPr>
      <w:r>
        <w:rPr>
          <w:rFonts w:hint="default" w:ascii="Times New Roman" w:hAnsi="Times New Roman" w:eastAsia="方正仿宋简体" w:cs="Times New Roman"/>
          <w:sz w:val="28"/>
          <w:szCs w:val="28"/>
        </w:rPr>
        <w:t>附件：</w:t>
      </w:r>
      <w:r>
        <w:rPr>
          <w:rFonts w:hint="eastAsia" w:ascii="Times New Roman" w:hAnsi="Times New Roman" w:eastAsia="方正仿宋简体" w:cs="Times New Roman"/>
          <w:sz w:val="28"/>
          <w:szCs w:val="28"/>
          <w:lang w:eastAsia="zh-CN"/>
        </w:rPr>
        <w:t>（略，详见河源市政府门户网站）</w:t>
      </w:r>
    </w:p>
    <w:p>
      <w:pPr>
        <w:keepNext w:val="0"/>
        <w:keepLines w:val="0"/>
        <w:pageBreakBefore w:val="0"/>
        <w:widowControl w:val="0"/>
        <w:kinsoku/>
        <w:wordWrap/>
        <w:overflowPunct/>
        <w:topLinePunct w:val="0"/>
        <w:autoSpaceDE/>
        <w:autoSpaceDN/>
        <w:bidi w:val="0"/>
        <w:adjustRightInd/>
        <w:snapToGrid/>
        <w:spacing w:line="500" w:lineRule="exact"/>
        <w:ind w:firstLine="1400" w:firstLineChars="5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1．河源市市区征地补偿指导标准（2017年修订调整）</w:t>
      </w:r>
    </w:p>
    <w:p>
      <w:pPr>
        <w:keepNext w:val="0"/>
        <w:keepLines w:val="0"/>
        <w:pageBreakBefore w:val="0"/>
        <w:widowControl w:val="0"/>
        <w:kinsoku/>
        <w:wordWrap/>
        <w:overflowPunct/>
        <w:topLinePunct w:val="0"/>
        <w:autoSpaceDE/>
        <w:autoSpaceDN/>
        <w:bidi w:val="0"/>
        <w:adjustRightInd/>
        <w:snapToGrid/>
        <w:spacing w:line="500" w:lineRule="exact"/>
        <w:ind w:firstLine="1400" w:firstLineChars="5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2．河源市市区征地果树、竹木类补偿指导标准</w:t>
      </w:r>
    </w:p>
    <w:p>
      <w:pPr>
        <w:keepNext w:val="0"/>
        <w:keepLines w:val="0"/>
        <w:pageBreakBefore w:val="0"/>
        <w:widowControl w:val="0"/>
        <w:kinsoku/>
        <w:wordWrap/>
        <w:overflowPunct/>
        <w:topLinePunct w:val="0"/>
        <w:autoSpaceDE/>
        <w:autoSpaceDN/>
        <w:bidi w:val="0"/>
        <w:adjustRightInd/>
        <w:snapToGrid/>
        <w:spacing w:line="500" w:lineRule="exact"/>
        <w:ind w:firstLine="1680" w:firstLineChars="6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（2017年修订调整）</w:t>
      </w:r>
    </w:p>
    <w:p>
      <w:pPr>
        <w:keepNext w:val="0"/>
        <w:keepLines w:val="0"/>
        <w:pageBreakBefore w:val="0"/>
        <w:widowControl w:val="0"/>
        <w:kinsoku/>
        <w:wordWrap/>
        <w:overflowPunct/>
        <w:topLinePunct w:val="0"/>
        <w:autoSpaceDE/>
        <w:autoSpaceDN/>
        <w:bidi w:val="0"/>
        <w:adjustRightInd/>
        <w:snapToGrid/>
        <w:spacing w:line="500" w:lineRule="exact"/>
        <w:ind w:firstLine="1400" w:firstLineChars="5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3．河源市市区征地坟墓补偿指导标准（2017年修订调整）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叶根友毛笔行书2.0版">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FC155B"/>
    <w:rsid w:val="1FFC15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6</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2019-01-10T02:45:00Z</dcterms:created>
  <dc:creator>Administrator</dc:creator>
  <cp:lastModifiedBy>Administrator</cp:lastModifiedBy>
  <dcterms:modified xsi:type="dcterms:W3CDTF">2019-01-10T02:55:50Z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