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cs="Times New Roman"/>
          <w:b/>
          <w:bCs/>
          <w:sz w:val="44"/>
          <w:szCs w:val="44"/>
        </w:rPr>
      </w:pPr>
    </w:p>
    <w:p>
      <w:pPr>
        <w:spacing w:line="480" w:lineRule="auto"/>
        <w:jc w:val="center"/>
        <w:rPr>
          <w:rFonts w:cs="Times New Roman"/>
          <w:b/>
          <w:bCs/>
          <w:sz w:val="44"/>
          <w:szCs w:val="44"/>
        </w:rPr>
      </w:pPr>
    </w:p>
    <w:p>
      <w:pPr>
        <w:spacing w:line="480" w:lineRule="auto"/>
        <w:jc w:val="both"/>
        <w:rPr>
          <w:rFonts w:cs="Times New Roman"/>
          <w:b/>
          <w:bCs/>
          <w:sz w:val="44"/>
          <w:szCs w:val="44"/>
        </w:rPr>
      </w:pPr>
    </w:p>
    <w:p>
      <w:pPr>
        <w:spacing w:line="480" w:lineRule="auto"/>
        <w:jc w:val="center"/>
        <w:rPr>
          <w:rFonts w:cs="Times New Roman"/>
          <w:b/>
          <w:bCs/>
          <w:sz w:val="44"/>
          <w:szCs w:val="44"/>
        </w:rPr>
      </w:pPr>
    </w:p>
    <w:p>
      <w:pPr>
        <w:spacing w:line="480" w:lineRule="auto"/>
        <w:ind w:firstLine="0" w:firstLineChars="0"/>
        <w:jc w:val="center"/>
        <w:rPr>
          <w:rFonts w:eastAsia="方正小标宋简体" w:cs="Times New Roman"/>
          <w:sz w:val="48"/>
          <w:szCs w:val="48"/>
        </w:rPr>
      </w:pPr>
      <w:bookmarkStart w:id="0" w:name="_Toc28239"/>
      <w:r>
        <w:rPr>
          <w:rFonts w:eastAsia="方正小标宋简体" w:cs="Times New Roman"/>
          <w:sz w:val="48"/>
          <w:szCs w:val="48"/>
        </w:rPr>
        <w:t>河源市源城区2021年度土地征收成片</w:t>
      </w:r>
    </w:p>
    <w:p>
      <w:pPr>
        <w:spacing w:line="480" w:lineRule="auto"/>
        <w:ind w:firstLine="0" w:firstLineChars="0"/>
        <w:jc w:val="center"/>
        <w:rPr>
          <w:rFonts w:eastAsia="方正小标宋简体" w:cs="Times New Roman"/>
          <w:sz w:val="48"/>
          <w:szCs w:val="48"/>
        </w:rPr>
      </w:pPr>
      <w:r>
        <w:rPr>
          <w:rFonts w:eastAsia="方正小标宋简体" w:cs="Times New Roman"/>
          <w:sz w:val="48"/>
          <w:szCs w:val="48"/>
        </w:rPr>
        <w:t>开发方案</w:t>
      </w:r>
      <w:r>
        <w:rPr>
          <w:rFonts w:hint="eastAsia" w:eastAsia="方正小标宋简体" w:cs="Times New Roman"/>
          <w:sz w:val="48"/>
          <w:szCs w:val="48"/>
        </w:rPr>
        <w:t>（</w:t>
      </w:r>
      <w:r>
        <w:rPr>
          <w:rFonts w:eastAsia="方正小标宋简体" w:cs="Times New Roman"/>
          <w:sz w:val="48"/>
          <w:szCs w:val="48"/>
        </w:rPr>
        <w:t>调整</w:t>
      </w:r>
      <w:bookmarkEnd w:id="0"/>
      <w:r>
        <w:rPr>
          <w:rFonts w:hint="eastAsia" w:eastAsia="方正小标宋简体" w:cs="Times New Roman"/>
          <w:sz w:val="48"/>
          <w:szCs w:val="48"/>
        </w:rPr>
        <w:t>）</w:t>
      </w:r>
    </w:p>
    <w:p>
      <w:pPr>
        <w:pStyle w:val="2"/>
        <w:ind w:firstLine="0" w:firstLineChars="0"/>
        <w:jc w:val="center"/>
        <w:rPr>
          <w:rFonts w:eastAsia="方正小标宋简体"/>
          <w:sz w:val="32"/>
          <w:szCs w:val="24"/>
        </w:rPr>
      </w:pPr>
      <w:r>
        <w:rPr>
          <w:rFonts w:hint="eastAsia" w:eastAsia="方正小标宋简体" w:cs="Times New Roman"/>
          <w:sz w:val="48"/>
          <w:szCs w:val="48"/>
        </w:rPr>
        <w:t>（公示草案）</w:t>
      </w:r>
    </w:p>
    <w:p>
      <w:pPr>
        <w:pStyle w:val="9"/>
        <w:ind w:firstLine="880"/>
        <w:rPr>
          <w:sz w:val="44"/>
        </w:rPr>
      </w:pPr>
    </w:p>
    <w:p>
      <w:pPr>
        <w:pStyle w:val="9"/>
        <w:ind w:firstLine="880"/>
        <w:rPr>
          <w:sz w:val="44"/>
        </w:rPr>
      </w:pPr>
    </w:p>
    <w:p>
      <w:pPr>
        <w:pStyle w:val="9"/>
        <w:ind w:firstLine="880"/>
        <w:rPr>
          <w:sz w:val="44"/>
        </w:rPr>
      </w:pPr>
    </w:p>
    <w:p>
      <w:pPr>
        <w:pStyle w:val="9"/>
        <w:ind w:firstLine="880"/>
        <w:rPr>
          <w:sz w:val="44"/>
        </w:rPr>
      </w:pPr>
    </w:p>
    <w:p>
      <w:pPr>
        <w:pStyle w:val="9"/>
        <w:ind w:firstLine="880"/>
        <w:rPr>
          <w:sz w:val="44"/>
        </w:rPr>
      </w:pPr>
    </w:p>
    <w:p>
      <w:pPr>
        <w:pStyle w:val="9"/>
        <w:ind w:firstLine="880"/>
        <w:rPr>
          <w:sz w:val="44"/>
        </w:rPr>
      </w:pPr>
    </w:p>
    <w:p>
      <w:pPr>
        <w:pStyle w:val="9"/>
        <w:ind w:firstLine="880"/>
        <w:rPr>
          <w:sz w:val="44"/>
        </w:rPr>
      </w:pPr>
    </w:p>
    <w:p>
      <w:pPr>
        <w:pStyle w:val="9"/>
        <w:ind w:firstLine="0" w:firstLineChars="0"/>
        <w:rPr>
          <w:sz w:val="44"/>
        </w:rPr>
      </w:pPr>
    </w:p>
    <w:p>
      <w:pPr>
        <w:ind w:firstLine="560"/>
      </w:pPr>
    </w:p>
    <w:p>
      <w:pPr>
        <w:spacing w:line="446" w:lineRule="auto"/>
        <w:ind w:firstLine="0" w:firstLineChars="0"/>
        <w:jc w:val="center"/>
        <w:rPr>
          <w:rFonts w:eastAsia="方正小标宋简体"/>
          <w:sz w:val="32"/>
        </w:rPr>
      </w:pPr>
      <w:bookmarkStart w:id="1" w:name="_Toc29351"/>
      <w:r>
        <w:rPr>
          <w:rFonts w:hint="eastAsia" w:eastAsia="方正小标宋简体"/>
          <w:sz w:val="32"/>
        </w:rPr>
        <w:t>河源市源城区人民政府</w:t>
      </w:r>
      <w:bookmarkEnd w:id="1"/>
    </w:p>
    <w:p>
      <w:pPr>
        <w:ind w:firstLine="0" w:firstLineChars="0"/>
        <w:jc w:val="center"/>
        <w:rPr>
          <w:rFonts w:eastAsia="方正小标宋简体"/>
          <w:sz w:val="32"/>
        </w:rPr>
        <w:sectPr>
          <w:headerReference r:id="rId6" w:type="first"/>
          <w:headerReference r:id="rId5" w:type="default"/>
          <w:pgSz w:w="11906" w:h="16838"/>
          <w:pgMar w:top="1440" w:right="1800" w:bottom="1440" w:left="1800" w:header="851" w:footer="992" w:gutter="0"/>
          <w:pgNumType w:fmt="upperRoman"/>
          <w:cols w:space="425" w:num="1"/>
          <w:titlePg/>
          <w:docGrid w:type="lines" w:linePitch="312" w:charSpace="0"/>
        </w:sectPr>
      </w:pPr>
      <w:r>
        <w:rPr>
          <w:rFonts w:hint="eastAsia" w:eastAsia="方正小标宋简体"/>
          <w:sz w:val="32"/>
        </w:rPr>
        <w:t>二</w:t>
      </w:r>
      <w:r>
        <w:rPr>
          <w:rFonts w:hint="eastAsia" w:ascii="宋体" w:hAnsi="宋体" w:eastAsia="宋体" w:cs="宋体"/>
          <w:sz w:val="32"/>
        </w:rPr>
        <w:t>〇</w:t>
      </w:r>
      <w:r>
        <w:rPr>
          <w:rFonts w:hint="eastAsia" w:ascii="方正小标宋简体" w:hAnsi="方正小标宋简体" w:eastAsia="方正小标宋简体" w:cs="方正小标宋简体"/>
          <w:sz w:val="32"/>
        </w:rPr>
        <w:t>二三年七月</w:t>
      </w:r>
    </w:p>
    <w:sdt>
      <w:sdtPr>
        <w:rPr>
          <w:rFonts w:ascii="宋体" w:hAnsi="宋体" w:eastAsia="宋体"/>
          <w:b/>
          <w:bCs/>
          <w:sz w:val="32"/>
          <w:szCs w:val="36"/>
        </w:rPr>
        <w:id w:val="147480617"/>
        <w15:color w:val="DBDBDB"/>
        <w:docPartObj>
          <w:docPartGallery w:val="Table of Contents"/>
          <w:docPartUnique/>
        </w:docPartObj>
      </w:sdtPr>
      <w:sdtEndPr>
        <w:rPr>
          <w:rFonts w:hint="eastAsia" w:ascii="Times New Roman" w:hAnsi="Times New Roman" w:eastAsia="仿宋_GB2312"/>
          <w:b/>
          <w:bCs/>
          <w:sz w:val="28"/>
          <w:szCs w:val="22"/>
        </w:rPr>
      </w:sdtEndPr>
      <w:sdtContent>
        <w:p>
          <w:pPr>
            <w:spacing w:line="240" w:lineRule="auto"/>
            <w:ind w:firstLine="0" w:firstLineChars="0"/>
            <w:jc w:val="center"/>
            <w:rPr>
              <w:b/>
              <w:sz w:val="24"/>
              <w:szCs w:val="21"/>
            </w:rPr>
          </w:pPr>
          <w:r>
            <w:rPr>
              <w:rFonts w:ascii="宋体" w:hAnsi="宋体" w:eastAsia="宋体"/>
              <w:b/>
              <w:bCs/>
              <w:szCs w:val="32"/>
            </w:rPr>
            <w:t>目</w:t>
          </w:r>
          <w:r>
            <w:rPr>
              <w:rFonts w:hint="eastAsia" w:ascii="宋体" w:hAnsi="宋体" w:eastAsia="宋体"/>
              <w:b/>
              <w:bCs/>
              <w:szCs w:val="32"/>
            </w:rPr>
            <w:t xml:space="preserve">    </w:t>
          </w:r>
          <w:r>
            <w:rPr>
              <w:rFonts w:ascii="宋体" w:hAnsi="宋体" w:eastAsia="宋体"/>
              <w:b/>
              <w:bCs/>
              <w:szCs w:val="32"/>
            </w:rPr>
            <w:t>录</w:t>
          </w:r>
          <w:r>
            <w:rPr>
              <w:rFonts w:hint="eastAsia"/>
              <w:sz w:val="24"/>
              <w:szCs w:val="21"/>
            </w:rPr>
            <w:fldChar w:fldCharType="begin"/>
          </w:r>
          <w:r>
            <w:rPr>
              <w:rFonts w:hint="eastAsia"/>
              <w:sz w:val="24"/>
              <w:szCs w:val="21"/>
            </w:rPr>
            <w:instrText xml:space="preserve">TOC \o "1-2" \h \u </w:instrText>
          </w:r>
          <w:r>
            <w:rPr>
              <w:rFonts w:hint="eastAsia"/>
              <w:sz w:val="24"/>
              <w:szCs w:val="21"/>
            </w:rPr>
            <w:fldChar w:fldCharType="separate"/>
          </w:r>
        </w:p>
        <w:p>
          <w:pPr>
            <w:pStyle w:val="13"/>
            <w:tabs>
              <w:tab w:val="right" w:leader="dot" w:pos="8306"/>
            </w:tabs>
            <w:ind w:firstLine="560"/>
            <w:rPr>
              <w:sz w:val="22"/>
              <w:szCs w:val="20"/>
            </w:rPr>
          </w:pPr>
          <w:r>
            <w:fldChar w:fldCharType="begin"/>
          </w:r>
          <w:r>
            <w:instrText xml:space="preserve"> HYPERLINK \l "_Toc20645" </w:instrText>
          </w:r>
          <w:r>
            <w:fldChar w:fldCharType="separate"/>
          </w:r>
          <w:r>
            <w:rPr>
              <w:rFonts w:hint="eastAsia"/>
              <w:sz w:val="22"/>
              <w:szCs w:val="20"/>
            </w:rPr>
            <w:t xml:space="preserve">第一章 </w:t>
          </w:r>
          <w:r>
            <w:rPr>
              <w:sz w:val="22"/>
              <w:szCs w:val="20"/>
            </w:rPr>
            <w:t>概述</w:t>
          </w:r>
          <w:r>
            <w:rPr>
              <w:sz w:val="22"/>
              <w:szCs w:val="20"/>
            </w:rPr>
            <w:tab/>
          </w:r>
          <w:r>
            <w:rPr>
              <w:sz w:val="22"/>
              <w:szCs w:val="20"/>
            </w:rPr>
            <w:fldChar w:fldCharType="begin"/>
          </w:r>
          <w:r>
            <w:rPr>
              <w:sz w:val="22"/>
              <w:szCs w:val="20"/>
            </w:rPr>
            <w:instrText xml:space="preserve"> PAGEREF _Toc20645 \h </w:instrText>
          </w:r>
          <w:r>
            <w:rPr>
              <w:sz w:val="22"/>
              <w:szCs w:val="20"/>
            </w:rPr>
            <w:fldChar w:fldCharType="separate"/>
          </w:r>
          <w:r>
            <w:rPr>
              <w:sz w:val="22"/>
              <w:szCs w:val="20"/>
            </w:rPr>
            <w:t>1</w:t>
          </w:r>
          <w:r>
            <w:rPr>
              <w:sz w:val="22"/>
              <w:szCs w:val="20"/>
            </w:rPr>
            <w:fldChar w:fldCharType="end"/>
          </w:r>
          <w:r>
            <w:rPr>
              <w:sz w:val="22"/>
              <w:szCs w:val="20"/>
            </w:rPr>
            <w:fldChar w:fldCharType="end"/>
          </w:r>
        </w:p>
        <w:p>
          <w:pPr>
            <w:pStyle w:val="14"/>
            <w:tabs>
              <w:tab w:val="right" w:leader="dot" w:pos="8306"/>
            </w:tabs>
            <w:ind w:left="560" w:firstLine="560"/>
            <w:rPr>
              <w:sz w:val="22"/>
              <w:szCs w:val="20"/>
            </w:rPr>
          </w:pPr>
          <w:r>
            <w:fldChar w:fldCharType="begin"/>
          </w:r>
          <w:r>
            <w:instrText xml:space="preserve"> HYPERLINK \l "_Toc21525" </w:instrText>
          </w:r>
          <w:r>
            <w:fldChar w:fldCharType="separate"/>
          </w:r>
          <w:r>
            <w:rPr>
              <w:rFonts w:hint="eastAsia"/>
              <w:sz w:val="22"/>
              <w:szCs w:val="20"/>
            </w:rPr>
            <w:t>一、 方案调整背景</w:t>
          </w:r>
          <w:r>
            <w:rPr>
              <w:sz w:val="22"/>
              <w:szCs w:val="20"/>
            </w:rPr>
            <w:tab/>
          </w:r>
          <w:r>
            <w:rPr>
              <w:sz w:val="22"/>
              <w:szCs w:val="20"/>
            </w:rPr>
            <w:fldChar w:fldCharType="begin"/>
          </w:r>
          <w:r>
            <w:rPr>
              <w:sz w:val="22"/>
              <w:szCs w:val="20"/>
            </w:rPr>
            <w:instrText xml:space="preserve"> PAGEREF _Toc21525 \h </w:instrText>
          </w:r>
          <w:r>
            <w:rPr>
              <w:sz w:val="22"/>
              <w:szCs w:val="20"/>
            </w:rPr>
            <w:fldChar w:fldCharType="separate"/>
          </w:r>
          <w:r>
            <w:rPr>
              <w:sz w:val="22"/>
              <w:szCs w:val="20"/>
            </w:rPr>
            <w:t>1</w:t>
          </w:r>
          <w:r>
            <w:rPr>
              <w:sz w:val="22"/>
              <w:szCs w:val="20"/>
            </w:rPr>
            <w:fldChar w:fldCharType="end"/>
          </w:r>
          <w:r>
            <w:rPr>
              <w:sz w:val="22"/>
              <w:szCs w:val="20"/>
            </w:rPr>
            <w:fldChar w:fldCharType="end"/>
          </w:r>
        </w:p>
        <w:p>
          <w:pPr>
            <w:pStyle w:val="14"/>
            <w:tabs>
              <w:tab w:val="right" w:leader="dot" w:pos="8306"/>
            </w:tabs>
            <w:ind w:left="560" w:firstLine="560"/>
            <w:rPr>
              <w:sz w:val="22"/>
              <w:szCs w:val="20"/>
            </w:rPr>
          </w:pPr>
          <w:r>
            <w:fldChar w:fldCharType="begin"/>
          </w:r>
          <w:r>
            <w:instrText xml:space="preserve"> HYPERLINK \l "_Toc25327" </w:instrText>
          </w:r>
          <w:r>
            <w:fldChar w:fldCharType="separate"/>
          </w:r>
          <w:r>
            <w:rPr>
              <w:rFonts w:hint="eastAsia"/>
              <w:sz w:val="22"/>
              <w:szCs w:val="20"/>
            </w:rPr>
            <w:t>二、 方案调整原则</w:t>
          </w:r>
          <w:r>
            <w:rPr>
              <w:sz w:val="22"/>
              <w:szCs w:val="20"/>
            </w:rPr>
            <w:tab/>
          </w:r>
          <w:r>
            <w:rPr>
              <w:sz w:val="22"/>
              <w:szCs w:val="20"/>
            </w:rPr>
            <w:fldChar w:fldCharType="begin"/>
          </w:r>
          <w:r>
            <w:rPr>
              <w:sz w:val="22"/>
              <w:szCs w:val="20"/>
            </w:rPr>
            <w:instrText xml:space="preserve"> PAGEREF _Toc25327 \h </w:instrText>
          </w:r>
          <w:r>
            <w:rPr>
              <w:sz w:val="22"/>
              <w:szCs w:val="20"/>
            </w:rPr>
            <w:fldChar w:fldCharType="separate"/>
          </w:r>
          <w:r>
            <w:rPr>
              <w:sz w:val="22"/>
              <w:szCs w:val="20"/>
            </w:rPr>
            <w:t>3</w:t>
          </w:r>
          <w:r>
            <w:rPr>
              <w:sz w:val="22"/>
              <w:szCs w:val="20"/>
            </w:rPr>
            <w:fldChar w:fldCharType="end"/>
          </w:r>
          <w:r>
            <w:rPr>
              <w:sz w:val="22"/>
              <w:szCs w:val="20"/>
            </w:rPr>
            <w:fldChar w:fldCharType="end"/>
          </w:r>
        </w:p>
        <w:p>
          <w:pPr>
            <w:pStyle w:val="14"/>
            <w:tabs>
              <w:tab w:val="right" w:leader="dot" w:pos="8306"/>
            </w:tabs>
            <w:ind w:left="560" w:firstLine="560"/>
            <w:rPr>
              <w:sz w:val="22"/>
              <w:szCs w:val="20"/>
            </w:rPr>
          </w:pPr>
          <w:r>
            <w:fldChar w:fldCharType="begin"/>
          </w:r>
          <w:r>
            <w:instrText xml:space="preserve"> HYPERLINK \l "_Toc19538" </w:instrText>
          </w:r>
          <w:r>
            <w:fldChar w:fldCharType="separate"/>
          </w:r>
          <w:r>
            <w:rPr>
              <w:rFonts w:hint="eastAsia"/>
              <w:sz w:val="22"/>
              <w:szCs w:val="20"/>
            </w:rPr>
            <w:t>三、 方案调整依据</w:t>
          </w:r>
          <w:r>
            <w:rPr>
              <w:sz w:val="22"/>
              <w:szCs w:val="20"/>
            </w:rPr>
            <w:tab/>
          </w:r>
          <w:r>
            <w:rPr>
              <w:sz w:val="22"/>
              <w:szCs w:val="20"/>
            </w:rPr>
            <w:fldChar w:fldCharType="begin"/>
          </w:r>
          <w:r>
            <w:rPr>
              <w:sz w:val="22"/>
              <w:szCs w:val="20"/>
            </w:rPr>
            <w:instrText xml:space="preserve"> PAGEREF _Toc19538 \h </w:instrText>
          </w:r>
          <w:r>
            <w:rPr>
              <w:sz w:val="22"/>
              <w:szCs w:val="20"/>
            </w:rPr>
            <w:fldChar w:fldCharType="separate"/>
          </w:r>
          <w:r>
            <w:rPr>
              <w:sz w:val="22"/>
              <w:szCs w:val="20"/>
            </w:rPr>
            <w:t>4</w:t>
          </w:r>
          <w:r>
            <w:rPr>
              <w:sz w:val="22"/>
              <w:szCs w:val="20"/>
            </w:rPr>
            <w:fldChar w:fldCharType="end"/>
          </w:r>
          <w:r>
            <w:rPr>
              <w:sz w:val="22"/>
              <w:szCs w:val="20"/>
            </w:rPr>
            <w:fldChar w:fldCharType="end"/>
          </w:r>
        </w:p>
        <w:p>
          <w:pPr>
            <w:pStyle w:val="13"/>
            <w:tabs>
              <w:tab w:val="right" w:leader="dot" w:pos="8306"/>
            </w:tabs>
            <w:ind w:firstLine="560"/>
            <w:rPr>
              <w:sz w:val="22"/>
              <w:szCs w:val="20"/>
            </w:rPr>
          </w:pPr>
          <w:r>
            <w:fldChar w:fldCharType="begin"/>
          </w:r>
          <w:r>
            <w:instrText xml:space="preserve"> HYPERLINK \l "_Toc27135" </w:instrText>
          </w:r>
          <w:r>
            <w:fldChar w:fldCharType="separate"/>
          </w:r>
          <w:r>
            <w:rPr>
              <w:rFonts w:hint="eastAsia"/>
              <w:sz w:val="22"/>
              <w:szCs w:val="20"/>
            </w:rPr>
            <w:t>第二章 基本情况</w:t>
          </w:r>
          <w:r>
            <w:rPr>
              <w:sz w:val="22"/>
              <w:szCs w:val="20"/>
            </w:rPr>
            <w:tab/>
          </w:r>
          <w:r>
            <w:rPr>
              <w:sz w:val="22"/>
              <w:szCs w:val="20"/>
            </w:rPr>
            <w:fldChar w:fldCharType="begin"/>
          </w:r>
          <w:r>
            <w:rPr>
              <w:sz w:val="22"/>
              <w:szCs w:val="20"/>
            </w:rPr>
            <w:instrText xml:space="preserve"> PAGEREF _Toc27135 \h </w:instrText>
          </w:r>
          <w:r>
            <w:rPr>
              <w:sz w:val="22"/>
              <w:szCs w:val="20"/>
            </w:rPr>
            <w:fldChar w:fldCharType="separate"/>
          </w:r>
          <w:r>
            <w:rPr>
              <w:sz w:val="22"/>
              <w:szCs w:val="20"/>
            </w:rPr>
            <w:t>7</w:t>
          </w:r>
          <w:r>
            <w:rPr>
              <w:sz w:val="22"/>
              <w:szCs w:val="20"/>
            </w:rPr>
            <w:fldChar w:fldCharType="end"/>
          </w:r>
          <w:r>
            <w:rPr>
              <w:sz w:val="22"/>
              <w:szCs w:val="20"/>
            </w:rPr>
            <w:fldChar w:fldCharType="end"/>
          </w:r>
        </w:p>
        <w:p>
          <w:pPr>
            <w:pStyle w:val="14"/>
            <w:tabs>
              <w:tab w:val="right" w:leader="dot" w:pos="8306"/>
            </w:tabs>
            <w:ind w:left="560" w:firstLine="560"/>
            <w:rPr>
              <w:sz w:val="22"/>
              <w:szCs w:val="20"/>
            </w:rPr>
          </w:pPr>
          <w:r>
            <w:fldChar w:fldCharType="begin"/>
          </w:r>
          <w:r>
            <w:instrText xml:space="preserve"> HYPERLINK \l "_Toc28773" </w:instrText>
          </w:r>
          <w:r>
            <w:fldChar w:fldCharType="separate"/>
          </w:r>
          <w:r>
            <w:rPr>
              <w:rFonts w:hint="eastAsia"/>
              <w:sz w:val="22"/>
              <w:szCs w:val="20"/>
            </w:rPr>
            <w:t>一、 源城区概况</w:t>
          </w:r>
          <w:r>
            <w:rPr>
              <w:sz w:val="22"/>
              <w:szCs w:val="20"/>
            </w:rPr>
            <w:tab/>
          </w:r>
          <w:r>
            <w:rPr>
              <w:sz w:val="22"/>
              <w:szCs w:val="20"/>
            </w:rPr>
            <w:fldChar w:fldCharType="begin"/>
          </w:r>
          <w:r>
            <w:rPr>
              <w:sz w:val="22"/>
              <w:szCs w:val="20"/>
            </w:rPr>
            <w:instrText xml:space="preserve"> PAGEREF _Toc28773 \h </w:instrText>
          </w:r>
          <w:r>
            <w:rPr>
              <w:sz w:val="22"/>
              <w:szCs w:val="20"/>
            </w:rPr>
            <w:fldChar w:fldCharType="separate"/>
          </w:r>
          <w:r>
            <w:rPr>
              <w:sz w:val="22"/>
              <w:szCs w:val="20"/>
            </w:rPr>
            <w:t>7</w:t>
          </w:r>
          <w:r>
            <w:rPr>
              <w:sz w:val="22"/>
              <w:szCs w:val="20"/>
            </w:rPr>
            <w:fldChar w:fldCharType="end"/>
          </w:r>
          <w:r>
            <w:rPr>
              <w:sz w:val="22"/>
              <w:szCs w:val="20"/>
            </w:rPr>
            <w:fldChar w:fldCharType="end"/>
          </w:r>
        </w:p>
        <w:p>
          <w:pPr>
            <w:pStyle w:val="14"/>
            <w:tabs>
              <w:tab w:val="right" w:leader="dot" w:pos="8306"/>
            </w:tabs>
            <w:ind w:left="560" w:firstLine="560"/>
            <w:rPr>
              <w:sz w:val="22"/>
              <w:szCs w:val="20"/>
            </w:rPr>
          </w:pPr>
          <w:r>
            <w:fldChar w:fldCharType="begin"/>
          </w:r>
          <w:r>
            <w:instrText xml:space="preserve"> HYPERLINK \l "_Toc14367" </w:instrText>
          </w:r>
          <w:r>
            <w:fldChar w:fldCharType="separate"/>
          </w:r>
          <w:r>
            <w:rPr>
              <w:rFonts w:hint="eastAsia"/>
              <w:sz w:val="22"/>
              <w:szCs w:val="20"/>
            </w:rPr>
            <w:t>二、 调整前成片开发方案基本情况</w:t>
          </w:r>
          <w:r>
            <w:rPr>
              <w:sz w:val="22"/>
              <w:szCs w:val="20"/>
            </w:rPr>
            <w:tab/>
          </w:r>
          <w:r>
            <w:rPr>
              <w:sz w:val="22"/>
              <w:szCs w:val="20"/>
            </w:rPr>
            <w:fldChar w:fldCharType="begin"/>
          </w:r>
          <w:r>
            <w:rPr>
              <w:sz w:val="22"/>
              <w:szCs w:val="20"/>
            </w:rPr>
            <w:instrText xml:space="preserve"> PAGEREF _Toc14367 \h </w:instrText>
          </w:r>
          <w:r>
            <w:rPr>
              <w:sz w:val="22"/>
              <w:szCs w:val="20"/>
            </w:rPr>
            <w:fldChar w:fldCharType="separate"/>
          </w:r>
          <w:r>
            <w:rPr>
              <w:sz w:val="22"/>
              <w:szCs w:val="20"/>
            </w:rPr>
            <w:t>9</w:t>
          </w:r>
          <w:r>
            <w:rPr>
              <w:sz w:val="22"/>
              <w:szCs w:val="20"/>
            </w:rPr>
            <w:fldChar w:fldCharType="end"/>
          </w:r>
          <w:r>
            <w:rPr>
              <w:sz w:val="22"/>
              <w:szCs w:val="20"/>
            </w:rPr>
            <w:fldChar w:fldCharType="end"/>
          </w:r>
        </w:p>
        <w:p>
          <w:pPr>
            <w:pStyle w:val="14"/>
            <w:tabs>
              <w:tab w:val="right" w:leader="dot" w:pos="8306"/>
            </w:tabs>
            <w:ind w:left="560" w:firstLine="560"/>
            <w:rPr>
              <w:sz w:val="22"/>
              <w:szCs w:val="20"/>
            </w:rPr>
          </w:pPr>
          <w:r>
            <w:fldChar w:fldCharType="begin"/>
          </w:r>
          <w:r>
            <w:instrText xml:space="preserve"> HYPERLINK \l "_Toc9379" </w:instrText>
          </w:r>
          <w:r>
            <w:fldChar w:fldCharType="separate"/>
          </w:r>
          <w:r>
            <w:rPr>
              <w:rFonts w:hint="eastAsia"/>
              <w:sz w:val="22"/>
              <w:szCs w:val="20"/>
            </w:rPr>
            <w:t>三、 成片开发方案调整情况</w:t>
          </w:r>
          <w:r>
            <w:rPr>
              <w:sz w:val="22"/>
              <w:szCs w:val="20"/>
            </w:rPr>
            <w:tab/>
          </w:r>
          <w:r>
            <w:rPr>
              <w:sz w:val="22"/>
              <w:szCs w:val="20"/>
            </w:rPr>
            <w:fldChar w:fldCharType="begin"/>
          </w:r>
          <w:r>
            <w:rPr>
              <w:sz w:val="22"/>
              <w:szCs w:val="20"/>
            </w:rPr>
            <w:instrText xml:space="preserve"> PAGEREF _Toc9379 \h </w:instrText>
          </w:r>
          <w:r>
            <w:rPr>
              <w:sz w:val="22"/>
              <w:szCs w:val="20"/>
            </w:rPr>
            <w:fldChar w:fldCharType="separate"/>
          </w:r>
          <w:r>
            <w:rPr>
              <w:sz w:val="22"/>
              <w:szCs w:val="20"/>
            </w:rPr>
            <w:t>13</w:t>
          </w:r>
          <w:r>
            <w:rPr>
              <w:sz w:val="22"/>
              <w:szCs w:val="20"/>
            </w:rPr>
            <w:fldChar w:fldCharType="end"/>
          </w:r>
          <w:r>
            <w:rPr>
              <w:sz w:val="22"/>
              <w:szCs w:val="20"/>
            </w:rPr>
            <w:fldChar w:fldCharType="end"/>
          </w:r>
        </w:p>
        <w:p>
          <w:pPr>
            <w:pStyle w:val="14"/>
            <w:tabs>
              <w:tab w:val="right" w:leader="dot" w:pos="8306"/>
            </w:tabs>
            <w:ind w:left="560" w:firstLine="560"/>
            <w:rPr>
              <w:sz w:val="22"/>
              <w:szCs w:val="20"/>
            </w:rPr>
          </w:pPr>
          <w:r>
            <w:fldChar w:fldCharType="begin"/>
          </w:r>
          <w:r>
            <w:instrText xml:space="preserve"> HYPERLINK \l "_Toc22195" </w:instrText>
          </w:r>
          <w:r>
            <w:fldChar w:fldCharType="separate"/>
          </w:r>
          <w:r>
            <w:rPr>
              <w:rFonts w:hint="eastAsia"/>
              <w:sz w:val="22"/>
              <w:szCs w:val="20"/>
            </w:rPr>
            <w:t>四、 调整后成片开发方案基本情况</w:t>
          </w:r>
          <w:r>
            <w:rPr>
              <w:sz w:val="22"/>
              <w:szCs w:val="20"/>
            </w:rPr>
            <w:tab/>
          </w:r>
          <w:r>
            <w:rPr>
              <w:sz w:val="22"/>
              <w:szCs w:val="20"/>
            </w:rPr>
            <w:fldChar w:fldCharType="begin"/>
          </w:r>
          <w:r>
            <w:rPr>
              <w:sz w:val="22"/>
              <w:szCs w:val="20"/>
            </w:rPr>
            <w:instrText xml:space="preserve"> PAGEREF _Toc22195 \h </w:instrText>
          </w:r>
          <w:r>
            <w:rPr>
              <w:sz w:val="22"/>
              <w:szCs w:val="20"/>
            </w:rPr>
            <w:fldChar w:fldCharType="separate"/>
          </w:r>
          <w:r>
            <w:rPr>
              <w:sz w:val="22"/>
              <w:szCs w:val="20"/>
            </w:rPr>
            <w:t>14</w:t>
          </w:r>
          <w:r>
            <w:rPr>
              <w:sz w:val="22"/>
              <w:szCs w:val="20"/>
            </w:rPr>
            <w:fldChar w:fldCharType="end"/>
          </w:r>
          <w:r>
            <w:rPr>
              <w:sz w:val="22"/>
              <w:szCs w:val="20"/>
            </w:rPr>
            <w:fldChar w:fldCharType="end"/>
          </w:r>
        </w:p>
        <w:p>
          <w:pPr>
            <w:pStyle w:val="13"/>
            <w:tabs>
              <w:tab w:val="right" w:leader="dot" w:pos="8306"/>
            </w:tabs>
            <w:ind w:firstLine="560"/>
            <w:rPr>
              <w:sz w:val="22"/>
              <w:szCs w:val="20"/>
            </w:rPr>
          </w:pPr>
          <w:r>
            <w:fldChar w:fldCharType="begin"/>
          </w:r>
          <w:r>
            <w:instrText xml:space="preserve"> HYPERLINK \l "_Toc20891" </w:instrText>
          </w:r>
          <w:r>
            <w:fldChar w:fldCharType="separate"/>
          </w:r>
          <w:r>
            <w:rPr>
              <w:rFonts w:hint="eastAsia"/>
              <w:sz w:val="22"/>
              <w:szCs w:val="20"/>
            </w:rPr>
            <w:t>第三章 必要性分析</w:t>
          </w:r>
          <w:r>
            <w:rPr>
              <w:sz w:val="22"/>
              <w:szCs w:val="20"/>
            </w:rPr>
            <w:tab/>
          </w:r>
          <w:r>
            <w:rPr>
              <w:sz w:val="22"/>
              <w:szCs w:val="20"/>
            </w:rPr>
            <w:fldChar w:fldCharType="begin"/>
          </w:r>
          <w:r>
            <w:rPr>
              <w:sz w:val="22"/>
              <w:szCs w:val="20"/>
            </w:rPr>
            <w:instrText xml:space="preserve"> PAGEREF _Toc20891 \h </w:instrText>
          </w:r>
          <w:r>
            <w:rPr>
              <w:sz w:val="22"/>
              <w:szCs w:val="20"/>
            </w:rPr>
            <w:fldChar w:fldCharType="separate"/>
          </w:r>
          <w:r>
            <w:rPr>
              <w:sz w:val="22"/>
              <w:szCs w:val="20"/>
            </w:rPr>
            <w:t>18</w:t>
          </w:r>
          <w:r>
            <w:rPr>
              <w:sz w:val="22"/>
              <w:szCs w:val="20"/>
            </w:rPr>
            <w:fldChar w:fldCharType="end"/>
          </w:r>
          <w:r>
            <w:rPr>
              <w:sz w:val="22"/>
              <w:szCs w:val="20"/>
            </w:rPr>
            <w:fldChar w:fldCharType="end"/>
          </w:r>
        </w:p>
        <w:p>
          <w:pPr>
            <w:pStyle w:val="14"/>
            <w:tabs>
              <w:tab w:val="right" w:leader="dot" w:pos="8306"/>
            </w:tabs>
            <w:ind w:left="560" w:firstLine="560"/>
            <w:rPr>
              <w:sz w:val="22"/>
              <w:szCs w:val="20"/>
            </w:rPr>
          </w:pPr>
          <w:r>
            <w:fldChar w:fldCharType="begin"/>
          </w:r>
          <w:r>
            <w:instrText xml:space="preserve"> HYPERLINK \l "_Toc1481" </w:instrText>
          </w:r>
          <w:r>
            <w:fldChar w:fldCharType="separate"/>
          </w:r>
          <w:r>
            <w:rPr>
              <w:rFonts w:hint="eastAsia"/>
              <w:sz w:val="22"/>
              <w:szCs w:val="20"/>
            </w:rPr>
            <w:t>一、 保障落实“融湾”“融深”发展策略</w:t>
          </w:r>
          <w:r>
            <w:rPr>
              <w:sz w:val="22"/>
              <w:szCs w:val="20"/>
            </w:rPr>
            <w:tab/>
          </w:r>
          <w:r>
            <w:rPr>
              <w:sz w:val="22"/>
              <w:szCs w:val="20"/>
            </w:rPr>
            <w:fldChar w:fldCharType="begin"/>
          </w:r>
          <w:r>
            <w:rPr>
              <w:sz w:val="22"/>
              <w:szCs w:val="20"/>
            </w:rPr>
            <w:instrText xml:space="preserve"> PAGEREF _Toc1481 \h </w:instrText>
          </w:r>
          <w:r>
            <w:rPr>
              <w:sz w:val="22"/>
              <w:szCs w:val="20"/>
            </w:rPr>
            <w:fldChar w:fldCharType="separate"/>
          </w:r>
          <w:r>
            <w:rPr>
              <w:sz w:val="22"/>
              <w:szCs w:val="20"/>
            </w:rPr>
            <w:t>18</w:t>
          </w:r>
          <w:r>
            <w:rPr>
              <w:sz w:val="22"/>
              <w:szCs w:val="20"/>
            </w:rPr>
            <w:fldChar w:fldCharType="end"/>
          </w:r>
          <w:r>
            <w:rPr>
              <w:sz w:val="22"/>
              <w:szCs w:val="20"/>
            </w:rPr>
            <w:fldChar w:fldCharType="end"/>
          </w:r>
        </w:p>
        <w:p>
          <w:pPr>
            <w:pStyle w:val="14"/>
            <w:tabs>
              <w:tab w:val="right" w:leader="dot" w:pos="8306"/>
            </w:tabs>
            <w:ind w:left="560" w:firstLine="560"/>
            <w:rPr>
              <w:sz w:val="22"/>
              <w:szCs w:val="20"/>
            </w:rPr>
          </w:pPr>
          <w:r>
            <w:fldChar w:fldCharType="begin"/>
          </w:r>
          <w:r>
            <w:instrText xml:space="preserve"> HYPERLINK \l "_Toc12795" </w:instrText>
          </w:r>
          <w:r>
            <w:fldChar w:fldCharType="separate"/>
          </w:r>
          <w:r>
            <w:rPr>
              <w:rFonts w:hint="eastAsia"/>
              <w:sz w:val="22"/>
              <w:szCs w:val="20"/>
            </w:rPr>
            <w:t>二、 促进基础设施建设和产业升级的重要举措</w:t>
          </w:r>
          <w:r>
            <w:rPr>
              <w:sz w:val="22"/>
              <w:szCs w:val="20"/>
            </w:rPr>
            <w:tab/>
          </w:r>
          <w:r>
            <w:rPr>
              <w:sz w:val="22"/>
              <w:szCs w:val="20"/>
            </w:rPr>
            <w:fldChar w:fldCharType="begin"/>
          </w:r>
          <w:r>
            <w:rPr>
              <w:sz w:val="22"/>
              <w:szCs w:val="20"/>
            </w:rPr>
            <w:instrText xml:space="preserve"> PAGEREF _Toc12795 \h </w:instrText>
          </w:r>
          <w:r>
            <w:rPr>
              <w:sz w:val="22"/>
              <w:szCs w:val="20"/>
            </w:rPr>
            <w:fldChar w:fldCharType="separate"/>
          </w:r>
          <w:r>
            <w:rPr>
              <w:sz w:val="22"/>
              <w:szCs w:val="20"/>
            </w:rPr>
            <w:t>18</w:t>
          </w:r>
          <w:r>
            <w:rPr>
              <w:sz w:val="22"/>
              <w:szCs w:val="20"/>
            </w:rPr>
            <w:fldChar w:fldCharType="end"/>
          </w:r>
          <w:r>
            <w:rPr>
              <w:sz w:val="22"/>
              <w:szCs w:val="20"/>
            </w:rPr>
            <w:fldChar w:fldCharType="end"/>
          </w:r>
        </w:p>
        <w:p>
          <w:pPr>
            <w:pStyle w:val="14"/>
            <w:tabs>
              <w:tab w:val="right" w:leader="dot" w:pos="8306"/>
            </w:tabs>
            <w:ind w:left="560" w:firstLine="560"/>
            <w:rPr>
              <w:sz w:val="22"/>
              <w:szCs w:val="20"/>
            </w:rPr>
          </w:pPr>
          <w:r>
            <w:fldChar w:fldCharType="begin"/>
          </w:r>
          <w:r>
            <w:instrText xml:space="preserve"> HYPERLINK \l "_Toc27878" </w:instrText>
          </w:r>
          <w:r>
            <w:fldChar w:fldCharType="separate"/>
          </w:r>
          <w:r>
            <w:rPr>
              <w:rFonts w:hint="eastAsia"/>
              <w:sz w:val="22"/>
              <w:szCs w:val="20"/>
            </w:rPr>
            <w:t>三、 构建城市发展新空间格局的重要举措</w:t>
          </w:r>
          <w:r>
            <w:rPr>
              <w:sz w:val="22"/>
              <w:szCs w:val="20"/>
            </w:rPr>
            <w:tab/>
          </w:r>
          <w:r>
            <w:rPr>
              <w:sz w:val="22"/>
              <w:szCs w:val="20"/>
            </w:rPr>
            <w:fldChar w:fldCharType="begin"/>
          </w:r>
          <w:r>
            <w:rPr>
              <w:sz w:val="22"/>
              <w:szCs w:val="20"/>
            </w:rPr>
            <w:instrText xml:space="preserve"> PAGEREF _Toc27878 \h </w:instrText>
          </w:r>
          <w:r>
            <w:rPr>
              <w:sz w:val="22"/>
              <w:szCs w:val="20"/>
            </w:rPr>
            <w:fldChar w:fldCharType="separate"/>
          </w:r>
          <w:r>
            <w:rPr>
              <w:sz w:val="22"/>
              <w:szCs w:val="20"/>
            </w:rPr>
            <w:t>19</w:t>
          </w:r>
          <w:r>
            <w:rPr>
              <w:sz w:val="22"/>
              <w:szCs w:val="20"/>
            </w:rPr>
            <w:fldChar w:fldCharType="end"/>
          </w:r>
          <w:r>
            <w:rPr>
              <w:sz w:val="22"/>
              <w:szCs w:val="20"/>
            </w:rPr>
            <w:fldChar w:fldCharType="end"/>
          </w:r>
        </w:p>
        <w:p>
          <w:pPr>
            <w:pStyle w:val="13"/>
            <w:tabs>
              <w:tab w:val="right" w:leader="dot" w:pos="8306"/>
            </w:tabs>
            <w:ind w:firstLine="560"/>
            <w:rPr>
              <w:sz w:val="22"/>
              <w:szCs w:val="20"/>
            </w:rPr>
          </w:pPr>
          <w:r>
            <w:fldChar w:fldCharType="begin"/>
          </w:r>
          <w:r>
            <w:instrText xml:space="preserve"> HYPERLINK \l "_Toc28820" </w:instrText>
          </w:r>
          <w:r>
            <w:fldChar w:fldCharType="separate"/>
          </w:r>
          <w:r>
            <w:rPr>
              <w:rFonts w:hint="eastAsia"/>
              <w:sz w:val="22"/>
              <w:szCs w:val="20"/>
            </w:rPr>
            <w:t>第四章 可行性分析</w:t>
          </w:r>
          <w:r>
            <w:rPr>
              <w:sz w:val="22"/>
              <w:szCs w:val="20"/>
            </w:rPr>
            <w:tab/>
          </w:r>
          <w:r>
            <w:rPr>
              <w:sz w:val="22"/>
              <w:szCs w:val="20"/>
            </w:rPr>
            <w:fldChar w:fldCharType="begin"/>
          </w:r>
          <w:r>
            <w:rPr>
              <w:sz w:val="22"/>
              <w:szCs w:val="20"/>
            </w:rPr>
            <w:instrText xml:space="preserve"> PAGEREF _Toc28820 \h </w:instrText>
          </w:r>
          <w:r>
            <w:rPr>
              <w:sz w:val="22"/>
              <w:szCs w:val="20"/>
            </w:rPr>
            <w:fldChar w:fldCharType="separate"/>
          </w:r>
          <w:r>
            <w:rPr>
              <w:sz w:val="22"/>
              <w:szCs w:val="20"/>
            </w:rPr>
            <w:t>20</w:t>
          </w:r>
          <w:r>
            <w:rPr>
              <w:sz w:val="22"/>
              <w:szCs w:val="20"/>
            </w:rPr>
            <w:fldChar w:fldCharType="end"/>
          </w:r>
          <w:r>
            <w:rPr>
              <w:sz w:val="22"/>
              <w:szCs w:val="20"/>
            </w:rPr>
            <w:fldChar w:fldCharType="end"/>
          </w:r>
        </w:p>
        <w:p>
          <w:pPr>
            <w:pStyle w:val="14"/>
            <w:tabs>
              <w:tab w:val="right" w:leader="dot" w:pos="8306"/>
            </w:tabs>
            <w:ind w:left="560" w:firstLine="560"/>
            <w:rPr>
              <w:sz w:val="22"/>
              <w:szCs w:val="20"/>
            </w:rPr>
          </w:pPr>
          <w:r>
            <w:fldChar w:fldCharType="begin"/>
          </w:r>
          <w:r>
            <w:instrText xml:space="preserve"> HYPERLINK \l "_Toc12138" </w:instrText>
          </w:r>
          <w:r>
            <w:fldChar w:fldCharType="separate"/>
          </w:r>
          <w:r>
            <w:rPr>
              <w:rFonts w:hint="eastAsia"/>
              <w:sz w:val="22"/>
              <w:szCs w:val="20"/>
            </w:rPr>
            <w:t xml:space="preserve">一、 </w:t>
          </w:r>
          <w:r>
            <w:rPr>
              <w:rFonts w:hint="eastAsia" w:cs="宋体"/>
              <w:sz w:val="22"/>
              <w:szCs w:val="20"/>
            </w:rPr>
            <w:t>与相关规划符合性分析</w:t>
          </w:r>
          <w:r>
            <w:rPr>
              <w:sz w:val="22"/>
              <w:szCs w:val="20"/>
            </w:rPr>
            <w:tab/>
          </w:r>
          <w:r>
            <w:rPr>
              <w:sz w:val="22"/>
              <w:szCs w:val="20"/>
            </w:rPr>
            <w:fldChar w:fldCharType="begin"/>
          </w:r>
          <w:r>
            <w:rPr>
              <w:sz w:val="22"/>
              <w:szCs w:val="20"/>
            </w:rPr>
            <w:instrText xml:space="preserve"> PAGEREF _Toc12138 \h </w:instrText>
          </w:r>
          <w:r>
            <w:rPr>
              <w:sz w:val="22"/>
              <w:szCs w:val="20"/>
            </w:rPr>
            <w:fldChar w:fldCharType="separate"/>
          </w:r>
          <w:r>
            <w:rPr>
              <w:sz w:val="22"/>
              <w:szCs w:val="20"/>
            </w:rPr>
            <w:t>20</w:t>
          </w:r>
          <w:r>
            <w:rPr>
              <w:sz w:val="22"/>
              <w:szCs w:val="20"/>
            </w:rPr>
            <w:fldChar w:fldCharType="end"/>
          </w:r>
          <w:r>
            <w:rPr>
              <w:sz w:val="22"/>
              <w:szCs w:val="20"/>
            </w:rPr>
            <w:fldChar w:fldCharType="end"/>
          </w:r>
        </w:p>
        <w:p>
          <w:pPr>
            <w:pStyle w:val="14"/>
            <w:tabs>
              <w:tab w:val="right" w:leader="dot" w:pos="8306"/>
            </w:tabs>
            <w:ind w:left="560" w:firstLine="560"/>
            <w:rPr>
              <w:sz w:val="22"/>
              <w:szCs w:val="20"/>
            </w:rPr>
          </w:pPr>
          <w:r>
            <w:fldChar w:fldCharType="begin"/>
          </w:r>
          <w:r>
            <w:instrText xml:space="preserve"> HYPERLINK \l "_Toc8120" </w:instrText>
          </w:r>
          <w:r>
            <w:fldChar w:fldCharType="separate"/>
          </w:r>
          <w:r>
            <w:rPr>
              <w:rFonts w:hint="eastAsia"/>
              <w:sz w:val="22"/>
              <w:szCs w:val="20"/>
            </w:rPr>
            <w:t xml:space="preserve">二、 </w:t>
          </w:r>
          <w:r>
            <w:rPr>
              <w:rFonts w:hint="eastAsia" w:cs="宋体"/>
              <w:sz w:val="22"/>
              <w:szCs w:val="20"/>
            </w:rPr>
            <w:t>与相关政策符合性分析</w:t>
          </w:r>
          <w:r>
            <w:rPr>
              <w:sz w:val="22"/>
              <w:szCs w:val="20"/>
            </w:rPr>
            <w:tab/>
          </w:r>
          <w:r>
            <w:rPr>
              <w:sz w:val="22"/>
              <w:szCs w:val="20"/>
            </w:rPr>
            <w:fldChar w:fldCharType="begin"/>
          </w:r>
          <w:r>
            <w:rPr>
              <w:sz w:val="22"/>
              <w:szCs w:val="20"/>
            </w:rPr>
            <w:instrText xml:space="preserve"> PAGEREF _Toc8120 \h </w:instrText>
          </w:r>
          <w:r>
            <w:rPr>
              <w:sz w:val="22"/>
              <w:szCs w:val="20"/>
            </w:rPr>
            <w:fldChar w:fldCharType="separate"/>
          </w:r>
          <w:r>
            <w:rPr>
              <w:sz w:val="22"/>
              <w:szCs w:val="20"/>
            </w:rPr>
            <w:t>22</w:t>
          </w:r>
          <w:r>
            <w:rPr>
              <w:sz w:val="22"/>
              <w:szCs w:val="20"/>
            </w:rPr>
            <w:fldChar w:fldCharType="end"/>
          </w:r>
          <w:r>
            <w:rPr>
              <w:sz w:val="22"/>
              <w:szCs w:val="20"/>
            </w:rPr>
            <w:fldChar w:fldCharType="end"/>
          </w:r>
        </w:p>
        <w:p>
          <w:pPr>
            <w:pStyle w:val="13"/>
            <w:tabs>
              <w:tab w:val="right" w:leader="dot" w:pos="8306"/>
            </w:tabs>
            <w:ind w:firstLine="560"/>
            <w:rPr>
              <w:sz w:val="22"/>
              <w:szCs w:val="20"/>
            </w:rPr>
          </w:pPr>
          <w:r>
            <w:fldChar w:fldCharType="begin"/>
          </w:r>
          <w:r>
            <w:instrText xml:space="preserve"> HYPERLINK \l "_Toc26894" </w:instrText>
          </w:r>
          <w:r>
            <w:fldChar w:fldCharType="separate"/>
          </w:r>
          <w:r>
            <w:rPr>
              <w:rFonts w:hint="eastAsia"/>
              <w:sz w:val="22"/>
              <w:szCs w:val="20"/>
            </w:rPr>
            <w:t>第五章 实施计划</w:t>
          </w:r>
          <w:r>
            <w:rPr>
              <w:sz w:val="22"/>
              <w:szCs w:val="20"/>
            </w:rPr>
            <w:tab/>
          </w:r>
          <w:r>
            <w:rPr>
              <w:sz w:val="22"/>
              <w:szCs w:val="20"/>
            </w:rPr>
            <w:fldChar w:fldCharType="begin"/>
          </w:r>
          <w:r>
            <w:rPr>
              <w:sz w:val="22"/>
              <w:szCs w:val="20"/>
            </w:rPr>
            <w:instrText xml:space="preserve"> PAGEREF _Toc26894 \h </w:instrText>
          </w:r>
          <w:r>
            <w:rPr>
              <w:sz w:val="22"/>
              <w:szCs w:val="20"/>
            </w:rPr>
            <w:fldChar w:fldCharType="separate"/>
          </w:r>
          <w:r>
            <w:rPr>
              <w:sz w:val="22"/>
              <w:szCs w:val="20"/>
            </w:rPr>
            <w:t>25</w:t>
          </w:r>
          <w:r>
            <w:rPr>
              <w:sz w:val="22"/>
              <w:szCs w:val="20"/>
            </w:rPr>
            <w:fldChar w:fldCharType="end"/>
          </w:r>
          <w:r>
            <w:rPr>
              <w:sz w:val="22"/>
              <w:szCs w:val="20"/>
            </w:rPr>
            <w:fldChar w:fldCharType="end"/>
          </w:r>
        </w:p>
        <w:p>
          <w:pPr>
            <w:pStyle w:val="14"/>
            <w:tabs>
              <w:tab w:val="right" w:leader="dot" w:pos="8306"/>
            </w:tabs>
            <w:ind w:left="560" w:firstLine="560"/>
            <w:rPr>
              <w:sz w:val="22"/>
              <w:szCs w:val="20"/>
            </w:rPr>
          </w:pPr>
          <w:r>
            <w:fldChar w:fldCharType="begin"/>
          </w:r>
          <w:r>
            <w:instrText xml:space="preserve"> HYPERLINK \l "_Toc7232" </w:instrText>
          </w:r>
          <w:r>
            <w:fldChar w:fldCharType="separate"/>
          </w:r>
          <w:r>
            <w:rPr>
              <w:rFonts w:hint="eastAsia"/>
              <w:sz w:val="22"/>
              <w:szCs w:val="20"/>
            </w:rPr>
            <w:t>一、 项目安排</w:t>
          </w:r>
          <w:r>
            <w:rPr>
              <w:sz w:val="22"/>
              <w:szCs w:val="20"/>
            </w:rPr>
            <w:tab/>
          </w:r>
          <w:r>
            <w:rPr>
              <w:sz w:val="22"/>
              <w:szCs w:val="20"/>
            </w:rPr>
            <w:fldChar w:fldCharType="begin"/>
          </w:r>
          <w:r>
            <w:rPr>
              <w:sz w:val="22"/>
              <w:szCs w:val="20"/>
            </w:rPr>
            <w:instrText xml:space="preserve"> PAGEREF _Toc7232 \h </w:instrText>
          </w:r>
          <w:r>
            <w:rPr>
              <w:sz w:val="22"/>
              <w:szCs w:val="20"/>
            </w:rPr>
            <w:fldChar w:fldCharType="separate"/>
          </w:r>
          <w:r>
            <w:rPr>
              <w:sz w:val="22"/>
              <w:szCs w:val="20"/>
            </w:rPr>
            <w:t>25</w:t>
          </w:r>
          <w:r>
            <w:rPr>
              <w:sz w:val="22"/>
              <w:szCs w:val="20"/>
            </w:rPr>
            <w:fldChar w:fldCharType="end"/>
          </w:r>
          <w:r>
            <w:rPr>
              <w:sz w:val="22"/>
              <w:szCs w:val="20"/>
            </w:rPr>
            <w:fldChar w:fldCharType="end"/>
          </w:r>
        </w:p>
        <w:p>
          <w:pPr>
            <w:pStyle w:val="14"/>
            <w:tabs>
              <w:tab w:val="right" w:leader="dot" w:pos="8306"/>
            </w:tabs>
            <w:ind w:left="560" w:firstLine="560"/>
            <w:rPr>
              <w:sz w:val="22"/>
              <w:szCs w:val="20"/>
            </w:rPr>
          </w:pPr>
          <w:r>
            <w:fldChar w:fldCharType="begin"/>
          </w:r>
          <w:r>
            <w:instrText xml:space="preserve"> HYPERLINK \l "_Toc31549" </w:instrText>
          </w:r>
          <w:r>
            <w:fldChar w:fldCharType="separate"/>
          </w:r>
          <w:r>
            <w:rPr>
              <w:rFonts w:hint="eastAsia"/>
              <w:sz w:val="22"/>
              <w:szCs w:val="20"/>
            </w:rPr>
            <w:t>二、 开发时序与实施计划</w:t>
          </w:r>
          <w:r>
            <w:rPr>
              <w:sz w:val="22"/>
              <w:szCs w:val="20"/>
            </w:rPr>
            <w:tab/>
          </w:r>
          <w:r>
            <w:rPr>
              <w:sz w:val="22"/>
              <w:szCs w:val="20"/>
            </w:rPr>
            <w:fldChar w:fldCharType="begin"/>
          </w:r>
          <w:r>
            <w:rPr>
              <w:sz w:val="22"/>
              <w:szCs w:val="20"/>
            </w:rPr>
            <w:instrText xml:space="preserve"> PAGEREF _Toc31549 \h </w:instrText>
          </w:r>
          <w:r>
            <w:rPr>
              <w:sz w:val="22"/>
              <w:szCs w:val="20"/>
            </w:rPr>
            <w:fldChar w:fldCharType="separate"/>
          </w:r>
          <w:r>
            <w:rPr>
              <w:sz w:val="22"/>
              <w:szCs w:val="20"/>
            </w:rPr>
            <w:t>25</w:t>
          </w:r>
          <w:r>
            <w:rPr>
              <w:sz w:val="22"/>
              <w:szCs w:val="20"/>
            </w:rPr>
            <w:fldChar w:fldCharType="end"/>
          </w:r>
          <w:r>
            <w:rPr>
              <w:sz w:val="22"/>
              <w:szCs w:val="20"/>
            </w:rPr>
            <w:fldChar w:fldCharType="end"/>
          </w:r>
        </w:p>
        <w:p>
          <w:pPr>
            <w:pStyle w:val="13"/>
            <w:tabs>
              <w:tab w:val="right" w:leader="dot" w:pos="8306"/>
            </w:tabs>
            <w:ind w:firstLine="560"/>
            <w:rPr>
              <w:sz w:val="22"/>
              <w:szCs w:val="20"/>
            </w:rPr>
          </w:pPr>
          <w:r>
            <w:fldChar w:fldCharType="begin"/>
          </w:r>
          <w:r>
            <w:instrText xml:space="preserve"> HYPERLINK \l "_Toc16888" </w:instrText>
          </w:r>
          <w:r>
            <w:fldChar w:fldCharType="separate"/>
          </w:r>
          <w:r>
            <w:rPr>
              <w:rFonts w:hint="eastAsia"/>
              <w:sz w:val="22"/>
              <w:szCs w:val="20"/>
            </w:rPr>
            <w:t>第六章 效益评估</w:t>
          </w:r>
          <w:r>
            <w:rPr>
              <w:sz w:val="22"/>
              <w:szCs w:val="20"/>
            </w:rPr>
            <w:tab/>
          </w:r>
          <w:r>
            <w:rPr>
              <w:sz w:val="22"/>
              <w:szCs w:val="20"/>
            </w:rPr>
            <w:fldChar w:fldCharType="begin"/>
          </w:r>
          <w:r>
            <w:rPr>
              <w:sz w:val="22"/>
              <w:szCs w:val="20"/>
            </w:rPr>
            <w:instrText xml:space="preserve"> PAGEREF _Toc16888 \h </w:instrText>
          </w:r>
          <w:r>
            <w:rPr>
              <w:sz w:val="22"/>
              <w:szCs w:val="20"/>
            </w:rPr>
            <w:fldChar w:fldCharType="separate"/>
          </w:r>
          <w:r>
            <w:rPr>
              <w:sz w:val="22"/>
              <w:szCs w:val="20"/>
            </w:rPr>
            <w:t>26</w:t>
          </w:r>
          <w:r>
            <w:rPr>
              <w:sz w:val="22"/>
              <w:szCs w:val="20"/>
            </w:rPr>
            <w:fldChar w:fldCharType="end"/>
          </w:r>
          <w:r>
            <w:rPr>
              <w:sz w:val="22"/>
              <w:szCs w:val="20"/>
            </w:rPr>
            <w:fldChar w:fldCharType="end"/>
          </w:r>
        </w:p>
        <w:p>
          <w:pPr>
            <w:pStyle w:val="14"/>
            <w:tabs>
              <w:tab w:val="right" w:leader="dot" w:pos="8306"/>
            </w:tabs>
            <w:ind w:left="560" w:firstLine="560"/>
            <w:rPr>
              <w:sz w:val="22"/>
              <w:szCs w:val="20"/>
            </w:rPr>
          </w:pPr>
          <w:r>
            <w:fldChar w:fldCharType="begin"/>
          </w:r>
          <w:r>
            <w:instrText xml:space="preserve"> HYPERLINK \l "_Toc6753" </w:instrText>
          </w:r>
          <w:r>
            <w:fldChar w:fldCharType="separate"/>
          </w:r>
          <w:r>
            <w:rPr>
              <w:rFonts w:hint="eastAsia"/>
              <w:sz w:val="22"/>
              <w:szCs w:val="20"/>
            </w:rPr>
            <w:t>一、 土地利用效益评估</w:t>
          </w:r>
          <w:r>
            <w:rPr>
              <w:sz w:val="22"/>
              <w:szCs w:val="20"/>
            </w:rPr>
            <w:tab/>
          </w:r>
          <w:r>
            <w:rPr>
              <w:sz w:val="22"/>
              <w:szCs w:val="20"/>
            </w:rPr>
            <w:fldChar w:fldCharType="begin"/>
          </w:r>
          <w:r>
            <w:rPr>
              <w:sz w:val="22"/>
              <w:szCs w:val="20"/>
            </w:rPr>
            <w:instrText xml:space="preserve"> PAGEREF _Toc6753 \h </w:instrText>
          </w:r>
          <w:r>
            <w:rPr>
              <w:sz w:val="22"/>
              <w:szCs w:val="20"/>
            </w:rPr>
            <w:fldChar w:fldCharType="separate"/>
          </w:r>
          <w:r>
            <w:rPr>
              <w:sz w:val="22"/>
              <w:szCs w:val="20"/>
            </w:rPr>
            <w:t>26</w:t>
          </w:r>
          <w:r>
            <w:rPr>
              <w:sz w:val="22"/>
              <w:szCs w:val="20"/>
            </w:rPr>
            <w:fldChar w:fldCharType="end"/>
          </w:r>
          <w:r>
            <w:rPr>
              <w:sz w:val="22"/>
              <w:szCs w:val="20"/>
            </w:rPr>
            <w:fldChar w:fldCharType="end"/>
          </w:r>
        </w:p>
        <w:p>
          <w:pPr>
            <w:pStyle w:val="14"/>
            <w:tabs>
              <w:tab w:val="right" w:leader="dot" w:pos="8306"/>
            </w:tabs>
            <w:ind w:left="560" w:firstLine="560"/>
            <w:rPr>
              <w:sz w:val="22"/>
              <w:szCs w:val="20"/>
            </w:rPr>
          </w:pPr>
          <w:r>
            <w:fldChar w:fldCharType="begin"/>
          </w:r>
          <w:r>
            <w:instrText xml:space="preserve"> HYPERLINK \l "_Toc17483" </w:instrText>
          </w:r>
          <w:r>
            <w:fldChar w:fldCharType="separate"/>
          </w:r>
          <w:r>
            <w:rPr>
              <w:rFonts w:hint="eastAsia"/>
              <w:sz w:val="22"/>
              <w:szCs w:val="20"/>
            </w:rPr>
            <w:t>二、 经济效益评估</w:t>
          </w:r>
          <w:r>
            <w:rPr>
              <w:sz w:val="22"/>
              <w:szCs w:val="20"/>
            </w:rPr>
            <w:tab/>
          </w:r>
          <w:r>
            <w:rPr>
              <w:sz w:val="22"/>
              <w:szCs w:val="20"/>
            </w:rPr>
            <w:fldChar w:fldCharType="begin"/>
          </w:r>
          <w:r>
            <w:rPr>
              <w:sz w:val="22"/>
              <w:szCs w:val="20"/>
            </w:rPr>
            <w:instrText xml:space="preserve"> PAGEREF _Toc17483 \h </w:instrText>
          </w:r>
          <w:r>
            <w:rPr>
              <w:sz w:val="22"/>
              <w:szCs w:val="20"/>
            </w:rPr>
            <w:fldChar w:fldCharType="separate"/>
          </w:r>
          <w:r>
            <w:rPr>
              <w:sz w:val="22"/>
              <w:szCs w:val="20"/>
            </w:rPr>
            <w:t>26</w:t>
          </w:r>
          <w:r>
            <w:rPr>
              <w:sz w:val="22"/>
              <w:szCs w:val="20"/>
            </w:rPr>
            <w:fldChar w:fldCharType="end"/>
          </w:r>
          <w:r>
            <w:rPr>
              <w:sz w:val="22"/>
              <w:szCs w:val="20"/>
            </w:rPr>
            <w:fldChar w:fldCharType="end"/>
          </w:r>
        </w:p>
        <w:p>
          <w:pPr>
            <w:pStyle w:val="14"/>
            <w:tabs>
              <w:tab w:val="right" w:leader="dot" w:pos="8306"/>
            </w:tabs>
            <w:ind w:left="560" w:firstLine="560"/>
            <w:rPr>
              <w:sz w:val="22"/>
              <w:szCs w:val="20"/>
            </w:rPr>
          </w:pPr>
          <w:r>
            <w:fldChar w:fldCharType="begin"/>
          </w:r>
          <w:r>
            <w:instrText xml:space="preserve"> HYPERLINK \l "_Toc16978" </w:instrText>
          </w:r>
          <w:r>
            <w:fldChar w:fldCharType="separate"/>
          </w:r>
          <w:r>
            <w:rPr>
              <w:rFonts w:hint="eastAsia"/>
              <w:sz w:val="22"/>
              <w:szCs w:val="20"/>
            </w:rPr>
            <w:t>三、 社会效益评估</w:t>
          </w:r>
          <w:r>
            <w:rPr>
              <w:sz w:val="22"/>
              <w:szCs w:val="20"/>
            </w:rPr>
            <w:tab/>
          </w:r>
          <w:r>
            <w:rPr>
              <w:sz w:val="22"/>
              <w:szCs w:val="20"/>
            </w:rPr>
            <w:fldChar w:fldCharType="begin"/>
          </w:r>
          <w:r>
            <w:rPr>
              <w:sz w:val="22"/>
              <w:szCs w:val="20"/>
            </w:rPr>
            <w:instrText xml:space="preserve"> PAGEREF _Toc16978 \h </w:instrText>
          </w:r>
          <w:r>
            <w:rPr>
              <w:sz w:val="22"/>
              <w:szCs w:val="20"/>
            </w:rPr>
            <w:fldChar w:fldCharType="separate"/>
          </w:r>
          <w:r>
            <w:rPr>
              <w:sz w:val="22"/>
              <w:szCs w:val="20"/>
            </w:rPr>
            <w:t>27</w:t>
          </w:r>
          <w:r>
            <w:rPr>
              <w:sz w:val="22"/>
              <w:szCs w:val="20"/>
            </w:rPr>
            <w:fldChar w:fldCharType="end"/>
          </w:r>
          <w:r>
            <w:rPr>
              <w:sz w:val="22"/>
              <w:szCs w:val="20"/>
            </w:rPr>
            <w:fldChar w:fldCharType="end"/>
          </w:r>
        </w:p>
        <w:p>
          <w:pPr>
            <w:pStyle w:val="14"/>
            <w:tabs>
              <w:tab w:val="right" w:leader="dot" w:pos="8306"/>
            </w:tabs>
            <w:ind w:left="560" w:firstLine="560"/>
            <w:rPr>
              <w:sz w:val="22"/>
              <w:szCs w:val="20"/>
            </w:rPr>
          </w:pPr>
          <w:r>
            <w:fldChar w:fldCharType="begin"/>
          </w:r>
          <w:r>
            <w:instrText xml:space="preserve"> HYPERLINK \l "_Toc21852" </w:instrText>
          </w:r>
          <w:r>
            <w:fldChar w:fldCharType="separate"/>
          </w:r>
          <w:r>
            <w:rPr>
              <w:rFonts w:hint="eastAsia"/>
              <w:sz w:val="22"/>
              <w:szCs w:val="20"/>
            </w:rPr>
            <w:t>四、 生态效益评估</w:t>
          </w:r>
          <w:r>
            <w:rPr>
              <w:sz w:val="22"/>
              <w:szCs w:val="20"/>
            </w:rPr>
            <w:tab/>
          </w:r>
          <w:r>
            <w:rPr>
              <w:sz w:val="22"/>
              <w:szCs w:val="20"/>
            </w:rPr>
            <w:fldChar w:fldCharType="begin"/>
          </w:r>
          <w:r>
            <w:rPr>
              <w:sz w:val="22"/>
              <w:szCs w:val="20"/>
            </w:rPr>
            <w:instrText xml:space="preserve"> PAGEREF _Toc21852 \h </w:instrText>
          </w:r>
          <w:r>
            <w:rPr>
              <w:sz w:val="22"/>
              <w:szCs w:val="20"/>
            </w:rPr>
            <w:fldChar w:fldCharType="separate"/>
          </w:r>
          <w:r>
            <w:rPr>
              <w:sz w:val="22"/>
              <w:szCs w:val="20"/>
            </w:rPr>
            <w:t>27</w:t>
          </w:r>
          <w:r>
            <w:rPr>
              <w:sz w:val="22"/>
              <w:szCs w:val="20"/>
            </w:rPr>
            <w:fldChar w:fldCharType="end"/>
          </w:r>
          <w:r>
            <w:rPr>
              <w:sz w:val="22"/>
              <w:szCs w:val="20"/>
            </w:rPr>
            <w:fldChar w:fldCharType="end"/>
          </w:r>
        </w:p>
        <w:p>
          <w:pPr>
            <w:pStyle w:val="13"/>
            <w:tabs>
              <w:tab w:val="right" w:leader="dot" w:pos="8306"/>
            </w:tabs>
            <w:ind w:firstLine="560"/>
            <w:rPr>
              <w:sz w:val="22"/>
              <w:szCs w:val="20"/>
            </w:rPr>
          </w:pPr>
          <w:r>
            <w:fldChar w:fldCharType="begin"/>
          </w:r>
          <w:r>
            <w:instrText xml:space="preserve"> HYPERLINK \l "_Toc13196" </w:instrText>
          </w:r>
          <w:r>
            <w:fldChar w:fldCharType="separate"/>
          </w:r>
          <w:r>
            <w:rPr>
              <w:rFonts w:hint="eastAsia"/>
              <w:sz w:val="22"/>
              <w:szCs w:val="20"/>
            </w:rPr>
            <w:t>第七章 结论</w:t>
          </w:r>
          <w:r>
            <w:rPr>
              <w:sz w:val="22"/>
              <w:szCs w:val="20"/>
            </w:rPr>
            <w:tab/>
          </w:r>
          <w:r>
            <w:rPr>
              <w:sz w:val="22"/>
              <w:szCs w:val="20"/>
            </w:rPr>
            <w:fldChar w:fldCharType="begin"/>
          </w:r>
          <w:r>
            <w:rPr>
              <w:sz w:val="22"/>
              <w:szCs w:val="20"/>
            </w:rPr>
            <w:instrText xml:space="preserve"> PAGEREF _Toc13196 \h </w:instrText>
          </w:r>
          <w:r>
            <w:rPr>
              <w:sz w:val="22"/>
              <w:szCs w:val="20"/>
            </w:rPr>
            <w:fldChar w:fldCharType="separate"/>
          </w:r>
          <w:r>
            <w:rPr>
              <w:sz w:val="22"/>
              <w:szCs w:val="20"/>
            </w:rPr>
            <w:t>29</w:t>
          </w:r>
          <w:r>
            <w:rPr>
              <w:sz w:val="22"/>
              <w:szCs w:val="20"/>
            </w:rPr>
            <w:fldChar w:fldCharType="end"/>
          </w:r>
          <w:r>
            <w:rPr>
              <w:sz w:val="22"/>
              <w:szCs w:val="20"/>
            </w:rPr>
            <w:fldChar w:fldCharType="end"/>
          </w:r>
        </w:p>
        <w:p>
          <w:pPr>
            <w:pStyle w:val="13"/>
            <w:tabs>
              <w:tab w:val="right" w:leader="dot" w:pos="8306"/>
            </w:tabs>
            <w:ind w:firstLine="560"/>
            <w:rPr>
              <w:sz w:val="24"/>
              <w:szCs w:val="21"/>
            </w:rPr>
          </w:pPr>
          <w:r>
            <w:fldChar w:fldCharType="begin"/>
          </w:r>
          <w:r>
            <w:instrText xml:space="preserve"> HYPERLINK \l "_Toc22268" </w:instrText>
          </w:r>
          <w:r>
            <w:fldChar w:fldCharType="separate"/>
          </w:r>
          <w:r>
            <w:rPr>
              <w:rFonts w:hint="eastAsia"/>
              <w:sz w:val="22"/>
              <w:szCs w:val="20"/>
            </w:rPr>
            <w:t>第八章 附图</w:t>
          </w:r>
          <w:r>
            <w:rPr>
              <w:sz w:val="22"/>
              <w:szCs w:val="20"/>
            </w:rPr>
            <w:tab/>
          </w:r>
          <w:r>
            <w:rPr>
              <w:sz w:val="22"/>
              <w:szCs w:val="20"/>
            </w:rPr>
            <w:fldChar w:fldCharType="begin"/>
          </w:r>
          <w:r>
            <w:rPr>
              <w:sz w:val="22"/>
              <w:szCs w:val="20"/>
            </w:rPr>
            <w:instrText xml:space="preserve"> PAGEREF _Toc22268 \h </w:instrText>
          </w:r>
          <w:r>
            <w:rPr>
              <w:sz w:val="22"/>
              <w:szCs w:val="20"/>
            </w:rPr>
            <w:fldChar w:fldCharType="separate"/>
          </w:r>
          <w:r>
            <w:rPr>
              <w:sz w:val="22"/>
              <w:szCs w:val="20"/>
            </w:rPr>
            <w:t>31</w:t>
          </w:r>
          <w:r>
            <w:rPr>
              <w:sz w:val="22"/>
              <w:szCs w:val="20"/>
            </w:rPr>
            <w:fldChar w:fldCharType="end"/>
          </w:r>
          <w:r>
            <w:rPr>
              <w:sz w:val="22"/>
              <w:szCs w:val="20"/>
            </w:rPr>
            <w:fldChar w:fldCharType="end"/>
          </w:r>
        </w:p>
        <w:p>
          <w:pPr>
            <w:pStyle w:val="2"/>
            <w:spacing w:line="240" w:lineRule="auto"/>
            <w:ind w:firstLine="562" w:firstLineChars="0"/>
            <w:jc w:val="center"/>
            <w:rPr>
              <w:b/>
            </w:rPr>
            <w:sectPr>
              <w:footerReference r:id="rId8" w:type="first"/>
              <w:footerReference r:id="rId7" w:type="default"/>
              <w:pgSz w:w="11906" w:h="16838"/>
              <w:pgMar w:top="1440" w:right="1800" w:bottom="1440" w:left="1800" w:header="851" w:footer="992" w:gutter="0"/>
              <w:pgNumType w:fmt="upperRoman" w:start="1"/>
              <w:cols w:space="425" w:num="1"/>
              <w:titlePg/>
              <w:docGrid w:type="lines" w:linePitch="312" w:charSpace="0"/>
            </w:sectPr>
          </w:pPr>
          <w:r>
            <w:rPr>
              <w:rFonts w:hint="eastAsia"/>
              <w:b/>
              <w:sz w:val="24"/>
              <w:szCs w:val="21"/>
            </w:rPr>
            <w:fldChar w:fldCharType="end"/>
          </w:r>
        </w:p>
      </w:sdtContent>
    </w:sdt>
    <w:p>
      <w:pPr>
        <w:pStyle w:val="3"/>
        <w:numPr>
          <w:ilvl w:val="0"/>
          <w:numId w:val="1"/>
        </w:numPr>
        <w:ind w:left="0" w:right="0" w:firstLine="0" w:firstLineChars="0"/>
      </w:pPr>
      <w:bookmarkStart w:id="2" w:name="_Toc20645"/>
      <w:r>
        <w:t>概述</w:t>
      </w:r>
      <w:bookmarkEnd w:id="2"/>
    </w:p>
    <w:p>
      <w:pPr>
        <w:pStyle w:val="4"/>
        <w:numPr>
          <w:ilvl w:val="0"/>
          <w:numId w:val="2"/>
        </w:numPr>
      </w:pPr>
      <w:bookmarkStart w:id="3" w:name="_Toc21525"/>
      <w:r>
        <w:rPr>
          <w:rFonts w:hint="eastAsia"/>
        </w:rPr>
        <w:t>方案调整背景</w:t>
      </w:r>
      <w:bookmarkEnd w:id="3"/>
    </w:p>
    <w:p>
      <w:pPr>
        <w:pStyle w:val="5"/>
        <w:numPr>
          <w:ilvl w:val="0"/>
          <w:numId w:val="3"/>
        </w:numPr>
      </w:pPr>
      <w:r>
        <w:rPr>
          <w:rFonts w:hint="eastAsia"/>
        </w:rPr>
        <w:t>经济背景</w:t>
      </w:r>
    </w:p>
    <w:p>
      <w:pPr>
        <w:ind w:firstLine="560"/>
        <w:rPr>
          <w:rFonts w:cs="Times New Roman"/>
          <w:szCs w:val="28"/>
        </w:rPr>
      </w:pPr>
      <w:r>
        <w:rPr>
          <w:rFonts w:hint="eastAsia" w:cs="Times New Roman"/>
          <w:szCs w:val="28"/>
        </w:rPr>
        <w:t>“</w:t>
      </w:r>
      <w:r>
        <w:rPr>
          <w:rFonts w:cs="Times New Roman"/>
          <w:szCs w:val="28"/>
        </w:rPr>
        <w:t>十四五</w:t>
      </w:r>
      <w:r>
        <w:rPr>
          <w:rFonts w:hint="eastAsia" w:cs="Times New Roman"/>
          <w:szCs w:val="28"/>
        </w:rPr>
        <w:t>”</w:t>
      </w:r>
      <w:r>
        <w:rPr>
          <w:rFonts w:cs="Times New Roman"/>
          <w:szCs w:val="28"/>
        </w:rPr>
        <w:t>时期，源城区将全面融入</w:t>
      </w:r>
      <w:r>
        <w:rPr>
          <w:rFonts w:hint="eastAsia" w:cs="Times New Roman"/>
          <w:szCs w:val="28"/>
        </w:rPr>
        <w:t>“</w:t>
      </w:r>
      <w:r>
        <w:rPr>
          <w:rFonts w:cs="Times New Roman"/>
          <w:szCs w:val="28"/>
        </w:rPr>
        <w:t>双区</w:t>
      </w:r>
      <w:r>
        <w:rPr>
          <w:rFonts w:hint="eastAsia" w:cs="Times New Roman"/>
          <w:szCs w:val="28"/>
        </w:rPr>
        <w:t>”</w:t>
      </w:r>
      <w:r>
        <w:rPr>
          <w:rFonts w:cs="Times New Roman"/>
          <w:szCs w:val="28"/>
        </w:rPr>
        <w:t>和两个合作区建设，持续做大城区经济总量，</w:t>
      </w:r>
      <w:r>
        <w:rPr>
          <w:rFonts w:hint="eastAsia" w:cs="Times New Roman"/>
          <w:szCs w:val="28"/>
        </w:rPr>
        <w:t>促进</w:t>
      </w:r>
      <w:r>
        <w:rPr>
          <w:rFonts w:cs="Times New Roman"/>
          <w:szCs w:val="28"/>
        </w:rPr>
        <w:t>经济社会高质量发展并迈上新台阶，使源城区整体影响力、竞争力、辐射力得到显著增强，打造幸福和谐美丽河源</w:t>
      </w:r>
      <w:r>
        <w:rPr>
          <w:rFonts w:hint="eastAsia" w:cs="Times New Roman"/>
          <w:szCs w:val="28"/>
        </w:rPr>
        <w:t>“</w:t>
      </w:r>
      <w:r>
        <w:rPr>
          <w:rFonts w:cs="Times New Roman"/>
          <w:szCs w:val="28"/>
        </w:rPr>
        <w:t>首善之区</w:t>
      </w:r>
      <w:r>
        <w:rPr>
          <w:rFonts w:hint="eastAsia" w:cs="Times New Roman"/>
          <w:szCs w:val="28"/>
        </w:rPr>
        <w:t>”</w:t>
      </w:r>
      <w:r>
        <w:rPr>
          <w:rFonts w:cs="Times New Roman"/>
          <w:szCs w:val="28"/>
        </w:rPr>
        <w:t>。</w:t>
      </w:r>
    </w:p>
    <w:p>
      <w:pPr>
        <w:ind w:firstLine="560"/>
        <w:rPr>
          <w:rFonts w:cs="Times New Roman"/>
          <w:szCs w:val="28"/>
        </w:rPr>
      </w:pPr>
      <w:r>
        <w:rPr>
          <w:rFonts w:cs="Times New Roman"/>
          <w:szCs w:val="28"/>
        </w:rPr>
        <w:t>源城区经济社会发展环境面临着重大机遇和挑战</w:t>
      </w:r>
      <w:r>
        <w:rPr>
          <w:rFonts w:hint="eastAsia" w:cs="Times New Roman"/>
          <w:szCs w:val="28"/>
        </w:rPr>
        <w:t>。</w:t>
      </w:r>
      <w:r>
        <w:rPr>
          <w:rFonts w:cs="Times New Roman"/>
          <w:szCs w:val="28"/>
        </w:rPr>
        <w:t>新一代信息技术、生物技术、新能源技术、新材料技术、智能制造技术等领域必将取得革命性突破，为产业高质量发展提供创新要素支撑；构建</w:t>
      </w:r>
      <w:r>
        <w:rPr>
          <w:rFonts w:hint="eastAsia" w:cs="Times New Roman"/>
          <w:szCs w:val="28"/>
        </w:rPr>
        <w:t>以国内大循环为主体、国内国际双循环相互促进</w:t>
      </w:r>
      <w:r>
        <w:rPr>
          <w:rFonts w:cs="Times New Roman"/>
          <w:szCs w:val="28"/>
        </w:rPr>
        <w:t>的新发展格局蕴含着巨大的投资、创新和产业发展空间；国家坚持“绿水青山就是金山银山的发展理念”、广东省委强调北部生态发展区突出生态</w:t>
      </w:r>
      <w:bookmarkStart w:id="32" w:name="_GoBack"/>
      <w:bookmarkEnd w:id="32"/>
      <w:r>
        <w:rPr>
          <w:rFonts w:cs="Times New Roman"/>
          <w:szCs w:val="28"/>
        </w:rPr>
        <w:t>优先、绿色发展，有助于源城区把生态优势转化为产业优势、发展优势，有助于源城在河源市打造生态经济发展新标杆中做好示范引领；</w:t>
      </w:r>
      <w:r>
        <w:rPr>
          <w:rFonts w:hint="eastAsia" w:cs="Times New Roman"/>
          <w:szCs w:val="28"/>
        </w:rPr>
        <w:t>“</w:t>
      </w:r>
      <w:r>
        <w:rPr>
          <w:rFonts w:cs="Times New Roman"/>
          <w:szCs w:val="28"/>
        </w:rPr>
        <w:t>双区驱动效应</w:t>
      </w:r>
      <w:r>
        <w:rPr>
          <w:rFonts w:hint="eastAsia" w:cs="Times New Roman"/>
          <w:szCs w:val="28"/>
        </w:rPr>
        <w:t>”</w:t>
      </w:r>
      <w:r>
        <w:rPr>
          <w:rFonts w:cs="Times New Roman"/>
          <w:szCs w:val="28"/>
        </w:rPr>
        <w:t>使源城跨越式发展成为可能，</w:t>
      </w:r>
      <w:r>
        <w:rPr>
          <w:rFonts w:hint="eastAsia" w:cs="Times New Roman"/>
          <w:szCs w:val="28"/>
        </w:rPr>
        <w:t>“</w:t>
      </w:r>
      <w:r>
        <w:rPr>
          <w:rFonts w:cs="Times New Roman"/>
          <w:szCs w:val="28"/>
        </w:rPr>
        <w:t>一核一带一区</w:t>
      </w:r>
      <w:r>
        <w:rPr>
          <w:rFonts w:hint="eastAsia" w:cs="Times New Roman"/>
          <w:szCs w:val="28"/>
        </w:rPr>
        <w:t>”</w:t>
      </w:r>
      <w:r>
        <w:rPr>
          <w:rFonts w:cs="Times New Roman"/>
          <w:szCs w:val="28"/>
        </w:rPr>
        <w:t>区域发展格局有利于源城在发挥</w:t>
      </w:r>
      <w:r>
        <w:rPr>
          <w:rFonts w:hint="eastAsia" w:cs="Times New Roman"/>
          <w:szCs w:val="28"/>
        </w:rPr>
        <w:t>“</w:t>
      </w:r>
      <w:r>
        <w:rPr>
          <w:rFonts w:cs="Times New Roman"/>
          <w:szCs w:val="28"/>
        </w:rPr>
        <w:t>区</w:t>
      </w:r>
      <w:r>
        <w:rPr>
          <w:rFonts w:hint="eastAsia" w:cs="Times New Roman"/>
          <w:szCs w:val="28"/>
        </w:rPr>
        <w:t>”“</w:t>
      </w:r>
      <w:r>
        <w:rPr>
          <w:rFonts w:cs="Times New Roman"/>
          <w:szCs w:val="28"/>
        </w:rPr>
        <w:t>核</w:t>
      </w:r>
      <w:r>
        <w:rPr>
          <w:rFonts w:hint="eastAsia" w:cs="Times New Roman"/>
          <w:szCs w:val="28"/>
        </w:rPr>
        <w:t>”</w:t>
      </w:r>
      <w:r>
        <w:rPr>
          <w:rFonts w:cs="Times New Roman"/>
          <w:szCs w:val="28"/>
        </w:rPr>
        <w:t>双质中率先崛起，新型城镇化建设和全面实施乡村振兴战略为源城注入重大发展动力。同时，粤港澳大湾区各项配套设施的不断发展，交流合作、生产生活等日益便捷，穗港深等湾区核心城市的优势不断凸显，对大湾区内外资源的虹吸效应显著增强，源城区将面临着新一轮资源外流的风险；河源市各县区经济格局再平衡再优化不可避免地使经济发展诸多要素和资源受到制约；在满足生态保护和自然资源管控要求的前提下，推进新型工业化、信息化、城镇化、农业现代化同步发展的挑战极大；生态环境是源城区发展的重要资源，但区域发展基础薄弱，生态资源优势转化为经济优势能力有待提升。</w:t>
      </w:r>
    </w:p>
    <w:p>
      <w:pPr>
        <w:pStyle w:val="2"/>
        <w:ind w:firstLine="560"/>
      </w:pPr>
      <w:r>
        <w:rPr>
          <w:rFonts w:hint="eastAsia"/>
        </w:rPr>
        <w:t>源城区人民政府按照河源市、源城区“十四五”规划目标与年度国民经济和社会发展计划，谋划在各片区范围内进行综合性开发建设，编制了源城区2021年度土地征收成片开发方案，严格按照方案实施土地征收及建设。因国民经济和社会发展年度计划调整、拟实施项目选址优化调整等因素影响，源城区2021年度土地征收成片开发方案部分地块难以按原计划实施，故需调整源城区2021年度土地征收成片开发方案。</w:t>
      </w:r>
    </w:p>
    <w:p>
      <w:pPr>
        <w:pStyle w:val="5"/>
        <w:numPr>
          <w:ilvl w:val="0"/>
          <w:numId w:val="3"/>
        </w:numPr>
      </w:pPr>
      <w:r>
        <w:rPr>
          <w:rFonts w:hint="eastAsia"/>
        </w:rPr>
        <w:t>政策背景</w:t>
      </w:r>
    </w:p>
    <w:p>
      <w:pPr>
        <w:ind w:firstLine="560"/>
        <w:rPr>
          <w:rFonts w:cs="Times New Roman"/>
          <w:szCs w:val="28"/>
        </w:rPr>
      </w:pPr>
      <w:r>
        <w:rPr>
          <w:rFonts w:cs="Times New Roman"/>
          <w:szCs w:val="28"/>
        </w:rPr>
        <w:t>根据新修正的《中华人民共和国土地管理法》第四十五条规定，</w:t>
      </w:r>
      <w:r>
        <w:rPr>
          <w:rFonts w:hint="eastAsia" w:cs="Times New Roman"/>
          <w:szCs w:val="28"/>
        </w:rPr>
        <w:t>“</w:t>
      </w:r>
      <w:r>
        <w:rPr>
          <w:rFonts w:cs="Times New Roman"/>
          <w:szCs w:val="28"/>
        </w:rPr>
        <w:t>在土地利用总体规划确定的城镇建设用地范围内，经省级人民政府批准由县级以上地方人民政府组织实施的成片开发建设需要用地的，可以。依法实施征收</w:t>
      </w:r>
      <w:r>
        <w:rPr>
          <w:rFonts w:hint="eastAsia" w:cs="Times New Roman"/>
          <w:szCs w:val="28"/>
        </w:rPr>
        <w:t>”</w:t>
      </w:r>
      <w:r>
        <w:rPr>
          <w:rFonts w:cs="Times New Roman"/>
          <w:szCs w:val="28"/>
        </w:rPr>
        <w:t>。为了落实好《中华人民共和国土地管理法》的授权立法事项，自然资源部于2020年11月5日印发《土地征收成片开发标准（试行）》（自然资规〔2020〕5号），《标准》规定成片开发建设需要用地而实施土地征收的，需要编制土地征收成片开发方案，并按程序进行审批。广东省自然资源厅2021年11月1日发布的《广东省自然资源厅关于规范土地征收成片开发工作的通知》（粤自然资发〔2021〕20号）明确了因国民经济和社会发展年度计划、国土空间规划调整或者其他不可抗力等因素，导致土地征收成片开发方案需要调整的，调整后的成片开发方案报原批准机关审批。</w:t>
      </w:r>
    </w:p>
    <w:p>
      <w:pPr>
        <w:ind w:firstLine="560"/>
        <w:rPr>
          <w:rFonts w:cs="Times New Roman"/>
          <w:szCs w:val="28"/>
        </w:rPr>
      </w:pPr>
      <w:r>
        <w:rPr>
          <w:rFonts w:cs="Times New Roman"/>
          <w:szCs w:val="28"/>
        </w:rPr>
        <w:t>广东省自然资源厅2022年11月1日印发了《广东省委托土地征收成片开发方案审批权实施方案》（粤自然资发〔2022〕12号），规定“确因国民经济和社会发展年度计划、国土空间规划调整或者其他不可抗力等因素，导致部分地块难以实施需要调整土地征收成片开发方案（含委托前批准）的，由各地级以上市人民政府、广州开发区（广州高新区）管委会依据省政府委托进行调整审批，并在批准后5个工作日内将调整后的土地征收方案和调整批复报省自然资源厅备案。</w:t>
      </w:r>
    </w:p>
    <w:p>
      <w:pPr>
        <w:ind w:firstLine="560"/>
        <w:rPr>
          <w:rFonts w:cs="Times New Roman"/>
          <w:szCs w:val="28"/>
        </w:rPr>
      </w:pPr>
      <w:r>
        <w:rPr>
          <w:rFonts w:hint="eastAsia" w:cs="Times New Roman"/>
          <w:szCs w:val="28"/>
        </w:rPr>
        <w:t>2023 年 3 月，广东省自然资源厅印发《广东省自然资源厅关于规范已批土地征收成片开发方案调整工作的通知》（粤自然资函〔2023〕 210 号），明确了成片开发方案调整的程序，要求“在原批准的成片开发用地相邻周边扩大成片开发用地范围的，调整后的成片开发方案应征求人大代表、政协委员、社会公众、有关专家学者以及成片开发范围内农村集体经济组织和农民的意见，并按要求组织开展专家论证。”</w:t>
      </w:r>
    </w:p>
    <w:p>
      <w:pPr>
        <w:ind w:firstLine="560"/>
      </w:pPr>
      <w:r>
        <w:rPr>
          <w:rFonts w:cs="Times New Roman"/>
          <w:szCs w:val="28"/>
        </w:rPr>
        <w:t>为此，河源市源城区人民政府按照相关文件的要求，充分考虑实际建设发展需求，对河源市源城区2021年度土地征收成片开发方案进行调整，使调整后的成片开发方案</w:t>
      </w:r>
      <w:r>
        <w:rPr>
          <w:rFonts w:hint="eastAsia" w:cs="Times New Roman"/>
          <w:szCs w:val="28"/>
        </w:rPr>
        <w:t>（以下简称《调整方案》）</w:t>
      </w:r>
      <w:r>
        <w:rPr>
          <w:rFonts w:cs="Times New Roman"/>
          <w:szCs w:val="28"/>
        </w:rPr>
        <w:t>更加合理可行。</w:t>
      </w:r>
    </w:p>
    <w:p>
      <w:pPr>
        <w:pStyle w:val="4"/>
        <w:numPr>
          <w:ilvl w:val="0"/>
          <w:numId w:val="2"/>
        </w:numPr>
      </w:pPr>
      <w:bookmarkStart w:id="4" w:name="_Toc25327"/>
      <w:r>
        <w:rPr>
          <w:rFonts w:hint="eastAsia"/>
        </w:rPr>
        <w:t>方案调整原则</w:t>
      </w:r>
      <w:bookmarkEnd w:id="4"/>
    </w:p>
    <w:p>
      <w:pPr>
        <w:ind w:firstLine="560"/>
      </w:pPr>
      <w:r>
        <w:t>遵守法律法规，维护公共利益；科学合理调整，确保开发必要性和实施可行性；严格保护耕地、保护生态环境、节约集约用地。</w:t>
      </w:r>
    </w:p>
    <w:p>
      <w:pPr>
        <w:pStyle w:val="4"/>
        <w:numPr>
          <w:ilvl w:val="0"/>
          <w:numId w:val="2"/>
        </w:numPr>
      </w:pPr>
      <w:bookmarkStart w:id="5" w:name="_Toc19538"/>
      <w:r>
        <w:rPr>
          <w:rFonts w:hint="eastAsia"/>
        </w:rPr>
        <w:t>方案调整依据</w:t>
      </w:r>
      <w:bookmarkEnd w:id="5"/>
    </w:p>
    <w:p>
      <w:pPr>
        <w:pStyle w:val="5"/>
        <w:numPr>
          <w:ilvl w:val="0"/>
          <w:numId w:val="4"/>
        </w:numPr>
      </w:pPr>
      <w:r>
        <w:rPr>
          <w:rFonts w:hint="eastAsia"/>
        </w:rPr>
        <w:t>法律法规</w:t>
      </w:r>
    </w:p>
    <w:p>
      <w:pPr>
        <w:numPr>
          <w:ilvl w:val="0"/>
          <w:numId w:val="5"/>
        </w:numPr>
        <w:ind w:left="0" w:firstLine="560"/>
        <w:rPr>
          <w:rFonts w:cs="Times New Roman"/>
          <w:szCs w:val="28"/>
        </w:rPr>
      </w:pPr>
      <w:r>
        <w:rPr>
          <w:rFonts w:cs="Times New Roman"/>
          <w:szCs w:val="28"/>
        </w:rPr>
        <w:t>《中华人民共和国土地管理法》（2019年修正）；</w:t>
      </w:r>
    </w:p>
    <w:p>
      <w:pPr>
        <w:numPr>
          <w:ilvl w:val="0"/>
          <w:numId w:val="5"/>
        </w:numPr>
        <w:ind w:left="0" w:firstLine="560"/>
        <w:rPr>
          <w:rFonts w:cs="Times New Roman"/>
          <w:szCs w:val="28"/>
        </w:rPr>
      </w:pPr>
      <w:r>
        <w:rPr>
          <w:rFonts w:cs="Times New Roman"/>
          <w:szCs w:val="28"/>
        </w:rPr>
        <w:t>《中华人民共和国城乡规划法》（2019年修正）；</w:t>
      </w:r>
    </w:p>
    <w:p>
      <w:pPr>
        <w:numPr>
          <w:ilvl w:val="0"/>
          <w:numId w:val="5"/>
        </w:numPr>
        <w:ind w:left="0" w:firstLine="560"/>
        <w:rPr>
          <w:rFonts w:cs="Times New Roman"/>
          <w:szCs w:val="28"/>
        </w:rPr>
      </w:pPr>
      <w:r>
        <w:rPr>
          <w:rFonts w:cs="Times New Roman"/>
          <w:szCs w:val="28"/>
        </w:rPr>
        <w:t>《中华人民共和国土地管理法实施条例》（2021年修订）；</w:t>
      </w:r>
    </w:p>
    <w:p>
      <w:pPr>
        <w:numPr>
          <w:ilvl w:val="0"/>
          <w:numId w:val="5"/>
        </w:numPr>
        <w:ind w:left="0" w:firstLine="560"/>
      </w:pPr>
      <w:r>
        <w:rPr>
          <w:rFonts w:cs="Times New Roman"/>
          <w:szCs w:val="28"/>
        </w:rPr>
        <w:t>《广东省土地管理条例》（2022年8月施行）。</w:t>
      </w:r>
    </w:p>
    <w:p>
      <w:pPr>
        <w:pStyle w:val="5"/>
        <w:numPr>
          <w:ilvl w:val="0"/>
          <w:numId w:val="4"/>
        </w:numPr>
      </w:pPr>
      <w:r>
        <w:rPr>
          <w:rFonts w:hint="eastAsia"/>
        </w:rPr>
        <w:t>政策文件</w:t>
      </w:r>
    </w:p>
    <w:p>
      <w:pPr>
        <w:numPr>
          <w:ilvl w:val="0"/>
          <w:numId w:val="6"/>
        </w:numPr>
        <w:ind w:left="0" w:firstLine="560"/>
        <w:rPr>
          <w:rFonts w:cs="Times New Roman"/>
          <w:szCs w:val="28"/>
        </w:rPr>
      </w:pPr>
      <w:r>
        <w:rPr>
          <w:rFonts w:cs="Times New Roman"/>
          <w:szCs w:val="28"/>
        </w:rPr>
        <w:t>《自然资源部关于印发&lt;土地征收成片开发标准（试行）&gt;的通知》（自然资规〔2020〕5号）；</w:t>
      </w:r>
    </w:p>
    <w:p>
      <w:pPr>
        <w:numPr>
          <w:ilvl w:val="0"/>
          <w:numId w:val="6"/>
        </w:numPr>
        <w:ind w:left="0" w:firstLine="560"/>
        <w:rPr>
          <w:rFonts w:cs="Times New Roman"/>
          <w:szCs w:val="28"/>
        </w:rPr>
      </w:pPr>
      <w:r>
        <w:rPr>
          <w:rFonts w:cs="Times New Roman"/>
          <w:szCs w:val="28"/>
        </w:rPr>
        <w:t>《自然资源部办公厅关于印发国土空间调查、规划、用途管制用地用海分类指南（试行）的通知》（自然资办发〔2020〕51号）；</w:t>
      </w:r>
    </w:p>
    <w:p>
      <w:pPr>
        <w:numPr>
          <w:ilvl w:val="0"/>
          <w:numId w:val="6"/>
        </w:numPr>
        <w:ind w:left="0" w:firstLine="560"/>
        <w:rPr>
          <w:rFonts w:cs="Times New Roman"/>
          <w:szCs w:val="28"/>
        </w:rPr>
      </w:pPr>
      <w:r>
        <w:rPr>
          <w:rFonts w:cs="Times New Roman"/>
          <w:szCs w:val="28"/>
        </w:rPr>
        <w:t>《自然资源部办公厅关于北京等省（区、市）启用“三区三线”划定成果作为报批建设项目用地用海依据的函》（自然资办函〔2022〕2207号）；</w:t>
      </w:r>
    </w:p>
    <w:p>
      <w:pPr>
        <w:numPr>
          <w:ilvl w:val="0"/>
          <w:numId w:val="6"/>
        </w:numPr>
        <w:ind w:left="0" w:firstLine="560"/>
        <w:rPr>
          <w:rFonts w:cs="Times New Roman"/>
          <w:szCs w:val="28"/>
        </w:rPr>
      </w:pPr>
      <w:r>
        <w:rPr>
          <w:rFonts w:cs="Times New Roman"/>
          <w:szCs w:val="28"/>
        </w:rPr>
        <w:t>《广东省自然资源厅关于进一步明确建设用地审批有关要求的通知》（粤自然资管制〔2021〕1379号）；</w:t>
      </w:r>
    </w:p>
    <w:p>
      <w:pPr>
        <w:numPr>
          <w:ilvl w:val="0"/>
          <w:numId w:val="6"/>
        </w:numPr>
        <w:ind w:left="0" w:firstLine="560"/>
        <w:rPr>
          <w:rFonts w:cs="Times New Roman"/>
          <w:szCs w:val="28"/>
        </w:rPr>
      </w:pPr>
      <w:r>
        <w:rPr>
          <w:rFonts w:cs="Times New Roman"/>
          <w:szCs w:val="28"/>
        </w:rPr>
        <w:t>《广东省自然资源厅关于规范土地征收成片开发工作的通知》（粤自然资发〔2021〕20号）；</w:t>
      </w:r>
    </w:p>
    <w:p>
      <w:pPr>
        <w:numPr>
          <w:ilvl w:val="0"/>
          <w:numId w:val="6"/>
        </w:numPr>
        <w:ind w:left="0" w:firstLine="560"/>
        <w:rPr>
          <w:rFonts w:cs="Times New Roman"/>
          <w:szCs w:val="28"/>
        </w:rPr>
      </w:pPr>
      <w:r>
        <w:rPr>
          <w:rFonts w:cs="Times New Roman"/>
          <w:szCs w:val="28"/>
        </w:rPr>
        <w:t>《广东省人民政府关于调整实施一批省级自然资源行政职权事项的决定》（粤府〔2022〕69号）；</w:t>
      </w:r>
    </w:p>
    <w:p>
      <w:pPr>
        <w:numPr>
          <w:ilvl w:val="0"/>
          <w:numId w:val="6"/>
        </w:numPr>
        <w:ind w:left="0" w:firstLine="560"/>
        <w:rPr>
          <w:rFonts w:cs="Times New Roman"/>
          <w:szCs w:val="28"/>
        </w:rPr>
      </w:pPr>
      <w:r>
        <w:rPr>
          <w:rFonts w:cs="Times New Roman"/>
          <w:szCs w:val="28"/>
        </w:rPr>
        <w:t>《广东省自然资源厅关于印发广东省委托土地征收成片开发方案审批权实施方案的通知》（粤自然资发〔2022〕12号）；</w:t>
      </w:r>
    </w:p>
    <w:p>
      <w:pPr>
        <w:numPr>
          <w:ilvl w:val="0"/>
          <w:numId w:val="6"/>
        </w:numPr>
        <w:ind w:left="0" w:firstLine="560"/>
        <w:rPr>
          <w:rFonts w:cs="Times New Roman"/>
          <w:szCs w:val="28"/>
        </w:rPr>
      </w:pPr>
      <w:r>
        <w:rPr>
          <w:rFonts w:cs="Times New Roman"/>
          <w:szCs w:val="28"/>
        </w:rPr>
        <w:t>《广东省自然资源厅关于印发土地征收成片开发方案审查要点和模板的通知》（粤自然资管制〔2022〕2745号）；</w:t>
      </w:r>
    </w:p>
    <w:p>
      <w:pPr>
        <w:numPr>
          <w:ilvl w:val="0"/>
          <w:numId w:val="6"/>
        </w:numPr>
        <w:ind w:left="0" w:firstLine="560"/>
        <w:rPr>
          <w:rFonts w:cs="Times New Roman"/>
          <w:szCs w:val="28"/>
        </w:rPr>
      </w:pPr>
      <w:r>
        <w:rPr>
          <w:rFonts w:hint="eastAsia" w:cs="Times New Roman"/>
          <w:szCs w:val="28"/>
        </w:rPr>
        <w:t>《广东省自然资源厅关于规范已批土地征收成片开发方案调整工作的通知》（粤自然资函〔2023〕210 号）。</w:t>
      </w:r>
    </w:p>
    <w:p>
      <w:pPr>
        <w:pStyle w:val="5"/>
        <w:numPr>
          <w:ilvl w:val="0"/>
          <w:numId w:val="4"/>
        </w:numPr>
      </w:pPr>
      <w:r>
        <w:rPr>
          <w:rFonts w:hint="eastAsia"/>
        </w:rPr>
        <w:t>规划文件</w:t>
      </w:r>
    </w:p>
    <w:p>
      <w:pPr>
        <w:numPr>
          <w:ilvl w:val="0"/>
          <w:numId w:val="7"/>
        </w:numPr>
        <w:ind w:left="0" w:firstLine="560"/>
        <w:rPr>
          <w:rFonts w:cs="Times New Roman"/>
          <w:szCs w:val="28"/>
        </w:rPr>
      </w:pPr>
      <w:r>
        <w:rPr>
          <w:rFonts w:cs="Times New Roman"/>
          <w:szCs w:val="28"/>
        </w:rPr>
        <w:t>《河源市国民经济和社会发展第十四个五年规划和2035年远景目标纲要》；</w:t>
      </w:r>
    </w:p>
    <w:p>
      <w:pPr>
        <w:numPr>
          <w:ilvl w:val="0"/>
          <w:numId w:val="7"/>
        </w:numPr>
        <w:ind w:left="0" w:firstLine="560"/>
        <w:rPr>
          <w:rFonts w:cs="Times New Roman"/>
          <w:szCs w:val="28"/>
        </w:rPr>
      </w:pPr>
      <w:r>
        <w:rPr>
          <w:rFonts w:cs="Times New Roman"/>
          <w:szCs w:val="28"/>
        </w:rPr>
        <w:t>《河源市源城区国民经济和社会发展第十四个五年规划和2035年远景目标纲要》；</w:t>
      </w:r>
    </w:p>
    <w:p>
      <w:pPr>
        <w:numPr>
          <w:ilvl w:val="0"/>
          <w:numId w:val="7"/>
        </w:numPr>
        <w:ind w:left="0" w:firstLine="560"/>
        <w:rPr>
          <w:rFonts w:cs="Times New Roman"/>
          <w:szCs w:val="28"/>
        </w:rPr>
      </w:pPr>
      <w:r>
        <w:rPr>
          <w:rFonts w:cs="Times New Roman"/>
          <w:szCs w:val="28"/>
        </w:rPr>
        <w:t>《河源市高新区国民经济和社会发展第十四个五年规划（2021-2025）》；</w:t>
      </w:r>
    </w:p>
    <w:p>
      <w:pPr>
        <w:numPr>
          <w:ilvl w:val="0"/>
          <w:numId w:val="7"/>
        </w:numPr>
        <w:ind w:left="0" w:firstLine="560"/>
        <w:rPr>
          <w:rFonts w:cs="Times New Roman"/>
          <w:szCs w:val="28"/>
        </w:rPr>
      </w:pPr>
      <w:r>
        <w:rPr>
          <w:rFonts w:cs="Times New Roman"/>
          <w:szCs w:val="28"/>
        </w:rPr>
        <w:t>《河源市源城区土地利用总体规划（2010-2020年）调整完善方案》；</w:t>
      </w:r>
    </w:p>
    <w:p>
      <w:pPr>
        <w:numPr>
          <w:ilvl w:val="0"/>
          <w:numId w:val="7"/>
        </w:numPr>
        <w:ind w:left="0" w:firstLine="560"/>
        <w:rPr>
          <w:rFonts w:cs="Times New Roman"/>
          <w:szCs w:val="28"/>
        </w:rPr>
      </w:pPr>
      <w:r>
        <w:rPr>
          <w:rFonts w:cs="Times New Roman"/>
          <w:szCs w:val="28"/>
        </w:rPr>
        <w:t>《河源市国土空间总体规划（2021-2035年）》（在编）；</w:t>
      </w:r>
    </w:p>
    <w:p>
      <w:pPr>
        <w:numPr>
          <w:ilvl w:val="0"/>
          <w:numId w:val="7"/>
        </w:numPr>
        <w:ind w:left="0" w:firstLine="560"/>
        <w:rPr>
          <w:rFonts w:cs="Times New Roman"/>
          <w:szCs w:val="28"/>
        </w:rPr>
      </w:pPr>
      <w:r>
        <w:rPr>
          <w:rFonts w:cs="Times New Roman"/>
          <w:szCs w:val="28"/>
        </w:rPr>
        <w:t>《河源市水生态环境保护“十四五”规划》；</w:t>
      </w:r>
    </w:p>
    <w:p>
      <w:pPr>
        <w:numPr>
          <w:ilvl w:val="0"/>
          <w:numId w:val="7"/>
        </w:numPr>
        <w:ind w:left="0" w:firstLine="560"/>
        <w:rPr>
          <w:rFonts w:cs="Times New Roman"/>
          <w:szCs w:val="28"/>
        </w:rPr>
      </w:pPr>
      <w:r>
        <w:rPr>
          <w:rFonts w:cs="Times New Roman"/>
          <w:szCs w:val="28"/>
        </w:rPr>
        <w:t>《河源市“三线一单”生态环境分区管控方案》；</w:t>
      </w:r>
    </w:p>
    <w:p>
      <w:pPr>
        <w:numPr>
          <w:ilvl w:val="0"/>
          <w:numId w:val="7"/>
        </w:numPr>
        <w:ind w:left="0" w:firstLine="560"/>
      </w:pPr>
      <w:r>
        <w:rPr>
          <w:rFonts w:cs="Times New Roman"/>
          <w:szCs w:val="28"/>
        </w:rPr>
        <w:t>源城区各成片开发范围控制性详细规划。</w:t>
      </w:r>
    </w:p>
    <w:p>
      <w:pPr>
        <w:pStyle w:val="5"/>
        <w:numPr>
          <w:ilvl w:val="0"/>
          <w:numId w:val="4"/>
        </w:numPr>
      </w:pPr>
      <w:r>
        <w:rPr>
          <w:rFonts w:hint="eastAsia"/>
        </w:rPr>
        <w:t>相关资料</w:t>
      </w:r>
    </w:p>
    <w:p>
      <w:pPr>
        <w:numPr>
          <w:ilvl w:val="0"/>
          <w:numId w:val="8"/>
        </w:numPr>
        <w:ind w:left="0" w:firstLine="560"/>
        <w:rPr>
          <w:rFonts w:cs="Times New Roman"/>
          <w:szCs w:val="28"/>
        </w:rPr>
      </w:pPr>
      <w:r>
        <w:rPr>
          <w:rFonts w:cs="Times New Roman"/>
          <w:szCs w:val="28"/>
        </w:rPr>
        <w:t>《源城区2021年国民经济和社会发展计划执行情况与2022年计划草案报告》；</w:t>
      </w:r>
    </w:p>
    <w:p>
      <w:pPr>
        <w:numPr>
          <w:ilvl w:val="0"/>
          <w:numId w:val="8"/>
        </w:numPr>
        <w:ind w:left="0" w:firstLine="560"/>
        <w:rPr>
          <w:rFonts w:cs="Times New Roman"/>
          <w:szCs w:val="28"/>
        </w:rPr>
      </w:pPr>
      <w:r>
        <w:rPr>
          <w:rFonts w:cs="Times New Roman"/>
          <w:szCs w:val="28"/>
        </w:rPr>
        <w:t>源城区20</w:t>
      </w:r>
      <w:r>
        <w:rPr>
          <w:rFonts w:hint="eastAsia" w:cs="Times New Roman"/>
          <w:szCs w:val="28"/>
        </w:rPr>
        <w:t>18</w:t>
      </w:r>
      <w:r>
        <w:rPr>
          <w:rFonts w:cs="Times New Roman"/>
          <w:szCs w:val="28"/>
        </w:rPr>
        <w:t>年度国土变更调查成果；</w:t>
      </w:r>
    </w:p>
    <w:p>
      <w:pPr>
        <w:numPr>
          <w:ilvl w:val="0"/>
          <w:numId w:val="8"/>
        </w:numPr>
        <w:ind w:left="0" w:firstLine="560"/>
        <w:rPr>
          <w:rFonts w:cs="Times New Roman"/>
          <w:szCs w:val="28"/>
        </w:rPr>
      </w:pPr>
      <w:r>
        <w:rPr>
          <w:rFonts w:cs="Times New Roman"/>
          <w:szCs w:val="28"/>
        </w:rPr>
        <w:t>源城区生态保护红线、城镇开发边界、永久基本农田划定成果；</w:t>
      </w:r>
    </w:p>
    <w:p>
      <w:pPr>
        <w:numPr>
          <w:ilvl w:val="0"/>
          <w:numId w:val="8"/>
        </w:numPr>
        <w:ind w:left="0" w:firstLine="560"/>
        <w:rPr>
          <w:rFonts w:cs="Times New Roman"/>
          <w:szCs w:val="28"/>
        </w:rPr>
      </w:pPr>
      <w:r>
        <w:rPr>
          <w:rFonts w:cs="Times New Roman"/>
          <w:szCs w:val="28"/>
        </w:rPr>
        <w:t>其他相关文件。</w:t>
      </w:r>
    </w:p>
    <w:p>
      <w:pPr>
        <w:ind w:firstLine="560"/>
        <w:rPr>
          <w:rFonts w:cs="Times New Roman"/>
          <w:szCs w:val="28"/>
        </w:rPr>
      </w:pPr>
      <w:r>
        <w:rPr>
          <w:rFonts w:cs="Times New Roman"/>
          <w:szCs w:val="28"/>
        </w:rPr>
        <w:br w:type="page"/>
      </w:r>
    </w:p>
    <w:p>
      <w:pPr>
        <w:pStyle w:val="3"/>
        <w:numPr>
          <w:ilvl w:val="0"/>
          <w:numId w:val="1"/>
        </w:numPr>
        <w:ind w:left="0" w:right="0" w:firstLine="0" w:firstLineChars="0"/>
      </w:pPr>
      <w:bookmarkStart w:id="6" w:name="_Toc27135"/>
      <w:r>
        <w:rPr>
          <w:rFonts w:hint="eastAsia"/>
        </w:rPr>
        <w:t>基本情况</w:t>
      </w:r>
      <w:bookmarkEnd w:id="6"/>
    </w:p>
    <w:p>
      <w:pPr>
        <w:pStyle w:val="4"/>
        <w:numPr>
          <w:ilvl w:val="0"/>
          <w:numId w:val="9"/>
        </w:numPr>
      </w:pPr>
      <w:bookmarkStart w:id="7" w:name="_Toc28773"/>
      <w:r>
        <w:rPr>
          <w:rFonts w:hint="eastAsia"/>
        </w:rPr>
        <w:t>源城区概况</w:t>
      </w:r>
      <w:bookmarkEnd w:id="7"/>
    </w:p>
    <w:p>
      <w:pPr>
        <w:ind w:firstLine="560"/>
      </w:pPr>
      <w:r>
        <w:rPr>
          <w:rFonts w:hint="eastAsia"/>
        </w:rPr>
        <w:t>源城区地处广东省东北部、河源市南部，东江中上游与新丰江的汇合处，东与紫金县临江镇接壤，西接东源县新港镇，南接博罗县石坝镇，北与东源县仙塘镇毗邻，是河源市的政治、经济、文化中心，全区总面积361.5平方公里，共有2个镇、</w:t>
      </w:r>
      <w:r>
        <w:rPr>
          <w:rFonts w:hint="eastAsia"/>
          <w:lang w:eastAsia="zh-CN"/>
        </w:rPr>
        <w:t>5个</w:t>
      </w:r>
      <w:r>
        <w:rPr>
          <w:rFonts w:hint="eastAsia"/>
        </w:rPr>
        <w:t>街道办事处(含城东街道办事处，城东街道为河源市源城区下辖街道，由河源江东新区代管)，2020年常住人口70.41万人，户籍人口33.62万人，属客家文化地区。</w:t>
      </w:r>
    </w:p>
    <w:p>
      <w:pPr>
        <w:ind w:firstLine="560"/>
      </w:pPr>
      <w:r>
        <w:rPr>
          <w:rFonts w:hint="eastAsia"/>
        </w:rPr>
        <w:t>源城区的交通条件优越，是粤东北的交通枢纽，水陆交通比较发达对外交通便利。境内205国道、粤赣高速公路纵贯南北，河汕公路横跨东西，京九铁路以及广梅汕铁路连接城区。东江航运上可达龙川，下可通惠州、广州。</w:t>
      </w:r>
    </w:p>
    <w:p>
      <w:pPr>
        <w:ind w:firstLine="560"/>
        <w:jc w:val="center"/>
      </w:pPr>
      <w:r>
        <w:drawing>
          <wp:inline distT="0" distB="0" distL="114300" distR="114300">
            <wp:extent cx="5773420" cy="6329045"/>
            <wp:effectExtent l="0" t="0" r="1778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773420" cy="6329045"/>
                    </a:xfrm>
                    <a:prstGeom prst="rect">
                      <a:avLst/>
                    </a:prstGeom>
                    <a:noFill/>
                    <a:ln>
                      <a:noFill/>
                    </a:ln>
                  </pic:spPr>
                </pic:pic>
              </a:graphicData>
            </a:graphic>
          </wp:inline>
        </w:drawing>
      </w:r>
    </w:p>
    <w:p>
      <w:pPr>
        <w:ind w:firstLine="480"/>
        <w:jc w:val="center"/>
        <w:rPr>
          <w:sz w:val="24"/>
          <w:szCs w:val="21"/>
        </w:rPr>
      </w:pPr>
      <w:r>
        <w:rPr>
          <w:rFonts w:hint="eastAsia"/>
          <w:sz w:val="24"/>
          <w:szCs w:val="21"/>
        </w:rPr>
        <w:t>图1-1 源城区区位示意图</w:t>
      </w:r>
    </w:p>
    <w:p>
      <w:pPr>
        <w:ind w:firstLine="0" w:firstLineChars="0"/>
      </w:pPr>
      <w:r>
        <w:rPr>
          <w:rFonts w:hint="eastAsia"/>
        </w:rPr>
        <w:br w:type="page"/>
      </w:r>
    </w:p>
    <w:p>
      <w:pPr>
        <w:pStyle w:val="4"/>
        <w:numPr>
          <w:ilvl w:val="0"/>
          <w:numId w:val="9"/>
        </w:numPr>
      </w:pPr>
      <w:bookmarkStart w:id="8" w:name="_Toc14367"/>
      <w:r>
        <w:rPr>
          <w:rFonts w:hint="eastAsia"/>
        </w:rPr>
        <w:t>调整前成片开发方案基本情况</w:t>
      </w:r>
      <w:bookmarkEnd w:id="8"/>
    </w:p>
    <w:p>
      <w:pPr>
        <w:pStyle w:val="5"/>
        <w:numPr>
          <w:ilvl w:val="0"/>
          <w:numId w:val="10"/>
        </w:numPr>
      </w:pPr>
      <w:r>
        <w:rPr>
          <w:rFonts w:hint="eastAsia"/>
        </w:rPr>
        <w:t>方案审批情况</w:t>
      </w:r>
    </w:p>
    <w:p>
      <w:pPr>
        <w:ind w:firstLine="560"/>
      </w:pPr>
      <w:r>
        <w:t>调整前，</w:t>
      </w:r>
      <w:r>
        <w:rPr>
          <w:rFonts w:cs="Times New Roman"/>
          <w:szCs w:val="28"/>
        </w:rPr>
        <w:t>河源市源城区2021年度土地征收成片开发方案</w:t>
      </w:r>
      <w:r>
        <w:t>已于</w:t>
      </w:r>
      <w:r>
        <w:rPr>
          <w:rFonts w:hint="eastAsia"/>
        </w:rPr>
        <w:t>2022年5月23日</w:t>
      </w:r>
      <w:r>
        <w:t>取得批复，批准机关为广东省人民政府，批</w:t>
      </w:r>
      <w:r>
        <w:rPr>
          <w:rFonts w:hint="eastAsia"/>
        </w:rPr>
        <w:t>准</w:t>
      </w:r>
      <w:r>
        <w:t>文号为</w:t>
      </w:r>
      <w:r>
        <w:rPr>
          <w:rFonts w:hint="eastAsia"/>
        </w:rPr>
        <w:t>“</w:t>
      </w:r>
      <w:r>
        <w:t>粤自然资函</w:t>
      </w:r>
      <w:r>
        <w:rPr>
          <w:rFonts w:hint="eastAsia"/>
        </w:rPr>
        <w:t>〔2022〕451</w:t>
      </w:r>
      <w:r>
        <w:t>号</w:t>
      </w:r>
      <w:r>
        <w:rPr>
          <w:rFonts w:hint="eastAsia"/>
        </w:rPr>
        <w:t>”</w:t>
      </w:r>
      <w:r>
        <w:t>。</w:t>
      </w:r>
    </w:p>
    <w:p>
      <w:pPr>
        <w:pStyle w:val="5"/>
        <w:numPr>
          <w:ilvl w:val="0"/>
          <w:numId w:val="10"/>
        </w:numPr>
      </w:pPr>
      <w:r>
        <w:rPr>
          <w:rFonts w:hint="eastAsia"/>
        </w:rPr>
        <w:t>方案片区划定情况</w:t>
      </w:r>
    </w:p>
    <w:p>
      <w:pPr>
        <w:ind w:firstLine="560"/>
      </w:pPr>
      <w:r>
        <w:t>调整前，</w:t>
      </w:r>
      <w:r>
        <w:rPr>
          <w:rFonts w:cs="Times New Roman"/>
          <w:szCs w:val="28"/>
        </w:rPr>
        <w:t>河源市源城区2021年度土地征收成片开发方案</w:t>
      </w:r>
      <w:r>
        <w:t>共划定了</w:t>
      </w:r>
      <w:r>
        <w:rPr>
          <w:rFonts w:hint="eastAsia"/>
        </w:rPr>
        <w:t>8</w:t>
      </w:r>
      <w:r>
        <w:t>个成片开发片区，总面积为260.7362公顷，拟征收土地面积232.5983公顷，占成片开发总面积89.21%</w:t>
      </w:r>
      <w:r>
        <w:rPr>
          <w:rFonts w:hint="eastAsia"/>
        </w:rPr>
        <w:t>。</w:t>
      </w:r>
    </w:p>
    <w:p>
      <w:pPr>
        <w:ind w:firstLine="480"/>
        <w:jc w:val="center"/>
        <w:rPr>
          <w:sz w:val="24"/>
          <w:szCs w:val="21"/>
        </w:rPr>
      </w:pPr>
      <w:r>
        <w:rPr>
          <w:rFonts w:hint="eastAsia"/>
          <w:sz w:val="24"/>
          <w:szCs w:val="21"/>
        </w:rPr>
        <w:t>表2-</w:t>
      </w:r>
      <w:r>
        <w:rPr>
          <w:sz w:val="24"/>
          <w:szCs w:val="21"/>
        </w:rPr>
        <w:t>1</w:t>
      </w:r>
      <w:r>
        <w:rPr>
          <w:rFonts w:hint="eastAsia"/>
          <w:sz w:val="24"/>
          <w:szCs w:val="21"/>
        </w:rPr>
        <w:t xml:space="preserve"> 调整前成片开发各片区拟征收面积占比统计表</w:t>
      </w:r>
    </w:p>
    <w:p>
      <w:pPr>
        <w:snapToGrid w:val="0"/>
        <w:ind w:firstLine="0" w:firstLineChars="0"/>
        <w:jc w:val="right"/>
        <w:rPr>
          <w:sz w:val="24"/>
          <w:szCs w:val="24"/>
        </w:rPr>
      </w:pPr>
    </w:p>
    <w:tbl>
      <w:tblPr>
        <w:tblStyle w:val="18"/>
        <w:tblW w:w="4997" w:type="pct"/>
        <w:tblInd w:w="0" w:type="dxa"/>
        <w:tblLayout w:type="autofit"/>
        <w:tblCellMar>
          <w:top w:w="0" w:type="dxa"/>
          <w:left w:w="108" w:type="dxa"/>
          <w:bottom w:w="0" w:type="dxa"/>
          <w:right w:w="108" w:type="dxa"/>
        </w:tblCellMar>
      </w:tblPr>
      <w:tblGrid>
        <w:gridCol w:w="1312"/>
        <w:gridCol w:w="3157"/>
        <w:gridCol w:w="1368"/>
        <w:gridCol w:w="1368"/>
        <w:gridCol w:w="1312"/>
      </w:tblGrid>
      <w:tr>
        <w:tblPrEx>
          <w:tblCellMar>
            <w:top w:w="0" w:type="dxa"/>
            <w:left w:w="108" w:type="dxa"/>
            <w:bottom w:w="0" w:type="dxa"/>
            <w:right w:w="108" w:type="dxa"/>
          </w:tblCellMar>
        </w:tblPrEx>
        <w:trPr>
          <w:trHeight w:val="658"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ind w:firstLine="0" w:firstLineChars="0"/>
              <w:jc w:val="center"/>
              <w:textAlignment w:val="center"/>
              <w:rPr>
                <w:rFonts w:ascii="仿宋_GB2312" w:hAnsi="宋体" w:cs="仿宋_GB2312"/>
                <w:b/>
                <w:bCs/>
                <w:color w:val="000000"/>
                <w:sz w:val="22"/>
              </w:rPr>
            </w:pPr>
            <w:r>
              <w:rPr>
                <w:rStyle w:val="35"/>
                <w:rFonts w:hint="default" w:hAnsi="宋体"/>
                <w:sz w:val="22"/>
                <w:szCs w:val="22"/>
                <w:lang w:bidi="ar"/>
              </w:rPr>
              <w:t>序号</w:t>
            </w:r>
          </w:p>
        </w:tc>
        <w:tc>
          <w:tcPr>
            <w:tcW w:w="18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ind w:firstLine="0" w:firstLineChars="0"/>
              <w:jc w:val="center"/>
              <w:textAlignment w:val="center"/>
              <w:rPr>
                <w:rFonts w:ascii="仿宋_GB2312" w:hAnsi="宋体" w:cs="仿宋_GB2312"/>
                <w:b/>
                <w:bCs/>
                <w:color w:val="000000"/>
                <w:sz w:val="22"/>
              </w:rPr>
            </w:pPr>
            <w:r>
              <w:rPr>
                <w:rStyle w:val="35"/>
                <w:rFonts w:hint="default" w:hAnsi="宋体"/>
                <w:sz w:val="22"/>
                <w:szCs w:val="22"/>
                <w:lang w:bidi="ar"/>
              </w:rPr>
              <w:t>成片开发范围</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ind w:firstLine="0" w:firstLineChars="0"/>
              <w:jc w:val="center"/>
              <w:textAlignment w:val="center"/>
              <w:rPr>
                <w:rStyle w:val="35"/>
                <w:rFonts w:hint="default" w:hAnsi="宋体"/>
                <w:sz w:val="22"/>
                <w:szCs w:val="22"/>
                <w:lang w:bidi="ar"/>
              </w:rPr>
            </w:pPr>
            <w:r>
              <w:rPr>
                <w:rStyle w:val="35"/>
                <w:rFonts w:hint="default" w:hAnsi="宋体"/>
                <w:sz w:val="22"/>
                <w:szCs w:val="22"/>
                <w:lang w:bidi="ar"/>
              </w:rPr>
              <w:t>总面积</w:t>
            </w:r>
          </w:p>
          <w:p>
            <w:pPr>
              <w:pStyle w:val="2"/>
              <w:spacing w:line="360" w:lineRule="exact"/>
              <w:ind w:firstLine="0" w:firstLineChars="0"/>
              <w:jc w:val="center"/>
              <w:rPr>
                <w:rStyle w:val="35"/>
                <w:rFonts w:hint="default" w:hAnsi="宋体"/>
                <w:sz w:val="22"/>
                <w:szCs w:val="22"/>
                <w:lang w:bidi="ar"/>
              </w:rPr>
            </w:pPr>
            <w:r>
              <w:rPr>
                <w:rStyle w:val="35"/>
                <w:rFonts w:hint="default" w:hAnsi="宋体"/>
                <w:sz w:val="22"/>
                <w:szCs w:val="22"/>
                <w:lang w:bidi="ar"/>
              </w:rPr>
              <w:t>（公顷）</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ind w:firstLine="0" w:firstLineChars="0"/>
              <w:jc w:val="center"/>
              <w:textAlignment w:val="center"/>
              <w:rPr>
                <w:rStyle w:val="35"/>
                <w:rFonts w:hint="default" w:hAnsi="宋体"/>
                <w:sz w:val="22"/>
                <w:szCs w:val="22"/>
                <w:lang w:bidi="ar"/>
              </w:rPr>
            </w:pPr>
            <w:r>
              <w:rPr>
                <w:rStyle w:val="35"/>
                <w:rFonts w:hint="default" w:hAnsi="宋体"/>
                <w:sz w:val="22"/>
                <w:szCs w:val="22"/>
                <w:lang w:bidi="ar"/>
              </w:rPr>
              <w:t>拟征收面积</w:t>
            </w:r>
          </w:p>
          <w:p>
            <w:pPr>
              <w:pStyle w:val="2"/>
              <w:spacing w:line="360" w:lineRule="exact"/>
              <w:ind w:firstLine="0" w:firstLineChars="0"/>
              <w:jc w:val="center"/>
              <w:rPr>
                <w:rStyle w:val="35"/>
                <w:rFonts w:hint="default" w:hAnsi="宋体"/>
                <w:sz w:val="22"/>
                <w:szCs w:val="22"/>
                <w:lang w:bidi="ar"/>
              </w:rPr>
            </w:pPr>
            <w:r>
              <w:rPr>
                <w:rStyle w:val="35"/>
                <w:rFonts w:hint="default" w:hAnsi="宋体"/>
                <w:sz w:val="22"/>
                <w:szCs w:val="22"/>
                <w:lang w:bidi="ar"/>
              </w:rPr>
              <w:t>（公顷）</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ind w:firstLine="0" w:firstLineChars="0"/>
              <w:jc w:val="center"/>
              <w:textAlignment w:val="center"/>
              <w:rPr>
                <w:rFonts w:ascii="仿宋_GB2312" w:hAnsi="宋体" w:cs="仿宋_GB2312"/>
                <w:b/>
                <w:bCs/>
                <w:color w:val="000000"/>
                <w:sz w:val="22"/>
              </w:rPr>
            </w:pPr>
            <w:r>
              <w:rPr>
                <w:rFonts w:hint="eastAsia" w:ascii="仿宋_GB2312" w:hAnsi="宋体" w:cs="仿宋_GB2312"/>
                <w:b/>
                <w:bCs/>
                <w:color w:val="000000"/>
                <w:sz w:val="22"/>
                <w:lang w:bidi="ar"/>
              </w:rPr>
              <w:t>拟征收占比</w:t>
            </w:r>
          </w:p>
        </w:tc>
      </w:tr>
      <w:tr>
        <w:tblPrEx>
          <w:tblCellMar>
            <w:top w:w="0" w:type="dxa"/>
            <w:left w:w="108" w:type="dxa"/>
            <w:bottom w:w="0" w:type="dxa"/>
            <w:right w:w="108" w:type="dxa"/>
          </w:tblCellMar>
        </w:tblPrEx>
        <w:trPr>
          <w:trHeight w:val="658"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1</w:t>
            </w:r>
          </w:p>
        </w:tc>
        <w:tc>
          <w:tcPr>
            <w:tcW w:w="18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ind w:firstLine="0" w:firstLineChars="0"/>
              <w:jc w:val="center"/>
              <w:textAlignment w:val="center"/>
              <w:rPr>
                <w:rFonts w:ascii="仿宋_GB2312" w:hAnsi="宋体" w:cs="仿宋_GB2312"/>
                <w:color w:val="000000"/>
                <w:sz w:val="22"/>
              </w:rPr>
            </w:pPr>
            <w:r>
              <w:rPr>
                <w:rStyle w:val="36"/>
                <w:rFonts w:hint="default" w:hAnsi="宋体"/>
                <w:sz w:val="22"/>
                <w:szCs w:val="22"/>
                <w:lang w:bidi="ar"/>
              </w:rPr>
              <w:t>怡宝成片开发范围</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97.8289</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87.3644</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89.30%</w:t>
            </w:r>
          </w:p>
        </w:tc>
      </w:tr>
      <w:tr>
        <w:tblPrEx>
          <w:tblCellMar>
            <w:top w:w="0" w:type="dxa"/>
            <w:left w:w="108" w:type="dxa"/>
            <w:bottom w:w="0" w:type="dxa"/>
            <w:right w:w="108" w:type="dxa"/>
          </w:tblCellMar>
        </w:tblPrEx>
        <w:trPr>
          <w:trHeight w:val="658"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2</w:t>
            </w:r>
          </w:p>
        </w:tc>
        <w:tc>
          <w:tcPr>
            <w:tcW w:w="18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ind w:firstLine="0" w:firstLineChars="0"/>
              <w:jc w:val="center"/>
              <w:textAlignment w:val="center"/>
              <w:rPr>
                <w:rFonts w:ascii="仿宋_GB2312" w:hAnsi="宋体" w:cs="仿宋_GB2312"/>
                <w:color w:val="000000"/>
                <w:sz w:val="22"/>
              </w:rPr>
            </w:pPr>
            <w:r>
              <w:rPr>
                <w:rFonts w:hint="eastAsia" w:ascii="仿宋_GB2312" w:hAnsi="宋体" w:cs="仿宋_GB2312"/>
                <w:color w:val="000000"/>
                <w:sz w:val="22"/>
                <w:lang w:bidi="ar"/>
              </w:rPr>
              <w:t>源城区工业园第五期扩园</w:t>
            </w:r>
            <w:r>
              <w:rPr>
                <w:rStyle w:val="37"/>
                <w:sz w:val="22"/>
                <w:szCs w:val="22"/>
                <w:lang w:bidi="ar"/>
              </w:rPr>
              <w:t>(5G</w:t>
            </w:r>
            <w:r>
              <w:rPr>
                <w:rStyle w:val="36"/>
                <w:rFonts w:hint="default" w:hAnsi="宋体"/>
                <w:sz w:val="22"/>
                <w:szCs w:val="22"/>
                <w:lang w:bidi="ar"/>
              </w:rPr>
              <w:t>产业城</w:t>
            </w:r>
            <w:r>
              <w:rPr>
                <w:rStyle w:val="37"/>
                <w:sz w:val="22"/>
                <w:szCs w:val="22"/>
                <w:lang w:bidi="ar"/>
              </w:rPr>
              <w:t>)</w:t>
            </w:r>
            <w:r>
              <w:rPr>
                <w:rStyle w:val="36"/>
                <w:rFonts w:hint="default" w:hAnsi="宋体"/>
                <w:sz w:val="22"/>
                <w:szCs w:val="22"/>
                <w:lang w:bidi="ar"/>
              </w:rPr>
              <w:t>成片开发范围</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35.505</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35.4053</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99.72%</w:t>
            </w:r>
          </w:p>
        </w:tc>
      </w:tr>
      <w:tr>
        <w:tblPrEx>
          <w:tblCellMar>
            <w:top w:w="0" w:type="dxa"/>
            <w:left w:w="108" w:type="dxa"/>
            <w:bottom w:w="0" w:type="dxa"/>
            <w:right w:w="108" w:type="dxa"/>
          </w:tblCellMar>
        </w:tblPrEx>
        <w:trPr>
          <w:trHeight w:val="658"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3</w:t>
            </w:r>
          </w:p>
        </w:tc>
        <w:tc>
          <w:tcPr>
            <w:tcW w:w="18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ind w:firstLine="0" w:firstLineChars="0"/>
              <w:jc w:val="center"/>
              <w:textAlignment w:val="center"/>
              <w:rPr>
                <w:rFonts w:ascii="仿宋_GB2312" w:hAnsi="宋体" w:cs="仿宋_GB2312"/>
                <w:color w:val="000000"/>
                <w:sz w:val="22"/>
              </w:rPr>
            </w:pPr>
            <w:r>
              <w:rPr>
                <w:rStyle w:val="36"/>
                <w:rFonts w:hint="default" w:hAnsi="宋体"/>
                <w:sz w:val="22"/>
                <w:szCs w:val="22"/>
                <w:lang w:bidi="ar"/>
              </w:rPr>
              <w:t>源城区工业园第三期扩园成片开发范围</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47.613</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46.0477</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96.72%</w:t>
            </w:r>
          </w:p>
        </w:tc>
      </w:tr>
      <w:tr>
        <w:tblPrEx>
          <w:tblCellMar>
            <w:top w:w="0" w:type="dxa"/>
            <w:left w:w="108" w:type="dxa"/>
            <w:bottom w:w="0" w:type="dxa"/>
            <w:right w:w="108" w:type="dxa"/>
          </w:tblCellMar>
        </w:tblPrEx>
        <w:trPr>
          <w:trHeight w:val="580"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4</w:t>
            </w:r>
          </w:p>
        </w:tc>
        <w:tc>
          <w:tcPr>
            <w:tcW w:w="18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ind w:firstLine="0" w:firstLineChars="0"/>
              <w:jc w:val="center"/>
              <w:textAlignment w:val="center"/>
              <w:rPr>
                <w:rFonts w:ascii="仿宋_GB2312" w:hAnsi="宋体" w:cs="仿宋_GB2312"/>
                <w:color w:val="000000"/>
                <w:sz w:val="22"/>
              </w:rPr>
            </w:pPr>
            <w:r>
              <w:rPr>
                <w:rStyle w:val="36"/>
                <w:rFonts w:hint="default" w:hAnsi="宋体"/>
                <w:sz w:val="22"/>
                <w:szCs w:val="22"/>
                <w:lang w:bidi="ar"/>
              </w:rPr>
              <w:t>城市综合体成片开发范围</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26.5493</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19.0468</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71.74%</w:t>
            </w:r>
          </w:p>
        </w:tc>
      </w:tr>
      <w:tr>
        <w:tblPrEx>
          <w:tblCellMar>
            <w:top w:w="0" w:type="dxa"/>
            <w:left w:w="108" w:type="dxa"/>
            <w:bottom w:w="0" w:type="dxa"/>
            <w:right w:w="108" w:type="dxa"/>
          </w:tblCellMar>
        </w:tblPrEx>
        <w:trPr>
          <w:trHeight w:val="658"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5</w:t>
            </w:r>
          </w:p>
        </w:tc>
        <w:tc>
          <w:tcPr>
            <w:tcW w:w="18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ind w:firstLine="0" w:firstLineChars="0"/>
              <w:jc w:val="center"/>
              <w:textAlignment w:val="center"/>
              <w:rPr>
                <w:rFonts w:ascii="仿宋_GB2312" w:hAnsi="宋体" w:cs="仿宋_GB2312"/>
                <w:color w:val="000000"/>
                <w:sz w:val="22"/>
              </w:rPr>
            </w:pPr>
            <w:r>
              <w:rPr>
                <w:rStyle w:val="36"/>
                <w:rFonts w:hint="default" w:hAnsi="宋体"/>
                <w:sz w:val="22"/>
                <w:szCs w:val="22"/>
                <w:lang w:bidi="ar"/>
              </w:rPr>
              <w:t>河源江东新区文博新城成片开发范围</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21.2743</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14.6281</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68.76%</w:t>
            </w:r>
          </w:p>
        </w:tc>
      </w:tr>
      <w:tr>
        <w:tblPrEx>
          <w:tblCellMar>
            <w:top w:w="0" w:type="dxa"/>
            <w:left w:w="108" w:type="dxa"/>
            <w:bottom w:w="0" w:type="dxa"/>
            <w:right w:w="108" w:type="dxa"/>
          </w:tblCellMar>
        </w:tblPrEx>
        <w:trPr>
          <w:trHeight w:val="658"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6</w:t>
            </w:r>
          </w:p>
        </w:tc>
        <w:tc>
          <w:tcPr>
            <w:tcW w:w="18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ind w:firstLine="0" w:firstLineChars="0"/>
              <w:jc w:val="center"/>
              <w:textAlignment w:val="center"/>
              <w:rPr>
                <w:rFonts w:ascii="仿宋_GB2312" w:hAnsi="宋体" w:cs="仿宋_GB2312"/>
                <w:color w:val="000000"/>
                <w:sz w:val="22"/>
              </w:rPr>
            </w:pPr>
            <w:r>
              <w:rPr>
                <w:rStyle w:val="36"/>
                <w:rFonts w:hint="default" w:hAnsi="宋体"/>
                <w:sz w:val="22"/>
                <w:szCs w:val="22"/>
                <w:lang w:bidi="ar"/>
              </w:rPr>
              <w:t>河源星河丹堤成片开发范围</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26.5258</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26.4936</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99.88%</w:t>
            </w:r>
          </w:p>
        </w:tc>
      </w:tr>
      <w:tr>
        <w:tblPrEx>
          <w:tblCellMar>
            <w:top w:w="0" w:type="dxa"/>
            <w:left w:w="108" w:type="dxa"/>
            <w:bottom w:w="0" w:type="dxa"/>
            <w:right w:w="108" w:type="dxa"/>
          </w:tblCellMar>
        </w:tblPrEx>
        <w:trPr>
          <w:trHeight w:val="658"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7</w:t>
            </w:r>
          </w:p>
        </w:tc>
        <w:tc>
          <w:tcPr>
            <w:tcW w:w="18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ind w:firstLine="0" w:firstLineChars="0"/>
              <w:jc w:val="center"/>
              <w:textAlignment w:val="center"/>
              <w:rPr>
                <w:rFonts w:ascii="仿宋_GB2312" w:hAnsi="宋体" w:cs="仿宋_GB2312"/>
                <w:color w:val="000000"/>
                <w:sz w:val="22"/>
              </w:rPr>
            </w:pPr>
            <w:r>
              <w:rPr>
                <w:rStyle w:val="36"/>
                <w:rFonts w:hint="default" w:hAnsi="宋体"/>
                <w:sz w:val="22"/>
                <w:szCs w:val="22"/>
                <w:lang w:bidi="ar"/>
              </w:rPr>
              <w:t>城市建设起步区综合开发项目成片开发范围</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4.6259</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3.1044</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67.11%</w:t>
            </w:r>
          </w:p>
        </w:tc>
      </w:tr>
      <w:tr>
        <w:tblPrEx>
          <w:tblCellMar>
            <w:top w:w="0" w:type="dxa"/>
            <w:left w:w="108" w:type="dxa"/>
            <w:bottom w:w="0" w:type="dxa"/>
            <w:right w:w="108" w:type="dxa"/>
          </w:tblCellMar>
        </w:tblPrEx>
        <w:trPr>
          <w:trHeight w:val="658"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8</w:t>
            </w:r>
          </w:p>
        </w:tc>
        <w:tc>
          <w:tcPr>
            <w:tcW w:w="185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ind w:firstLine="0" w:firstLineChars="0"/>
              <w:jc w:val="center"/>
              <w:textAlignment w:val="center"/>
              <w:rPr>
                <w:rFonts w:ascii="仿宋_GB2312" w:hAnsi="宋体" w:cs="仿宋_GB2312"/>
                <w:color w:val="000000"/>
                <w:sz w:val="22"/>
              </w:rPr>
            </w:pPr>
            <w:r>
              <w:rPr>
                <w:rStyle w:val="36"/>
                <w:rFonts w:hint="default" w:hAnsi="宋体"/>
                <w:sz w:val="22"/>
                <w:szCs w:val="22"/>
                <w:lang w:bidi="ar"/>
              </w:rPr>
              <w:t>城市建设起步区商住项目成片开发范围</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0.814</w:t>
            </w:r>
            <w:r>
              <w:rPr>
                <w:rFonts w:hint="eastAsia" w:eastAsia="宋体" w:cs="Times New Roman"/>
                <w:color w:val="000000"/>
                <w:sz w:val="22"/>
                <w:lang w:bidi="ar"/>
              </w:rPr>
              <w:t>0</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0.508</w:t>
            </w:r>
            <w:r>
              <w:rPr>
                <w:rFonts w:hint="eastAsia" w:eastAsia="宋体" w:cs="Times New Roman"/>
                <w:color w:val="000000"/>
                <w:sz w:val="22"/>
                <w:lang w:bidi="ar"/>
              </w:rPr>
              <w:t>0</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62.41%</w:t>
            </w:r>
          </w:p>
        </w:tc>
      </w:tr>
      <w:tr>
        <w:tblPrEx>
          <w:tblCellMar>
            <w:top w:w="0" w:type="dxa"/>
            <w:left w:w="108" w:type="dxa"/>
            <w:bottom w:w="0" w:type="dxa"/>
            <w:right w:w="108" w:type="dxa"/>
          </w:tblCellMar>
        </w:tblPrEx>
        <w:trPr>
          <w:trHeight w:val="658" w:hRule="atLeast"/>
        </w:trPr>
        <w:tc>
          <w:tcPr>
            <w:tcW w:w="26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仿宋_GB2312" w:hAnsi="宋体" w:cs="仿宋_GB2312"/>
                <w:color w:val="000000"/>
                <w:sz w:val="22"/>
              </w:rPr>
            </w:pPr>
            <w:r>
              <w:rPr>
                <w:rStyle w:val="36"/>
                <w:rFonts w:hint="default" w:hAnsi="宋体"/>
                <w:sz w:val="22"/>
                <w:szCs w:val="22"/>
                <w:lang w:bidi="ar"/>
              </w:rPr>
              <w:t>合计</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260.7362</w:t>
            </w:r>
          </w:p>
        </w:tc>
        <w:tc>
          <w:tcPr>
            <w:tcW w:w="8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232.5983</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eastAsia="宋体" w:cs="Times New Roman"/>
                <w:color w:val="000000"/>
                <w:sz w:val="22"/>
              </w:rPr>
            </w:pPr>
            <w:r>
              <w:rPr>
                <w:rFonts w:eastAsia="宋体" w:cs="Times New Roman"/>
                <w:color w:val="000000"/>
                <w:sz w:val="22"/>
                <w:lang w:bidi="ar"/>
              </w:rPr>
              <w:t>89.21%</w:t>
            </w:r>
          </w:p>
        </w:tc>
      </w:tr>
    </w:tbl>
    <w:p>
      <w:pPr>
        <w:pStyle w:val="2"/>
        <w:ind w:firstLine="560"/>
      </w:pPr>
    </w:p>
    <w:p>
      <w:pPr>
        <w:ind w:firstLine="560"/>
        <w:jc w:val="center"/>
      </w:pPr>
      <w:r>
        <w:drawing>
          <wp:inline distT="0" distB="0" distL="114300" distR="114300">
            <wp:extent cx="5143500" cy="699135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143500" cy="6991350"/>
                    </a:xfrm>
                    <a:prstGeom prst="rect">
                      <a:avLst/>
                    </a:prstGeom>
                    <a:noFill/>
                    <a:ln>
                      <a:noFill/>
                    </a:ln>
                  </pic:spPr>
                </pic:pic>
              </a:graphicData>
            </a:graphic>
          </wp:inline>
        </w:drawing>
      </w:r>
    </w:p>
    <w:p>
      <w:pPr>
        <w:ind w:firstLine="0" w:firstLineChars="0"/>
        <w:jc w:val="center"/>
        <w:rPr>
          <w:sz w:val="24"/>
          <w:szCs w:val="21"/>
        </w:rPr>
      </w:pPr>
      <w:r>
        <w:rPr>
          <w:rFonts w:hint="eastAsia"/>
          <w:sz w:val="24"/>
          <w:szCs w:val="21"/>
        </w:rPr>
        <w:t>图2-1 调整前成片开发范围布局图</w:t>
      </w:r>
    </w:p>
    <w:p>
      <w:pPr>
        <w:ind w:firstLine="480"/>
      </w:pPr>
      <w:r>
        <w:rPr>
          <w:rFonts w:hint="eastAsia"/>
          <w:sz w:val="24"/>
          <w:szCs w:val="21"/>
        </w:rPr>
        <w:br w:type="page"/>
      </w:r>
    </w:p>
    <w:p>
      <w:pPr>
        <w:pStyle w:val="5"/>
        <w:numPr>
          <w:ilvl w:val="0"/>
          <w:numId w:val="10"/>
        </w:numPr>
      </w:pPr>
      <w:r>
        <w:rPr>
          <w:rFonts w:hint="eastAsia"/>
        </w:rPr>
        <w:t>方案片区公益性用地情况</w:t>
      </w:r>
    </w:p>
    <w:p>
      <w:pPr>
        <w:ind w:firstLine="560"/>
      </w:pPr>
      <w:r>
        <w:t>调整前，</w:t>
      </w:r>
      <w:r>
        <w:rPr>
          <w:rFonts w:cs="Times New Roman"/>
          <w:szCs w:val="28"/>
        </w:rPr>
        <w:t>河源市源城区2021年度土地征收成片开发方案</w:t>
      </w:r>
      <w:r>
        <w:t>各片区公益性用地比例均超过40%，满足《自然资源部关于印发&lt;土地征收成片开发标准(试行)&gt;的通知》(自然资规</w:t>
      </w:r>
      <w:r>
        <w:rPr>
          <w:rFonts w:cs="Times New Roman"/>
          <w:szCs w:val="28"/>
        </w:rPr>
        <w:t>〔20</w:t>
      </w:r>
      <w:r>
        <w:rPr>
          <w:rFonts w:hint="eastAsia" w:cs="Times New Roman"/>
          <w:szCs w:val="28"/>
        </w:rPr>
        <w:t>20</w:t>
      </w:r>
      <w:r>
        <w:rPr>
          <w:rFonts w:cs="Times New Roman"/>
          <w:szCs w:val="28"/>
        </w:rPr>
        <w:t>〕</w:t>
      </w:r>
      <w:r>
        <w:rPr>
          <w:rFonts w:hint="eastAsia" w:cs="Times New Roman"/>
          <w:szCs w:val="28"/>
        </w:rPr>
        <w:t>5</w:t>
      </w:r>
      <w:r>
        <w:rPr>
          <w:rFonts w:cs="Times New Roman"/>
          <w:szCs w:val="28"/>
        </w:rPr>
        <w:t>号</w:t>
      </w:r>
      <w:r>
        <w:t>)、《广东省自然资源厅关于规范土地征收成片开发工作的通知》(粤自然资发</w:t>
      </w:r>
      <w:r>
        <w:rPr>
          <w:rFonts w:cs="Times New Roman"/>
          <w:szCs w:val="28"/>
        </w:rPr>
        <w:t>〔202</w:t>
      </w:r>
      <w:r>
        <w:rPr>
          <w:rFonts w:hint="eastAsia" w:cs="Times New Roman"/>
          <w:szCs w:val="28"/>
        </w:rPr>
        <w:t>1</w:t>
      </w:r>
      <w:r>
        <w:rPr>
          <w:rFonts w:cs="Times New Roman"/>
          <w:szCs w:val="28"/>
        </w:rPr>
        <w:t>〕</w:t>
      </w:r>
      <w:r>
        <w:rPr>
          <w:rFonts w:hint="eastAsia" w:cs="Times New Roman"/>
          <w:szCs w:val="28"/>
        </w:rPr>
        <w:t>20</w:t>
      </w:r>
      <w:r>
        <w:rPr>
          <w:rFonts w:cs="Times New Roman"/>
          <w:szCs w:val="28"/>
        </w:rPr>
        <w:t>号</w:t>
      </w:r>
      <w:r>
        <w:t>)对土地征收成片开发范围内基础设施、公共服务设施以及其他公益性用地比例不低于40%的要求。</w:t>
      </w:r>
    </w:p>
    <w:p>
      <w:pPr>
        <w:ind w:firstLine="480"/>
        <w:jc w:val="center"/>
        <w:rPr>
          <w:sz w:val="24"/>
          <w:szCs w:val="21"/>
        </w:rPr>
      </w:pPr>
      <w:r>
        <w:rPr>
          <w:rFonts w:hint="eastAsia"/>
          <w:sz w:val="24"/>
          <w:szCs w:val="21"/>
        </w:rPr>
        <w:t>表2-2 调整前各片区公益性用地情况统计表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3757"/>
        <w:gridCol w:w="1116"/>
        <w:gridCol w:w="1116"/>
        <w:gridCol w:w="1116"/>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343" w:type="pct"/>
            <w:vAlign w:val="center"/>
          </w:tcPr>
          <w:p>
            <w:pPr>
              <w:widowControl/>
              <w:spacing w:line="240" w:lineRule="auto"/>
              <w:ind w:firstLine="0" w:firstLineChars="0"/>
              <w:jc w:val="center"/>
              <w:textAlignment w:val="center"/>
              <w:rPr>
                <w:rFonts w:cs="Times New Roman"/>
                <w:sz w:val="24"/>
                <w:szCs w:val="24"/>
              </w:rPr>
            </w:pPr>
            <w:r>
              <w:rPr>
                <w:rFonts w:cs="Times New Roman"/>
                <w:b/>
                <w:bCs/>
                <w:color w:val="000000"/>
                <w:sz w:val="24"/>
                <w:szCs w:val="24"/>
                <w:lang w:bidi="ar"/>
              </w:rPr>
              <w:t>序号</w:t>
            </w:r>
          </w:p>
        </w:tc>
        <w:tc>
          <w:tcPr>
            <w:tcW w:w="2365" w:type="pct"/>
            <w:vAlign w:val="center"/>
          </w:tcPr>
          <w:p>
            <w:pPr>
              <w:widowControl/>
              <w:spacing w:line="240" w:lineRule="auto"/>
              <w:ind w:firstLine="0" w:firstLineChars="0"/>
              <w:jc w:val="center"/>
              <w:textAlignment w:val="center"/>
              <w:rPr>
                <w:rFonts w:cs="Times New Roman"/>
                <w:sz w:val="24"/>
                <w:szCs w:val="24"/>
              </w:rPr>
            </w:pPr>
            <w:r>
              <w:rPr>
                <w:rFonts w:cs="Times New Roman"/>
                <w:b/>
                <w:bCs/>
                <w:color w:val="000000"/>
                <w:sz w:val="24"/>
                <w:szCs w:val="24"/>
                <w:lang w:bidi="ar"/>
              </w:rPr>
              <w:t>成片开发范围</w:t>
            </w:r>
          </w:p>
        </w:tc>
        <w:tc>
          <w:tcPr>
            <w:tcW w:w="539" w:type="pct"/>
            <w:vAlign w:val="center"/>
          </w:tcPr>
          <w:p>
            <w:pPr>
              <w:widowControl/>
              <w:spacing w:line="240" w:lineRule="auto"/>
              <w:ind w:firstLine="0" w:firstLineChars="0"/>
              <w:jc w:val="center"/>
              <w:textAlignment w:val="center"/>
              <w:rPr>
                <w:rFonts w:cs="Times New Roman"/>
                <w:sz w:val="24"/>
                <w:szCs w:val="24"/>
              </w:rPr>
            </w:pPr>
            <w:r>
              <w:rPr>
                <w:rFonts w:cs="Times New Roman"/>
                <w:b/>
                <w:bCs/>
                <w:color w:val="000000"/>
                <w:sz w:val="24"/>
                <w:szCs w:val="24"/>
                <w:lang w:bidi="ar"/>
              </w:rPr>
              <w:t>总面积</w:t>
            </w:r>
            <w:r>
              <w:rPr>
                <w:rFonts w:hint="eastAsia" w:cs="Times New Roman"/>
                <w:b/>
                <w:bCs/>
                <w:color w:val="000000"/>
                <w:sz w:val="24"/>
                <w:szCs w:val="24"/>
                <w:lang w:bidi="ar"/>
              </w:rPr>
              <w:t>（公顷）</w:t>
            </w:r>
          </w:p>
        </w:tc>
        <w:tc>
          <w:tcPr>
            <w:tcW w:w="586" w:type="pct"/>
            <w:vAlign w:val="center"/>
          </w:tcPr>
          <w:p>
            <w:pPr>
              <w:widowControl/>
              <w:spacing w:line="240" w:lineRule="auto"/>
              <w:ind w:firstLine="0" w:firstLineChars="0"/>
              <w:jc w:val="center"/>
              <w:textAlignment w:val="center"/>
              <w:rPr>
                <w:rFonts w:cs="Times New Roman"/>
                <w:b/>
                <w:bCs/>
                <w:color w:val="000000"/>
                <w:sz w:val="24"/>
                <w:szCs w:val="24"/>
                <w:lang w:bidi="ar"/>
              </w:rPr>
            </w:pPr>
            <w:r>
              <w:rPr>
                <w:rFonts w:hint="eastAsia" w:cs="Times New Roman"/>
                <w:b/>
                <w:bCs/>
                <w:color w:val="000000"/>
                <w:sz w:val="24"/>
                <w:szCs w:val="24"/>
                <w:lang w:bidi="ar"/>
              </w:rPr>
              <w:t>公益性用地面积（公顷）</w:t>
            </w:r>
          </w:p>
        </w:tc>
        <w:tc>
          <w:tcPr>
            <w:tcW w:w="586" w:type="pct"/>
            <w:vAlign w:val="center"/>
          </w:tcPr>
          <w:p>
            <w:pPr>
              <w:widowControl/>
              <w:spacing w:line="240" w:lineRule="auto"/>
              <w:ind w:firstLine="0" w:firstLineChars="0"/>
              <w:jc w:val="center"/>
              <w:textAlignment w:val="center"/>
              <w:rPr>
                <w:rFonts w:cs="Times New Roman"/>
                <w:sz w:val="24"/>
                <w:szCs w:val="24"/>
              </w:rPr>
            </w:pPr>
            <w:r>
              <w:rPr>
                <w:rFonts w:hint="eastAsia" w:cs="Times New Roman"/>
                <w:b/>
                <w:bCs/>
                <w:color w:val="000000"/>
                <w:sz w:val="24"/>
                <w:szCs w:val="24"/>
                <w:lang w:bidi="ar"/>
              </w:rPr>
              <w:t>非公益性用地面积（公顷）</w:t>
            </w:r>
          </w:p>
        </w:tc>
        <w:tc>
          <w:tcPr>
            <w:tcW w:w="578" w:type="pct"/>
            <w:vAlign w:val="center"/>
          </w:tcPr>
          <w:p>
            <w:pPr>
              <w:widowControl/>
              <w:spacing w:line="240" w:lineRule="auto"/>
              <w:ind w:firstLine="0" w:firstLineChars="0"/>
              <w:jc w:val="center"/>
              <w:textAlignment w:val="center"/>
              <w:rPr>
                <w:rFonts w:cs="Times New Roman"/>
                <w:sz w:val="24"/>
                <w:szCs w:val="24"/>
              </w:rPr>
            </w:pPr>
            <w:r>
              <w:rPr>
                <w:rFonts w:hint="eastAsia" w:cs="Times New Roman"/>
                <w:b/>
                <w:bCs/>
                <w:color w:val="000000"/>
                <w:sz w:val="24"/>
                <w:szCs w:val="24"/>
                <w:lang w:bidi="ar"/>
              </w:rPr>
              <w:t>公益性用地</w:t>
            </w:r>
            <w:r>
              <w:rPr>
                <w:rFonts w:cs="Times New Roman"/>
                <w:b/>
                <w:bCs/>
                <w:color w:val="000000"/>
                <w:sz w:val="24"/>
                <w:szCs w:val="24"/>
                <w:lang w:bidi="ar"/>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43"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1</w:t>
            </w:r>
          </w:p>
        </w:tc>
        <w:tc>
          <w:tcPr>
            <w:tcW w:w="2365" w:type="pct"/>
            <w:vAlign w:val="center"/>
          </w:tcPr>
          <w:p>
            <w:pPr>
              <w:widowControl/>
              <w:spacing w:line="240" w:lineRule="auto"/>
              <w:ind w:firstLine="0" w:firstLineChars="0"/>
              <w:jc w:val="center"/>
              <w:textAlignment w:val="center"/>
              <w:rPr>
                <w:rFonts w:cs="Times New Roman"/>
                <w:sz w:val="24"/>
                <w:szCs w:val="24"/>
              </w:rPr>
            </w:pPr>
            <w:r>
              <w:rPr>
                <w:rFonts w:cs="Times New Roman"/>
                <w:color w:val="000000"/>
                <w:sz w:val="24"/>
                <w:szCs w:val="24"/>
                <w:lang w:bidi="ar"/>
              </w:rPr>
              <w:t>怡宝成片开发范围</w:t>
            </w:r>
          </w:p>
        </w:tc>
        <w:tc>
          <w:tcPr>
            <w:tcW w:w="539"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97.8289</w:t>
            </w:r>
          </w:p>
        </w:tc>
        <w:tc>
          <w:tcPr>
            <w:tcW w:w="586"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45.2125</w:t>
            </w:r>
          </w:p>
        </w:tc>
        <w:tc>
          <w:tcPr>
            <w:tcW w:w="586"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52.6164</w:t>
            </w:r>
          </w:p>
        </w:tc>
        <w:tc>
          <w:tcPr>
            <w:tcW w:w="578"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46.22%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343"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2</w:t>
            </w:r>
          </w:p>
        </w:tc>
        <w:tc>
          <w:tcPr>
            <w:tcW w:w="2365" w:type="pct"/>
            <w:vAlign w:val="center"/>
          </w:tcPr>
          <w:p>
            <w:pPr>
              <w:widowControl/>
              <w:spacing w:line="240" w:lineRule="auto"/>
              <w:ind w:firstLine="0" w:firstLineChars="0"/>
              <w:jc w:val="center"/>
              <w:textAlignment w:val="center"/>
              <w:rPr>
                <w:rFonts w:cs="Times New Roman"/>
                <w:sz w:val="24"/>
                <w:szCs w:val="24"/>
              </w:rPr>
            </w:pPr>
            <w:r>
              <w:rPr>
                <w:rFonts w:cs="Times New Roman"/>
                <w:color w:val="000000"/>
                <w:sz w:val="24"/>
                <w:szCs w:val="24"/>
                <w:lang w:bidi="ar"/>
              </w:rPr>
              <w:t>源城区工业园第五期扩园(5G产业城)成片开发范围</w:t>
            </w:r>
          </w:p>
        </w:tc>
        <w:tc>
          <w:tcPr>
            <w:tcW w:w="539"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35.5050</w:t>
            </w:r>
          </w:p>
        </w:tc>
        <w:tc>
          <w:tcPr>
            <w:tcW w:w="586"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17.8118</w:t>
            </w:r>
          </w:p>
        </w:tc>
        <w:tc>
          <w:tcPr>
            <w:tcW w:w="586"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17.6932</w:t>
            </w:r>
          </w:p>
        </w:tc>
        <w:tc>
          <w:tcPr>
            <w:tcW w:w="578"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50.17%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43"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3</w:t>
            </w:r>
          </w:p>
        </w:tc>
        <w:tc>
          <w:tcPr>
            <w:tcW w:w="2365"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源城区工业园第三期扩园成片开发范围</w:t>
            </w:r>
          </w:p>
        </w:tc>
        <w:tc>
          <w:tcPr>
            <w:tcW w:w="539"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47.6130</w:t>
            </w:r>
          </w:p>
        </w:tc>
        <w:tc>
          <w:tcPr>
            <w:tcW w:w="586"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20.5237</w:t>
            </w:r>
          </w:p>
        </w:tc>
        <w:tc>
          <w:tcPr>
            <w:tcW w:w="586"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27.0893</w:t>
            </w:r>
          </w:p>
        </w:tc>
        <w:tc>
          <w:tcPr>
            <w:tcW w:w="578"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43.11%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43"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4</w:t>
            </w:r>
          </w:p>
        </w:tc>
        <w:tc>
          <w:tcPr>
            <w:tcW w:w="2365"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城市综合体成片开发范围</w:t>
            </w:r>
          </w:p>
        </w:tc>
        <w:tc>
          <w:tcPr>
            <w:tcW w:w="539"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26.5493</w:t>
            </w:r>
          </w:p>
        </w:tc>
        <w:tc>
          <w:tcPr>
            <w:tcW w:w="586"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12.8786</w:t>
            </w:r>
          </w:p>
        </w:tc>
        <w:tc>
          <w:tcPr>
            <w:tcW w:w="586"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13.6707</w:t>
            </w:r>
          </w:p>
        </w:tc>
        <w:tc>
          <w:tcPr>
            <w:tcW w:w="578"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48.51%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43"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5</w:t>
            </w:r>
          </w:p>
        </w:tc>
        <w:tc>
          <w:tcPr>
            <w:tcW w:w="2365"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河源江东新区文博新城成片开发范围</w:t>
            </w:r>
          </w:p>
        </w:tc>
        <w:tc>
          <w:tcPr>
            <w:tcW w:w="539"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21.2743</w:t>
            </w:r>
          </w:p>
        </w:tc>
        <w:tc>
          <w:tcPr>
            <w:tcW w:w="586"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11.2080</w:t>
            </w:r>
          </w:p>
        </w:tc>
        <w:tc>
          <w:tcPr>
            <w:tcW w:w="586"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10.0663</w:t>
            </w:r>
          </w:p>
        </w:tc>
        <w:tc>
          <w:tcPr>
            <w:tcW w:w="578"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52.68%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43"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6</w:t>
            </w:r>
          </w:p>
        </w:tc>
        <w:tc>
          <w:tcPr>
            <w:tcW w:w="2365"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河源星河丹堤成片开发范围</w:t>
            </w:r>
          </w:p>
        </w:tc>
        <w:tc>
          <w:tcPr>
            <w:tcW w:w="539"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26.5258</w:t>
            </w:r>
          </w:p>
        </w:tc>
        <w:tc>
          <w:tcPr>
            <w:tcW w:w="586"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13.0940</w:t>
            </w:r>
          </w:p>
        </w:tc>
        <w:tc>
          <w:tcPr>
            <w:tcW w:w="586"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13.4318</w:t>
            </w:r>
          </w:p>
        </w:tc>
        <w:tc>
          <w:tcPr>
            <w:tcW w:w="578"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49.36%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43"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7</w:t>
            </w:r>
          </w:p>
        </w:tc>
        <w:tc>
          <w:tcPr>
            <w:tcW w:w="2365"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城市建设起步区综合开发项目成片开发范围</w:t>
            </w:r>
          </w:p>
        </w:tc>
        <w:tc>
          <w:tcPr>
            <w:tcW w:w="539"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4.6259</w:t>
            </w:r>
          </w:p>
        </w:tc>
        <w:tc>
          <w:tcPr>
            <w:tcW w:w="586"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2.3722</w:t>
            </w:r>
          </w:p>
        </w:tc>
        <w:tc>
          <w:tcPr>
            <w:tcW w:w="586"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2.2537</w:t>
            </w:r>
          </w:p>
        </w:tc>
        <w:tc>
          <w:tcPr>
            <w:tcW w:w="578"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51.28%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43"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8</w:t>
            </w:r>
          </w:p>
        </w:tc>
        <w:tc>
          <w:tcPr>
            <w:tcW w:w="2365"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城市建设起步区商住项目成片开发范围</w:t>
            </w:r>
          </w:p>
        </w:tc>
        <w:tc>
          <w:tcPr>
            <w:tcW w:w="539"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0.8140</w:t>
            </w:r>
          </w:p>
        </w:tc>
        <w:tc>
          <w:tcPr>
            <w:tcW w:w="586"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0.3384</w:t>
            </w:r>
          </w:p>
        </w:tc>
        <w:tc>
          <w:tcPr>
            <w:tcW w:w="586"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0.4756</w:t>
            </w:r>
          </w:p>
        </w:tc>
        <w:tc>
          <w:tcPr>
            <w:tcW w:w="578"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41.57%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708" w:type="pct"/>
            <w:gridSpan w:val="2"/>
            <w:vAlign w:val="center"/>
          </w:tcPr>
          <w:p>
            <w:pPr>
              <w:widowControl/>
              <w:spacing w:line="240" w:lineRule="auto"/>
              <w:ind w:firstLine="0" w:firstLineChars="0"/>
              <w:jc w:val="center"/>
              <w:textAlignment w:val="center"/>
              <w:rPr>
                <w:rFonts w:cs="Times New Roman"/>
                <w:sz w:val="24"/>
                <w:szCs w:val="24"/>
              </w:rPr>
            </w:pPr>
            <w:r>
              <w:rPr>
                <w:rFonts w:cs="Times New Roman"/>
                <w:color w:val="000000"/>
                <w:sz w:val="24"/>
                <w:szCs w:val="24"/>
                <w:lang w:bidi="ar"/>
              </w:rPr>
              <w:t>合计</w:t>
            </w:r>
          </w:p>
        </w:tc>
        <w:tc>
          <w:tcPr>
            <w:tcW w:w="539"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260.7362</w:t>
            </w:r>
          </w:p>
        </w:tc>
        <w:tc>
          <w:tcPr>
            <w:tcW w:w="586"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123.4392</w:t>
            </w:r>
          </w:p>
        </w:tc>
        <w:tc>
          <w:tcPr>
            <w:tcW w:w="586"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137.2970</w:t>
            </w:r>
          </w:p>
        </w:tc>
        <w:tc>
          <w:tcPr>
            <w:tcW w:w="578"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47.34%</w:t>
            </w:r>
          </w:p>
        </w:tc>
      </w:tr>
    </w:tbl>
    <w:p>
      <w:pPr>
        <w:pStyle w:val="5"/>
        <w:numPr>
          <w:ilvl w:val="0"/>
          <w:numId w:val="10"/>
        </w:numPr>
      </w:pPr>
      <w:r>
        <w:rPr>
          <w:rFonts w:hint="eastAsia"/>
        </w:rPr>
        <w:t>方案实施情况</w:t>
      </w:r>
    </w:p>
    <w:p>
      <w:pPr>
        <w:ind w:firstLine="560"/>
      </w:pPr>
      <w:r>
        <w:rPr>
          <w:rFonts w:hint="eastAsia"/>
        </w:rPr>
        <w:t>调整前，</w:t>
      </w:r>
      <w:r>
        <w:rPr>
          <w:rFonts w:cs="Times New Roman"/>
          <w:szCs w:val="28"/>
        </w:rPr>
        <w:t>河源市源城区2021年度土地征收成片开发方案</w:t>
      </w:r>
      <w:r>
        <w:rPr>
          <w:rFonts w:hint="eastAsia"/>
        </w:rPr>
        <w:t>共安排5个项目，共需征收集体土地面积232.5983公顷。其中计划在2021年完成59.7721公顷土地征收，全部计划拟征收土地已取得用地批复，源城区已完成2021年的征收计划，其中因实际征地报批范围与拟征收范围存在微小误差，视为已完成。</w:t>
      </w:r>
    </w:p>
    <w:p>
      <w:pPr>
        <w:ind w:firstLine="480"/>
        <w:jc w:val="center"/>
        <w:rPr>
          <w:sz w:val="24"/>
          <w:szCs w:val="21"/>
        </w:rPr>
      </w:pPr>
      <w:r>
        <w:rPr>
          <w:rFonts w:hint="eastAsia"/>
          <w:sz w:val="24"/>
          <w:szCs w:val="21"/>
        </w:rPr>
        <w:t>表2-3 调整前成片开发方案2021年拟征收项目实施情况</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429"/>
        <w:gridCol w:w="1350"/>
        <w:gridCol w:w="1280"/>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394" w:type="pct"/>
            <w:vAlign w:val="center"/>
          </w:tcPr>
          <w:p>
            <w:pPr>
              <w:widowControl/>
              <w:spacing w:line="240" w:lineRule="auto"/>
              <w:ind w:firstLine="0" w:firstLineChars="0"/>
              <w:jc w:val="center"/>
              <w:textAlignment w:val="center"/>
              <w:rPr>
                <w:rFonts w:cs="Times New Roman"/>
                <w:sz w:val="24"/>
                <w:szCs w:val="24"/>
              </w:rPr>
            </w:pPr>
            <w:r>
              <w:rPr>
                <w:rFonts w:cs="Times New Roman"/>
                <w:b/>
                <w:bCs/>
                <w:color w:val="000000"/>
                <w:sz w:val="24"/>
                <w:szCs w:val="24"/>
                <w:lang w:bidi="ar"/>
              </w:rPr>
              <w:t>成片开发范围</w:t>
            </w:r>
          </w:p>
        </w:tc>
        <w:tc>
          <w:tcPr>
            <w:tcW w:w="1425" w:type="pct"/>
            <w:vAlign w:val="center"/>
          </w:tcPr>
          <w:p>
            <w:pPr>
              <w:widowControl/>
              <w:spacing w:line="240" w:lineRule="auto"/>
              <w:ind w:firstLine="0" w:firstLineChars="0"/>
              <w:jc w:val="center"/>
              <w:textAlignment w:val="center"/>
              <w:rPr>
                <w:rFonts w:cs="Times New Roman"/>
                <w:b/>
                <w:bCs/>
                <w:color w:val="000000"/>
                <w:sz w:val="24"/>
                <w:szCs w:val="24"/>
                <w:lang w:bidi="ar"/>
              </w:rPr>
            </w:pPr>
            <w:r>
              <w:rPr>
                <w:rFonts w:hint="eastAsia" w:cs="Times New Roman"/>
                <w:b/>
                <w:bCs/>
                <w:color w:val="000000"/>
                <w:sz w:val="24"/>
                <w:szCs w:val="24"/>
                <w:lang w:bidi="ar"/>
              </w:rPr>
              <w:t>项目名称</w:t>
            </w:r>
          </w:p>
        </w:tc>
        <w:tc>
          <w:tcPr>
            <w:tcW w:w="792" w:type="pct"/>
            <w:vAlign w:val="center"/>
          </w:tcPr>
          <w:p>
            <w:pPr>
              <w:widowControl/>
              <w:spacing w:line="240" w:lineRule="auto"/>
              <w:ind w:firstLine="0" w:firstLineChars="0"/>
              <w:jc w:val="center"/>
              <w:textAlignment w:val="center"/>
              <w:rPr>
                <w:rFonts w:cs="Times New Roman"/>
                <w:sz w:val="24"/>
                <w:szCs w:val="24"/>
              </w:rPr>
            </w:pPr>
            <w:r>
              <w:rPr>
                <w:rFonts w:hint="eastAsia" w:cs="Times New Roman"/>
                <w:b/>
                <w:bCs/>
                <w:color w:val="000000"/>
                <w:sz w:val="24"/>
                <w:szCs w:val="24"/>
                <w:lang w:bidi="ar"/>
              </w:rPr>
              <w:t>拟征收</w:t>
            </w:r>
            <w:r>
              <w:rPr>
                <w:rFonts w:cs="Times New Roman"/>
                <w:b/>
                <w:bCs/>
                <w:color w:val="000000"/>
                <w:sz w:val="24"/>
                <w:szCs w:val="24"/>
                <w:lang w:bidi="ar"/>
              </w:rPr>
              <w:t>面积</w:t>
            </w:r>
            <w:r>
              <w:rPr>
                <w:rFonts w:hint="eastAsia" w:cs="Times New Roman"/>
                <w:b/>
                <w:bCs/>
                <w:color w:val="000000"/>
                <w:sz w:val="24"/>
                <w:szCs w:val="24"/>
                <w:lang w:bidi="ar"/>
              </w:rPr>
              <w:t>（公顷）</w:t>
            </w:r>
          </w:p>
        </w:tc>
        <w:tc>
          <w:tcPr>
            <w:tcW w:w="751" w:type="pct"/>
            <w:vAlign w:val="center"/>
          </w:tcPr>
          <w:p>
            <w:pPr>
              <w:widowControl/>
              <w:spacing w:line="240" w:lineRule="auto"/>
              <w:ind w:firstLine="0" w:firstLineChars="0"/>
              <w:jc w:val="center"/>
              <w:textAlignment w:val="center"/>
              <w:rPr>
                <w:rFonts w:cs="Times New Roman"/>
                <w:b/>
                <w:bCs/>
                <w:color w:val="000000"/>
                <w:sz w:val="24"/>
                <w:szCs w:val="24"/>
                <w:lang w:bidi="ar"/>
              </w:rPr>
            </w:pPr>
            <w:r>
              <w:rPr>
                <w:rFonts w:hint="eastAsia" w:cs="Times New Roman"/>
                <w:b/>
                <w:bCs/>
                <w:color w:val="000000"/>
                <w:sz w:val="24"/>
                <w:szCs w:val="24"/>
                <w:lang w:bidi="ar"/>
              </w:rPr>
              <w:t>用地报批情况</w:t>
            </w:r>
          </w:p>
        </w:tc>
        <w:tc>
          <w:tcPr>
            <w:tcW w:w="636" w:type="pct"/>
            <w:vAlign w:val="center"/>
          </w:tcPr>
          <w:p>
            <w:pPr>
              <w:widowControl/>
              <w:spacing w:line="240" w:lineRule="auto"/>
              <w:ind w:firstLine="0" w:firstLineChars="0"/>
              <w:jc w:val="center"/>
              <w:textAlignment w:val="center"/>
              <w:rPr>
                <w:rFonts w:cs="Times New Roman"/>
                <w:sz w:val="24"/>
                <w:szCs w:val="24"/>
              </w:rPr>
            </w:pPr>
            <w:r>
              <w:rPr>
                <w:rFonts w:hint="eastAsia" w:cs="Times New Roman"/>
                <w:b/>
                <w:bCs/>
                <w:color w:val="000000"/>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394" w:type="pct"/>
            <w:vAlign w:val="center"/>
          </w:tcPr>
          <w:p>
            <w:pPr>
              <w:widowControl/>
              <w:spacing w:line="240" w:lineRule="auto"/>
              <w:ind w:firstLine="0" w:firstLineChars="0"/>
              <w:jc w:val="center"/>
              <w:textAlignment w:val="center"/>
              <w:rPr>
                <w:rFonts w:cs="Times New Roman"/>
                <w:sz w:val="24"/>
                <w:szCs w:val="24"/>
              </w:rPr>
            </w:pPr>
            <w:r>
              <w:rPr>
                <w:rFonts w:cs="Times New Roman"/>
                <w:color w:val="000000"/>
                <w:sz w:val="24"/>
                <w:szCs w:val="24"/>
                <w:lang w:bidi="ar"/>
              </w:rPr>
              <w:t>怡宝成片开发范围</w:t>
            </w:r>
          </w:p>
        </w:tc>
        <w:tc>
          <w:tcPr>
            <w:tcW w:w="1425"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怡宝项目</w:t>
            </w:r>
          </w:p>
        </w:tc>
        <w:tc>
          <w:tcPr>
            <w:tcW w:w="792"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19.1660</w:t>
            </w:r>
          </w:p>
        </w:tc>
        <w:tc>
          <w:tcPr>
            <w:tcW w:w="751"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已取得用地批复</w:t>
            </w:r>
          </w:p>
        </w:tc>
        <w:tc>
          <w:tcPr>
            <w:tcW w:w="636" w:type="pct"/>
            <w:vAlign w:val="center"/>
          </w:tcPr>
          <w:p>
            <w:pPr>
              <w:widowControl/>
              <w:tabs>
                <w:tab w:val="left" w:pos="381"/>
              </w:tabs>
              <w:spacing w:line="240" w:lineRule="auto"/>
              <w:ind w:firstLine="0" w:firstLineChars="0"/>
              <w:jc w:val="left"/>
              <w:textAlignment w:val="center"/>
              <w:rPr>
                <w:rFonts w:cs="Times New Roman"/>
                <w:color w:val="000000"/>
                <w:sz w:val="24"/>
                <w:szCs w:val="24"/>
                <w:lang w:bidi="ar"/>
              </w:rPr>
            </w:pPr>
            <w:r>
              <w:rPr>
                <w:rFonts w:hint="eastAsia" w:cs="Times New Roman"/>
                <w:color w:val="000000"/>
                <w:sz w:val="24"/>
                <w:szCs w:val="24"/>
                <w:lang w:bidi="ar"/>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394"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源城区工业园第五期扩园(5G产业城)</w:t>
            </w:r>
          </w:p>
          <w:p>
            <w:pPr>
              <w:widowControl/>
              <w:spacing w:line="240" w:lineRule="auto"/>
              <w:ind w:firstLine="0" w:firstLineChars="0"/>
              <w:jc w:val="center"/>
              <w:textAlignment w:val="center"/>
              <w:rPr>
                <w:rFonts w:cs="Times New Roman"/>
                <w:sz w:val="24"/>
                <w:szCs w:val="24"/>
              </w:rPr>
            </w:pPr>
            <w:r>
              <w:rPr>
                <w:rFonts w:cs="Times New Roman"/>
                <w:color w:val="000000"/>
                <w:sz w:val="24"/>
                <w:szCs w:val="24"/>
                <w:lang w:bidi="ar"/>
              </w:rPr>
              <w:t>成片开发范围</w:t>
            </w:r>
          </w:p>
        </w:tc>
        <w:tc>
          <w:tcPr>
            <w:tcW w:w="1425"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源城区工业园第五期扩园(5G产业城)</w:t>
            </w:r>
          </w:p>
        </w:tc>
        <w:tc>
          <w:tcPr>
            <w:tcW w:w="792"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10.3293</w:t>
            </w:r>
          </w:p>
        </w:tc>
        <w:tc>
          <w:tcPr>
            <w:tcW w:w="751"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已取得用地批复</w:t>
            </w:r>
          </w:p>
        </w:tc>
        <w:tc>
          <w:tcPr>
            <w:tcW w:w="636" w:type="pct"/>
            <w:vAlign w:val="center"/>
          </w:tcPr>
          <w:p>
            <w:pPr>
              <w:widowControl/>
              <w:spacing w:line="240" w:lineRule="auto"/>
              <w:ind w:firstLine="0" w:firstLineChars="0"/>
              <w:jc w:val="center"/>
              <w:textAlignment w:val="center"/>
              <w:rPr>
                <w:rFonts w:cs="Times New Roman"/>
                <w:color w:val="00000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394"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源城区工业园第三期扩园成片开发范围</w:t>
            </w:r>
          </w:p>
        </w:tc>
        <w:tc>
          <w:tcPr>
            <w:tcW w:w="1425"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源城区工业园第三期扩园</w:t>
            </w:r>
            <w:r>
              <w:rPr>
                <w:rFonts w:hint="eastAsia" w:cs="Times New Roman"/>
                <w:color w:val="000000"/>
                <w:sz w:val="24"/>
                <w:szCs w:val="24"/>
                <w:lang w:bidi="ar"/>
              </w:rPr>
              <w:t>项目</w:t>
            </w:r>
          </w:p>
        </w:tc>
        <w:tc>
          <w:tcPr>
            <w:tcW w:w="792"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30.2768</w:t>
            </w:r>
          </w:p>
        </w:tc>
        <w:tc>
          <w:tcPr>
            <w:tcW w:w="751"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已取得用地批复</w:t>
            </w:r>
          </w:p>
        </w:tc>
        <w:tc>
          <w:tcPr>
            <w:tcW w:w="636" w:type="pct"/>
            <w:vAlign w:val="center"/>
          </w:tcPr>
          <w:p>
            <w:pPr>
              <w:widowControl/>
              <w:spacing w:line="240" w:lineRule="auto"/>
              <w:ind w:firstLine="0" w:firstLineChars="0"/>
              <w:jc w:val="center"/>
              <w:textAlignment w:val="center"/>
              <w:rPr>
                <w:rFonts w:cs="Times New Roman"/>
                <w:color w:val="00000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394"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总计</w:t>
            </w:r>
          </w:p>
        </w:tc>
        <w:tc>
          <w:tcPr>
            <w:tcW w:w="1425" w:type="pct"/>
            <w:vAlign w:val="center"/>
          </w:tcPr>
          <w:p>
            <w:pPr>
              <w:widowControl/>
              <w:spacing w:line="240" w:lineRule="auto"/>
              <w:ind w:firstLine="0" w:firstLineChars="0"/>
              <w:jc w:val="center"/>
              <w:textAlignment w:val="center"/>
              <w:rPr>
                <w:rFonts w:cs="Times New Roman"/>
                <w:color w:val="000000"/>
                <w:sz w:val="24"/>
                <w:szCs w:val="24"/>
                <w:lang w:bidi="ar"/>
              </w:rPr>
            </w:pPr>
          </w:p>
        </w:tc>
        <w:tc>
          <w:tcPr>
            <w:tcW w:w="792"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59.7721</w:t>
            </w:r>
          </w:p>
        </w:tc>
        <w:tc>
          <w:tcPr>
            <w:tcW w:w="751" w:type="pct"/>
            <w:vAlign w:val="center"/>
          </w:tcPr>
          <w:p>
            <w:pPr>
              <w:widowControl/>
              <w:spacing w:line="240" w:lineRule="auto"/>
              <w:ind w:firstLine="0" w:firstLineChars="0"/>
              <w:jc w:val="center"/>
              <w:textAlignment w:val="center"/>
              <w:rPr>
                <w:rFonts w:cs="Times New Roman"/>
                <w:color w:val="000000"/>
                <w:sz w:val="24"/>
                <w:szCs w:val="24"/>
                <w:lang w:bidi="ar"/>
              </w:rPr>
            </w:pPr>
          </w:p>
        </w:tc>
        <w:tc>
          <w:tcPr>
            <w:tcW w:w="636" w:type="pct"/>
            <w:vAlign w:val="center"/>
          </w:tcPr>
          <w:p>
            <w:pPr>
              <w:widowControl/>
              <w:spacing w:line="240" w:lineRule="auto"/>
              <w:ind w:firstLine="0" w:firstLineChars="0"/>
              <w:jc w:val="center"/>
              <w:textAlignment w:val="center"/>
              <w:rPr>
                <w:rFonts w:cs="Times New Roman"/>
                <w:color w:val="000000"/>
                <w:sz w:val="24"/>
                <w:szCs w:val="24"/>
                <w:lang w:bidi="ar"/>
              </w:rPr>
            </w:pPr>
          </w:p>
        </w:tc>
      </w:tr>
    </w:tbl>
    <w:p>
      <w:pPr>
        <w:ind w:firstLine="560"/>
      </w:pPr>
      <w:r>
        <w:rPr>
          <w:rFonts w:hint="eastAsia"/>
        </w:rPr>
        <w:t>计划在2022年完成58.1203公顷土地征收，其中31.6267公顷计划拟征收土地已取得用地批复。</w:t>
      </w:r>
    </w:p>
    <w:p>
      <w:pPr>
        <w:ind w:firstLine="480"/>
        <w:jc w:val="center"/>
        <w:rPr>
          <w:sz w:val="24"/>
          <w:szCs w:val="21"/>
        </w:rPr>
      </w:pPr>
      <w:r>
        <w:rPr>
          <w:rFonts w:hint="eastAsia"/>
          <w:sz w:val="24"/>
          <w:szCs w:val="21"/>
        </w:rPr>
        <w:t>表2-4 调整前成片开发方案2022年拟征收项目实施情况</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1"/>
        <w:gridCol w:w="2199"/>
        <w:gridCol w:w="1125"/>
        <w:gridCol w:w="1688"/>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367" w:type="pct"/>
            <w:vAlign w:val="center"/>
          </w:tcPr>
          <w:p>
            <w:pPr>
              <w:widowControl/>
              <w:spacing w:line="240" w:lineRule="auto"/>
              <w:ind w:firstLine="0" w:firstLineChars="0"/>
              <w:jc w:val="center"/>
              <w:textAlignment w:val="center"/>
              <w:rPr>
                <w:rFonts w:cs="Times New Roman"/>
                <w:sz w:val="24"/>
                <w:szCs w:val="24"/>
              </w:rPr>
            </w:pPr>
            <w:r>
              <w:rPr>
                <w:rFonts w:cs="Times New Roman"/>
                <w:b/>
                <w:bCs/>
                <w:color w:val="000000"/>
                <w:sz w:val="24"/>
                <w:szCs w:val="24"/>
                <w:lang w:bidi="ar"/>
              </w:rPr>
              <w:t>成片开发范围</w:t>
            </w:r>
          </w:p>
        </w:tc>
        <w:tc>
          <w:tcPr>
            <w:tcW w:w="1290" w:type="pct"/>
            <w:vAlign w:val="center"/>
          </w:tcPr>
          <w:p>
            <w:pPr>
              <w:widowControl/>
              <w:spacing w:line="240" w:lineRule="auto"/>
              <w:ind w:firstLine="0" w:firstLineChars="0"/>
              <w:jc w:val="center"/>
              <w:textAlignment w:val="center"/>
              <w:rPr>
                <w:rFonts w:cs="Times New Roman"/>
                <w:b/>
                <w:bCs/>
                <w:color w:val="000000"/>
                <w:sz w:val="24"/>
                <w:szCs w:val="24"/>
                <w:lang w:bidi="ar"/>
              </w:rPr>
            </w:pPr>
            <w:r>
              <w:rPr>
                <w:rFonts w:hint="eastAsia" w:cs="Times New Roman"/>
                <w:b/>
                <w:bCs/>
                <w:color w:val="000000"/>
                <w:sz w:val="24"/>
                <w:szCs w:val="24"/>
                <w:lang w:bidi="ar"/>
              </w:rPr>
              <w:t>项目名称</w:t>
            </w:r>
          </w:p>
        </w:tc>
        <w:tc>
          <w:tcPr>
            <w:tcW w:w="660" w:type="pct"/>
            <w:vAlign w:val="center"/>
          </w:tcPr>
          <w:p>
            <w:pPr>
              <w:widowControl/>
              <w:spacing w:line="240" w:lineRule="auto"/>
              <w:ind w:firstLine="0" w:firstLineChars="0"/>
              <w:jc w:val="center"/>
              <w:textAlignment w:val="center"/>
              <w:rPr>
                <w:rFonts w:cs="Times New Roman"/>
                <w:sz w:val="24"/>
                <w:szCs w:val="24"/>
              </w:rPr>
            </w:pPr>
            <w:r>
              <w:rPr>
                <w:rFonts w:cs="Times New Roman"/>
                <w:b/>
                <w:bCs/>
                <w:color w:val="000000"/>
                <w:sz w:val="24"/>
                <w:szCs w:val="24"/>
                <w:lang w:bidi="ar"/>
              </w:rPr>
              <w:t>面积</w:t>
            </w:r>
            <w:r>
              <w:rPr>
                <w:rFonts w:hint="eastAsia" w:cs="Times New Roman"/>
                <w:b/>
                <w:bCs/>
                <w:color w:val="000000"/>
                <w:sz w:val="24"/>
                <w:szCs w:val="24"/>
                <w:lang w:bidi="ar"/>
              </w:rPr>
              <w:t>（公顷）</w:t>
            </w:r>
          </w:p>
        </w:tc>
        <w:tc>
          <w:tcPr>
            <w:tcW w:w="990" w:type="pct"/>
            <w:vAlign w:val="center"/>
          </w:tcPr>
          <w:p>
            <w:pPr>
              <w:widowControl/>
              <w:spacing w:line="240" w:lineRule="auto"/>
              <w:ind w:firstLine="0" w:firstLineChars="0"/>
              <w:jc w:val="center"/>
              <w:textAlignment w:val="center"/>
              <w:rPr>
                <w:rFonts w:cs="Times New Roman"/>
                <w:b/>
                <w:bCs/>
                <w:color w:val="000000"/>
                <w:sz w:val="24"/>
                <w:szCs w:val="24"/>
                <w:lang w:bidi="ar"/>
              </w:rPr>
            </w:pPr>
            <w:r>
              <w:rPr>
                <w:rFonts w:hint="eastAsia" w:cs="Times New Roman"/>
                <w:b/>
                <w:bCs/>
                <w:color w:val="000000"/>
                <w:sz w:val="24"/>
                <w:szCs w:val="24"/>
                <w:lang w:bidi="ar"/>
              </w:rPr>
              <w:t>用地报批情况</w:t>
            </w:r>
          </w:p>
        </w:tc>
        <w:tc>
          <w:tcPr>
            <w:tcW w:w="691" w:type="pct"/>
            <w:vAlign w:val="center"/>
          </w:tcPr>
          <w:p>
            <w:pPr>
              <w:widowControl/>
              <w:spacing w:line="240" w:lineRule="auto"/>
              <w:ind w:firstLine="0" w:firstLineChars="0"/>
              <w:jc w:val="center"/>
              <w:textAlignment w:val="center"/>
              <w:rPr>
                <w:rFonts w:cs="Times New Roman"/>
                <w:sz w:val="24"/>
                <w:szCs w:val="24"/>
              </w:rPr>
            </w:pPr>
            <w:r>
              <w:rPr>
                <w:rFonts w:hint="eastAsia" w:cs="Times New Roman"/>
                <w:b/>
                <w:bCs/>
                <w:color w:val="000000"/>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367" w:type="pct"/>
            <w:vAlign w:val="center"/>
          </w:tcPr>
          <w:p>
            <w:pPr>
              <w:widowControl/>
              <w:spacing w:line="240" w:lineRule="auto"/>
              <w:ind w:firstLine="0" w:firstLineChars="0"/>
              <w:jc w:val="center"/>
              <w:textAlignment w:val="center"/>
              <w:rPr>
                <w:rFonts w:cs="Times New Roman"/>
                <w:sz w:val="24"/>
                <w:szCs w:val="24"/>
              </w:rPr>
            </w:pPr>
            <w:r>
              <w:rPr>
                <w:rFonts w:cs="Times New Roman"/>
                <w:color w:val="000000"/>
                <w:sz w:val="24"/>
                <w:szCs w:val="24"/>
                <w:lang w:bidi="ar"/>
              </w:rPr>
              <w:t>怡宝成片开发范围</w:t>
            </w:r>
          </w:p>
        </w:tc>
        <w:tc>
          <w:tcPr>
            <w:tcW w:w="1290"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怡宝项目</w:t>
            </w:r>
          </w:p>
        </w:tc>
        <w:tc>
          <w:tcPr>
            <w:tcW w:w="660"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31.6267</w:t>
            </w:r>
          </w:p>
        </w:tc>
        <w:tc>
          <w:tcPr>
            <w:tcW w:w="990"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已取得用地批复</w:t>
            </w:r>
          </w:p>
        </w:tc>
        <w:tc>
          <w:tcPr>
            <w:tcW w:w="691" w:type="pct"/>
            <w:vAlign w:val="center"/>
          </w:tcPr>
          <w:p>
            <w:pPr>
              <w:widowControl/>
              <w:spacing w:line="240" w:lineRule="auto"/>
              <w:ind w:firstLine="0" w:firstLineChars="0"/>
              <w:jc w:val="center"/>
              <w:textAlignment w:val="center"/>
              <w:rPr>
                <w:rFonts w:cs="Times New Roman"/>
                <w:color w:val="00000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367" w:type="pct"/>
            <w:vAlign w:val="center"/>
          </w:tcPr>
          <w:p>
            <w:pPr>
              <w:widowControl/>
              <w:spacing w:line="240" w:lineRule="auto"/>
              <w:ind w:firstLine="0" w:firstLineChars="0"/>
              <w:jc w:val="center"/>
              <w:textAlignment w:val="center"/>
              <w:rPr>
                <w:rFonts w:cs="Times New Roman"/>
                <w:sz w:val="24"/>
                <w:szCs w:val="24"/>
              </w:rPr>
            </w:pPr>
            <w:r>
              <w:rPr>
                <w:rFonts w:hint="eastAsia" w:cs="Times New Roman"/>
                <w:sz w:val="24"/>
                <w:szCs w:val="24"/>
              </w:rPr>
              <w:t>河源星河丹堤</w:t>
            </w:r>
            <w:r>
              <w:rPr>
                <w:rFonts w:cs="Times New Roman"/>
                <w:color w:val="000000"/>
                <w:sz w:val="24"/>
                <w:szCs w:val="24"/>
                <w:lang w:bidi="ar"/>
              </w:rPr>
              <w:t>成片开发范围</w:t>
            </w:r>
          </w:p>
        </w:tc>
        <w:tc>
          <w:tcPr>
            <w:tcW w:w="1290"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sz w:val="24"/>
                <w:szCs w:val="24"/>
              </w:rPr>
              <w:t>河源星河丹堤项目</w:t>
            </w:r>
          </w:p>
        </w:tc>
        <w:tc>
          <w:tcPr>
            <w:tcW w:w="660"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26.4936</w:t>
            </w:r>
          </w:p>
        </w:tc>
        <w:tc>
          <w:tcPr>
            <w:tcW w:w="990" w:type="pct"/>
            <w:vAlign w:val="center"/>
          </w:tcPr>
          <w:p>
            <w:pPr>
              <w:widowControl/>
              <w:spacing w:line="240" w:lineRule="auto"/>
              <w:ind w:firstLine="0" w:firstLineChars="0"/>
              <w:jc w:val="center"/>
              <w:textAlignment w:val="center"/>
              <w:rPr>
                <w:rFonts w:cs="Times New Roman"/>
                <w:color w:val="000000"/>
                <w:sz w:val="24"/>
                <w:szCs w:val="24"/>
                <w:lang w:bidi="ar"/>
              </w:rPr>
            </w:pPr>
          </w:p>
        </w:tc>
        <w:tc>
          <w:tcPr>
            <w:tcW w:w="691" w:type="pct"/>
            <w:vAlign w:val="center"/>
          </w:tcPr>
          <w:p>
            <w:pPr>
              <w:widowControl/>
              <w:spacing w:line="240" w:lineRule="auto"/>
              <w:ind w:firstLine="0" w:firstLineChars="0"/>
              <w:jc w:val="center"/>
              <w:textAlignment w:val="center"/>
              <w:rPr>
                <w:rFonts w:cs="Times New Roman"/>
                <w:color w:val="00000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367"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总计</w:t>
            </w:r>
          </w:p>
        </w:tc>
        <w:tc>
          <w:tcPr>
            <w:tcW w:w="1290" w:type="pct"/>
            <w:vAlign w:val="center"/>
          </w:tcPr>
          <w:p>
            <w:pPr>
              <w:widowControl/>
              <w:spacing w:line="240" w:lineRule="auto"/>
              <w:ind w:firstLine="0" w:firstLineChars="0"/>
              <w:jc w:val="center"/>
              <w:textAlignment w:val="center"/>
              <w:rPr>
                <w:rFonts w:cs="Times New Roman"/>
                <w:color w:val="000000"/>
                <w:sz w:val="24"/>
                <w:szCs w:val="24"/>
                <w:lang w:bidi="ar"/>
              </w:rPr>
            </w:pPr>
          </w:p>
        </w:tc>
        <w:tc>
          <w:tcPr>
            <w:tcW w:w="660"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58.1203</w:t>
            </w:r>
          </w:p>
        </w:tc>
        <w:tc>
          <w:tcPr>
            <w:tcW w:w="990" w:type="pct"/>
            <w:vAlign w:val="center"/>
          </w:tcPr>
          <w:p>
            <w:pPr>
              <w:widowControl/>
              <w:spacing w:line="240" w:lineRule="auto"/>
              <w:ind w:firstLine="0" w:firstLineChars="0"/>
              <w:jc w:val="center"/>
              <w:textAlignment w:val="center"/>
              <w:rPr>
                <w:rFonts w:cs="Times New Roman"/>
                <w:color w:val="000000"/>
                <w:sz w:val="24"/>
                <w:szCs w:val="24"/>
                <w:lang w:bidi="ar"/>
              </w:rPr>
            </w:pPr>
          </w:p>
        </w:tc>
        <w:tc>
          <w:tcPr>
            <w:tcW w:w="691" w:type="pct"/>
            <w:vAlign w:val="center"/>
          </w:tcPr>
          <w:p>
            <w:pPr>
              <w:widowControl/>
              <w:spacing w:line="240" w:lineRule="auto"/>
              <w:ind w:firstLine="0" w:firstLineChars="0"/>
              <w:jc w:val="center"/>
              <w:textAlignment w:val="center"/>
              <w:rPr>
                <w:rFonts w:cs="Times New Roman"/>
                <w:color w:val="000000"/>
                <w:sz w:val="24"/>
                <w:szCs w:val="24"/>
                <w:lang w:bidi="ar"/>
              </w:rPr>
            </w:pPr>
          </w:p>
        </w:tc>
      </w:tr>
    </w:tbl>
    <w:p>
      <w:pPr>
        <w:ind w:firstLine="560"/>
      </w:pPr>
      <w:r>
        <w:rPr>
          <w:rFonts w:hint="eastAsia"/>
        </w:rPr>
        <w:br w:type="page"/>
      </w:r>
    </w:p>
    <w:p>
      <w:pPr>
        <w:ind w:firstLine="560"/>
      </w:pPr>
      <w:r>
        <w:rPr>
          <w:rFonts w:hint="eastAsia"/>
        </w:rPr>
        <w:t>计划在2023年完成114.7059公顷土地征收，其中4个项目正在组卷上报。</w:t>
      </w:r>
    </w:p>
    <w:p>
      <w:pPr>
        <w:ind w:firstLine="480"/>
        <w:jc w:val="center"/>
        <w:rPr>
          <w:sz w:val="24"/>
          <w:szCs w:val="21"/>
        </w:rPr>
      </w:pPr>
      <w:r>
        <w:rPr>
          <w:rFonts w:hint="eastAsia"/>
          <w:sz w:val="24"/>
          <w:szCs w:val="21"/>
        </w:rPr>
        <w:t>表2-5 调整前成片开发方案2023年拟征收项目实施情况</w:t>
      </w:r>
    </w:p>
    <w:p>
      <w:pPr>
        <w:pStyle w:val="2"/>
        <w:ind w:firstLine="480"/>
        <w:jc w:val="right"/>
      </w:pPr>
      <w:r>
        <w:rPr>
          <w:rFonts w:hint="eastAsia"/>
          <w:sz w:val="24"/>
          <w:szCs w:val="21"/>
        </w:rPr>
        <w:t>单位：公顷</w:t>
      </w:r>
    </w:p>
    <w:tbl>
      <w:tblPr>
        <w:tblStyle w:val="19"/>
        <w:tblW w:w="50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6"/>
        <w:gridCol w:w="2296"/>
        <w:gridCol w:w="1299"/>
        <w:gridCol w:w="1304"/>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745" w:type="pct"/>
            <w:vAlign w:val="center"/>
          </w:tcPr>
          <w:p>
            <w:pPr>
              <w:widowControl/>
              <w:spacing w:line="240" w:lineRule="auto"/>
              <w:ind w:firstLine="0" w:firstLineChars="0"/>
              <w:jc w:val="center"/>
              <w:textAlignment w:val="center"/>
              <w:rPr>
                <w:rFonts w:cs="Times New Roman"/>
                <w:sz w:val="24"/>
                <w:szCs w:val="24"/>
              </w:rPr>
            </w:pPr>
            <w:r>
              <w:rPr>
                <w:rFonts w:cs="Times New Roman"/>
                <w:b/>
                <w:bCs/>
                <w:color w:val="000000"/>
                <w:sz w:val="24"/>
                <w:szCs w:val="24"/>
                <w:lang w:bidi="ar"/>
              </w:rPr>
              <w:t>成片开发范围</w:t>
            </w:r>
          </w:p>
        </w:tc>
        <w:tc>
          <w:tcPr>
            <w:tcW w:w="1323" w:type="pct"/>
            <w:vAlign w:val="center"/>
          </w:tcPr>
          <w:p>
            <w:pPr>
              <w:widowControl/>
              <w:spacing w:line="240" w:lineRule="auto"/>
              <w:ind w:firstLine="0" w:firstLineChars="0"/>
              <w:jc w:val="center"/>
              <w:textAlignment w:val="center"/>
              <w:rPr>
                <w:rFonts w:cs="Times New Roman"/>
                <w:b/>
                <w:bCs/>
                <w:color w:val="000000"/>
                <w:sz w:val="24"/>
                <w:szCs w:val="24"/>
                <w:lang w:bidi="ar"/>
              </w:rPr>
            </w:pPr>
            <w:r>
              <w:rPr>
                <w:rFonts w:hint="eastAsia" w:cs="Times New Roman"/>
                <w:b/>
                <w:bCs/>
                <w:color w:val="000000"/>
                <w:sz w:val="24"/>
                <w:szCs w:val="24"/>
                <w:lang w:bidi="ar"/>
              </w:rPr>
              <w:t>项目名称</w:t>
            </w:r>
          </w:p>
        </w:tc>
        <w:tc>
          <w:tcPr>
            <w:tcW w:w="749" w:type="pct"/>
            <w:vAlign w:val="center"/>
          </w:tcPr>
          <w:p>
            <w:pPr>
              <w:widowControl/>
              <w:spacing w:line="240" w:lineRule="auto"/>
              <w:ind w:firstLine="0" w:firstLineChars="0"/>
              <w:jc w:val="center"/>
              <w:textAlignment w:val="center"/>
              <w:rPr>
                <w:rFonts w:cs="Times New Roman"/>
                <w:b/>
                <w:bCs/>
                <w:color w:val="000000"/>
                <w:sz w:val="24"/>
                <w:szCs w:val="24"/>
                <w:lang w:bidi="ar"/>
              </w:rPr>
            </w:pPr>
            <w:r>
              <w:rPr>
                <w:rFonts w:hint="eastAsia" w:cs="Times New Roman"/>
                <w:b/>
                <w:bCs/>
                <w:color w:val="000000"/>
                <w:sz w:val="24"/>
                <w:szCs w:val="24"/>
                <w:lang w:bidi="ar"/>
              </w:rPr>
              <w:t>面积</w:t>
            </w:r>
          </w:p>
          <w:p>
            <w:pPr>
              <w:widowControl/>
              <w:spacing w:line="240" w:lineRule="auto"/>
              <w:ind w:firstLine="0" w:firstLineChars="0"/>
              <w:jc w:val="center"/>
              <w:textAlignment w:val="center"/>
            </w:pPr>
            <w:r>
              <w:rPr>
                <w:rFonts w:hint="eastAsia" w:cs="Times New Roman"/>
                <w:b/>
                <w:bCs/>
                <w:color w:val="000000"/>
                <w:sz w:val="24"/>
                <w:szCs w:val="24"/>
                <w:lang w:bidi="ar"/>
              </w:rPr>
              <w:t>（公顷）</w:t>
            </w:r>
          </w:p>
        </w:tc>
        <w:tc>
          <w:tcPr>
            <w:tcW w:w="752" w:type="pct"/>
            <w:vAlign w:val="center"/>
          </w:tcPr>
          <w:p>
            <w:pPr>
              <w:widowControl/>
              <w:spacing w:line="240" w:lineRule="auto"/>
              <w:ind w:firstLine="0" w:firstLineChars="0"/>
              <w:jc w:val="center"/>
              <w:textAlignment w:val="center"/>
              <w:rPr>
                <w:rFonts w:cs="Times New Roman"/>
                <w:b/>
                <w:bCs/>
                <w:color w:val="000000"/>
                <w:sz w:val="24"/>
                <w:szCs w:val="24"/>
                <w:lang w:bidi="ar"/>
              </w:rPr>
            </w:pPr>
            <w:r>
              <w:rPr>
                <w:rFonts w:hint="eastAsia" w:cs="Times New Roman"/>
                <w:b/>
                <w:bCs/>
                <w:color w:val="000000"/>
                <w:sz w:val="24"/>
                <w:szCs w:val="24"/>
                <w:lang w:bidi="ar"/>
              </w:rPr>
              <w:t>用地报批情况</w:t>
            </w:r>
          </w:p>
        </w:tc>
        <w:tc>
          <w:tcPr>
            <w:tcW w:w="429" w:type="pct"/>
            <w:vAlign w:val="center"/>
          </w:tcPr>
          <w:p>
            <w:pPr>
              <w:widowControl/>
              <w:spacing w:line="240" w:lineRule="auto"/>
              <w:ind w:firstLine="0" w:firstLineChars="0"/>
              <w:jc w:val="center"/>
              <w:textAlignment w:val="center"/>
              <w:rPr>
                <w:rFonts w:cs="Times New Roman"/>
                <w:sz w:val="24"/>
                <w:szCs w:val="24"/>
              </w:rPr>
            </w:pPr>
            <w:r>
              <w:rPr>
                <w:rFonts w:hint="eastAsia" w:cs="Times New Roman"/>
                <w:b/>
                <w:bCs/>
                <w:color w:val="000000"/>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745" w:type="pct"/>
            <w:vAlign w:val="center"/>
          </w:tcPr>
          <w:p>
            <w:pPr>
              <w:widowControl/>
              <w:spacing w:line="240" w:lineRule="auto"/>
              <w:ind w:firstLine="0" w:firstLineChars="0"/>
              <w:jc w:val="center"/>
              <w:textAlignment w:val="center"/>
              <w:rPr>
                <w:rFonts w:cs="Times New Roman"/>
                <w:sz w:val="24"/>
                <w:szCs w:val="24"/>
              </w:rPr>
            </w:pPr>
            <w:r>
              <w:rPr>
                <w:rFonts w:cs="Times New Roman"/>
                <w:color w:val="000000"/>
                <w:sz w:val="24"/>
                <w:szCs w:val="24"/>
                <w:lang w:bidi="ar"/>
              </w:rPr>
              <w:t>怡宝成片开发范围</w:t>
            </w:r>
          </w:p>
        </w:tc>
        <w:tc>
          <w:tcPr>
            <w:tcW w:w="1323"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怡宝项目</w:t>
            </w:r>
          </w:p>
        </w:tc>
        <w:tc>
          <w:tcPr>
            <w:tcW w:w="749"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36.5717</w:t>
            </w:r>
          </w:p>
        </w:tc>
        <w:tc>
          <w:tcPr>
            <w:tcW w:w="752"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正在组卷上报</w:t>
            </w:r>
          </w:p>
        </w:tc>
        <w:tc>
          <w:tcPr>
            <w:tcW w:w="429" w:type="pct"/>
            <w:vAlign w:val="center"/>
          </w:tcPr>
          <w:p>
            <w:pPr>
              <w:widowControl/>
              <w:spacing w:line="240" w:lineRule="auto"/>
              <w:ind w:firstLine="0" w:firstLineChars="0"/>
              <w:jc w:val="center"/>
              <w:textAlignment w:val="center"/>
              <w:rPr>
                <w:rFonts w:cs="Times New Roman"/>
                <w:color w:val="00000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745"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源城区工业园第五期扩园(5G产业城)</w:t>
            </w:r>
          </w:p>
          <w:p>
            <w:pPr>
              <w:widowControl/>
              <w:spacing w:line="240" w:lineRule="auto"/>
              <w:ind w:firstLine="0" w:firstLineChars="0"/>
              <w:jc w:val="center"/>
              <w:textAlignment w:val="center"/>
              <w:rPr>
                <w:rFonts w:cs="Times New Roman"/>
                <w:sz w:val="24"/>
                <w:szCs w:val="24"/>
              </w:rPr>
            </w:pPr>
            <w:r>
              <w:rPr>
                <w:rFonts w:cs="Times New Roman"/>
                <w:color w:val="000000"/>
                <w:sz w:val="24"/>
                <w:szCs w:val="24"/>
                <w:lang w:bidi="ar"/>
              </w:rPr>
              <w:t>成片开发范围</w:t>
            </w:r>
          </w:p>
        </w:tc>
        <w:tc>
          <w:tcPr>
            <w:tcW w:w="1323"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源城区工业园第五期扩园(5G产业城)</w:t>
            </w:r>
          </w:p>
        </w:tc>
        <w:tc>
          <w:tcPr>
            <w:tcW w:w="749"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25.0760</w:t>
            </w:r>
          </w:p>
        </w:tc>
        <w:tc>
          <w:tcPr>
            <w:tcW w:w="752"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正在组卷上报</w:t>
            </w:r>
          </w:p>
        </w:tc>
        <w:tc>
          <w:tcPr>
            <w:tcW w:w="429" w:type="pct"/>
            <w:vAlign w:val="center"/>
          </w:tcPr>
          <w:p>
            <w:pPr>
              <w:widowControl/>
              <w:spacing w:line="240" w:lineRule="auto"/>
              <w:ind w:firstLine="0" w:firstLineChars="0"/>
              <w:jc w:val="center"/>
              <w:textAlignment w:val="center"/>
              <w:rPr>
                <w:rFonts w:cs="Times New Roman"/>
                <w:color w:val="00000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745"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源城区工业园第三期扩园成片开发范围</w:t>
            </w:r>
          </w:p>
        </w:tc>
        <w:tc>
          <w:tcPr>
            <w:tcW w:w="1323"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源城区工业园第三期扩园</w:t>
            </w:r>
            <w:r>
              <w:rPr>
                <w:rFonts w:hint="eastAsia" w:cs="Times New Roman"/>
                <w:color w:val="000000"/>
                <w:sz w:val="24"/>
                <w:szCs w:val="24"/>
                <w:lang w:bidi="ar"/>
              </w:rPr>
              <w:t>项目</w:t>
            </w:r>
          </w:p>
        </w:tc>
        <w:tc>
          <w:tcPr>
            <w:tcW w:w="749"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15.7709</w:t>
            </w:r>
          </w:p>
        </w:tc>
        <w:tc>
          <w:tcPr>
            <w:tcW w:w="752"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正在组卷上报</w:t>
            </w:r>
          </w:p>
        </w:tc>
        <w:tc>
          <w:tcPr>
            <w:tcW w:w="429" w:type="pct"/>
            <w:vAlign w:val="center"/>
          </w:tcPr>
          <w:p>
            <w:pPr>
              <w:widowControl/>
              <w:spacing w:line="240" w:lineRule="auto"/>
              <w:ind w:firstLine="0" w:firstLineChars="0"/>
              <w:jc w:val="center"/>
              <w:textAlignment w:val="center"/>
              <w:rPr>
                <w:rFonts w:cs="Times New Roman"/>
                <w:color w:val="00000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745"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城市综合体成片开发范围</w:t>
            </w:r>
          </w:p>
        </w:tc>
        <w:tc>
          <w:tcPr>
            <w:tcW w:w="1323"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城市综合体项目</w:t>
            </w:r>
          </w:p>
        </w:tc>
        <w:tc>
          <w:tcPr>
            <w:tcW w:w="749"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19.0468</w:t>
            </w:r>
          </w:p>
        </w:tc>
        <w:tc>
          <w:tcPr>
            <w:tcW w:w="752" w:type="pct"/>
            <w:vAlign w:val="center"/>
          </w:tcPr>
          <w:p>
            <w:pPr>
              <w:widowControl/>
              <w:spacing w:line="240" w:lineRule="auto"/>
              <w:ind w:firstLine="0" w:firstLineChars="0"/>
              <w:jc w:val="center"/>
              <w:textAlignment w:val="center"/>
              <w:rPr>
                <w:rFonts w:cs="Times New Roman"/>
                <w:color w:val="000000"/>
                <w:sz w:val="24"/>
                <w:szCs w:val="24"/>
                <w:lang w:bidi="ar"/>
              </w:rPr>
            </w:pPr>
          </w:p>
        </w:tc>
        <w:tc>
          <w:tcPr>
            <w:tcW w:w="429" w:type="pct"/>
            <w:vAlign w:val="center"/>
          </w:tcPr>
          <w:p>
            <w:pPr>
              <w:widowControl/>
              <w:spacing w:line="240" w:lineRule="auto"/>
              <w:ind w:firstLine="0" w:firstLineChars="0"/>
              <w:jc w:val="center"/>
              <w:textAlignment w:val="center"/>
              <w:rPr>
                <w:rFonts w:cs="Times New Roman"/>
                <w:color w:val="00000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745"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河源江东新区文博新城成片开发范围</w:t>
            </w:r>
          </w:p>
        </w:tc>
        <w:tc>
          <w:tcPr>
            <w:tcW w:w="1323"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河源江东新区文博新城</w:t>
            </w:r>
            <w:r>
              <w:rPr>
                <w:rFonts w:hint="eastAsia" w:cs="Times New Roman"/>
                <w:color w:val="000000"/>
                <w:sz w:val="24"/>
                <w:szCs w:val="24"/>
                <w:lang w:bidi="ar"/>
              </w:rPr>
              <w:t>项目</w:t>
            </w:r>
          </w:p>
        </w:tc>
        <w:tc>
          <w:tcPr>
            <w:tcW w:w="749"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14.6280</w:t>
            </w:r>
          </w:p>
        </w:tc>
        <w:tc>
          <w:tcPr>
            <w:tcW w:w="752"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正在组卷上报</w:t>
            </w:r>
          </w:p>
        </w:tc>
        <w:tc>
          <w:tcPr>
            <w:tcW w:w="429" w:type="pct"/>
            <w:vAlign w:val="center"/>
          </w:tcPr>
          <w:p>
            <w:pPr>
              <w:widowControl/>
              <w:spacing w:line="240" w:lineRule="auto"/>
              <w:ind w:firstLine="0" w:firstLineChars="0"/>
              <w:jc w:val="center"/>
              <w:textAlignment w:val="center"/>
              <w:rPr>
                <w:rFonts w:cs="Times New Roman"/>
                <w:color w:val="00000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745"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城市建设起步区综合开发项目成片开发范围</w:t>
            </w:r>
          </w:p>
        </w:tc>
        <w:tc>
          <w:tcPr>
            <w:tcW w:w="1323"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城市建设起步区综合开发项目</w:t>
            </w:r>
          </w:p>
        </w:tc>
        <w:tc>
          <w:tcPr>
            <w:tcW w:w="749"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3.1044</w:t>
            </w:r>
          </w:p>
        </w:tc>
        <w:tc>
          <w:tcPr>
            <w:tcW w:w="752" w:type="pct"/>
            <w:vAlign w:val="center"/>
          </w:tcPr>
          <w:p>
            <w:pPr>
              <w:widowControl/>
              <w:spacing w:line="240" w:lineRule="auto"/>
              <w:ind w:firstLine="0" w:firstLineChars="0"/>
              <w:jc w:val="center"/>
              <w:textAlignment w:val="center"/>
              <w:rPr>
                <w:rFonts w:cs="Times New Roman"/>
                <w:color w:val="000000"/>
                <w:sz w:val="24"/>
                <w:szCs w:val="24"/>
                <w:lang w:bidi="ar"/>
              </w:rPr>
            </w:pPr>
          </w:p>
        </w:tc>
        <w:tc>
          <w:tcPr>
            <w:tcW w:w="429" w:type="pct"/>
            <w:vAlign w:val="center"/>
          </w:tcPr>
          <w:p>
            <w:pPr>
              <w:widowControl/>
              <w:spacing w:line="240" w:lineRule="auto"/>
              <w:ind w:firstLine="0" w:firstLineChars="0"/>
              <w:jc w:val="center"/>
              <w:textAlignment w:val="center"/>
              <w:rPr>
                <w:rFonts w:cs="Times New Roman"/>
                <w:color w:val="00000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745"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城市建设起步区综合开发项目成片开发范围</w:t>
            </w:r>
          </w:p>
        </w:tc>
        <w:tc>
          <w:tcPr>
            <w:tcW w:w="1323" w:type="pct"/>
            <w:vAlign w:val="center"/>
          </w:tcPr>
          <w:p>
            <w:pPr>
              <w:widowControl/>
              <w:spacing w:line="240" w:lineRule="auto"/>
              <w:ind w:firstLine="0" w:firstLineChars="0"/>
              <w:jc w:val="center"/>
              <w:textAlignment w:val="center"/>
              <w:rPr>
                <w:rFonts w:cs="Times New Roman"/>
                <w:color w:val="000000"/>
                <w:sz w:val="24"/>
                <w:szCs w:val="24"/>
                <w:lang w:bidi="ar"/>
              </w:rPr>
            </w:pPr>
            <w:r>
              <w:rPr>
                <w:rFonts w:cs="Times New Roman"/>
                <w:color w:val="000000"/>
                <w:sz w:val="24"/>
                <w:szCs w:val="24"/>
                <w:lang w:bidi="ar"/>
              </w:rPr>
              <w:t>城市建设起步区综合开发项目</w:t>
            </w:r>
          </w:p>
        </w:tc>
        <w:tc>
          <w:tcPr>
            <w:tcW w:w="749"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0.5080</w:t>
            </w:r>
          </w:p>
        </w:tc>
        <w:tc>
          <w:tcPr>
            <w:tcW w:w="752" w:type="pct"/>
            <w:vAlign w:val="center"/>
          </w:tcPr>
          <w:p>
            <w:pPr>
              <w:widowControl/>
              <w:spacing w:line="240" w:lineRule="auto"/>
              <w:ind w:firstLine="0" w:firstLineChars="0"/>
              <w:jc w:val="center"/>
              <w:textAlignment w:val="center"/>
              <w:rPr>
                <w:rFonts w:cs="Times New Roman"/>
                <w:color w:val="000000"/>
                <w:sz w:val="24"/>
                <w:szCs w:val="24"/>
                <w:lang w:bidi="ar"/>
              </w:rPr>
            </w:pPr>
          </w:p>
        </w:tc>
        <w:tc>
          <w:tcPr>
            <w:tcW w:w="429" w:type="pct"/>
            <w:vAlign w:val="center"/>
          </w:tcPr>
          <w:p>
            <w:pPr>
              <w:widowControl/>
              <w:spacing w:line="240" w:lineRule="auto"/>
              <w:ind w:firstLine="0" w:firstLineChars="0"/>
              <w:jc w:val="center"/>
              <w:textAlignment w:val="center"/>
              <w:rPr>
                <w:rFonts w:cs="Times New Roman"/>
                <w:color w:val="000000"/>
                <w:sz w:val="24"/>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745"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总计</w:t>
            </w:r>
          </w:p>
        </w:tc>
        <w:tc>
          <w:tcPr>
            <w:tcW w:w="1323" w:type="pct"/>
            <w:vAlign w:val="center"/>
          </w:tcPr>
          <w:p>
            <w:pPr>
              <w:widowControl/>
              <w:spacing w:line="240" w:lineRule="auto"/>
              <w:ind w:firstLine="0" w:firstLineChars="0"/>
              <w:jc w:val="center"/>
              <w:textAlignment w:val="center"/>
              <w:rPr>
                <w:rFonts w:cs="Times New Roman"/>
                <w:color w:val="000000"/>
                <w:sz w:val="24"/>
                <w:szCs w:val="24"/>
                <w:lang w:bidi="ar"/>
              </w:rPr>
            </w:pPr>
          </w:p>
        </w:tc>
        <w:tc>
          <w:tcPr>
            <w:tcW w:w="749" w:type="pct"/>
            <w:vAlign w:val="center"/>
          </w:tcPr>
          <w:p>
            <w:pPr>
              <w:widowControl/>
              <w:spacing w:line="240" w:lineRule="auto"/>
              <w:ind w:firstLine="0" w:firstLineChars="0"/>
              <w:jc w:val="center"/>
              <w:textAlignment w:val="center"/>
              <w:rPr>
                <w:rFonts w:cs="Times New Roman"/>
                <w:color w:val="000000"/>
                <w:sz w:val="24"/>
                <w:szCs w:val="24"/>
                <w:lang w:bidi="ar"/>
              </w:rPr>
            </w:pPr>
            <w:r>
              <w:rPr>
                <w:rFonts w:hint="eastAsia" w:cs="Times New Roman"/>
                <w:color w:val="000000"/>
                <w:sz w:val="24"/>
                <w:szCs w:val="24"/>
                <w:lang w:bidi="ar"/>
              </w:rPr>
              <w:t>114.7059</w:t>
            </w:r>
          </w:p>
        </w:tc>
        <w:tc>
          <w:tcPr>
            <w:tcW w:w="752" w:type="pct"/>
            <w:vAlign w:val="center"/>
          </w:tcPr>
          <w:p>
            <w:pPr>
              <w:widowControl/>
              <w:spacing w:line="240" w:lineRule="auto"/>
              <w:ind w:firstLine="0" w:firstLineChars="0"/>
              <w:jc w:val="center"/>
              <w:textAlignment w:val="center"/>
              <w:rPr>
                <w:rFonts w:cs="Times New Roman"/>
                <w:color w:val="000000"/>
                <w:sz w:val="24"/>
                <w:szCs w:val="24"/>
                <w:lang w:bidi="ar"/>
              </w:rPr>
            </w:pPr>
          </w:p>
        </w:tc>
        <w:tc>
          <w:tcPr>
            <w:tcW w:w="429" w:type="pct"/>
            <w:vAlign w:val="center"/>
          </w:tcPr>
          <w:p>
            <w:pPr>
              <w:widowControl/>
              <w:spacing w:line="240" w:lineRule="auto"/>
              <w:ind w:firstLine="0" w:firstLineChars="0"/>
              <w:jc w:val="center"/>
              <w:textAlignment w:val="center"/>
              <w:rPr>
                <w:rFonts w:cs="Times New Roman"/>
                <w:color w:val="000000"/>
                <w:sz w:val="24"/>
                <w:szCs w:val="24"/>
                <w:lang w:bidi="ar"/>
              </w:rPr>
            </w:pPr>
          </w:p>
        </w:tc>
      </w:tr>
    </w:tbl>
    <w:p>
      <w:pPr>
        <w:pStyle w:val="4"/>
        <w:numPr>
          <w:ilvl w:val="0"/>
          <w:numId w:val="9"/>
        </w:numPr>
      </w:pPr>
      <w:bookmarkStart w:id="9" w:name="_Toc9379"/>
      <w:r>
        <w:rPr>
          <w:rFonts w:hint="eastAsia"/>
        </w:rPr>
        <w:t>成片开发方案调整情况</w:t>
      </w:r>
      <w:bookmarkEnd w:id="9"/>
    </w:p>
    <w:p>
      <w:pPr>
        <w:widowControl/>
        <w:ind w:firstLine="560"/>
        <w:rPr>
          <w:color w:val="0D0D0D"/>
          <w:szCs w:val="28"/>
          <w:lang w:bidi="ar"/>
        </w:rPr>
      </w:pPr>
      <w:r>
        <w:rPr>
          <w:rFonts w:hint="eastAsia"/>
        </w:rPr>
        <w:t>依据国民经济和社会发展年度计划调整以拟实施项目选址优化调整情况，对原已批成片开发方案部分地块进行调整。</w:t>
      </w:r>
      <w:r>
        <w:rPr>
          <w:rFonts w:hint="eastAsia"/>
          <w:color w:val="0D0D0D"/>
          <w:szCs w:val="28"/>
          <w:lang w:bidi="ar"/>
        </w:rPr>
        <w:t>调整后，源城区2021年度土地征收成片开发总面积较调整前减少了</w:t>
      </w:r>
      <w:r>
        <w:rPr>
          <w:color w:val="0D0D0D"/>
          <w:szCs w:val="28"/>
          <w:lang w:bidi="ar"/>
        </w:rPr>
        <w:t>93.2107</w:t>
      </w:r>
      <w:r>
        <w:rPr>
          <w:rFonts w:hint="eastAsia"/>
          <w:color w:val="0D0D0D"/>
          <w:szCs w:val="28"/>
          <w:lang w:bidi="ar"/>
        </w:rPr>
        <w:t>公顷，其中拟征收面积减少</w:t>
      </w:r>
      <w:r>
        <w:rPr>
          <w:color w:val="0D0D0D"/>
          <w:szCs w:val="28"/>
          <w:lang w:bidi="ar"/>
        </w:rPr>
        <w:t>96.2695</w:t>
      </w:r>
      <w:r>
        <w:rPr>
          <w:rFonts w:hint="eastAsia"/>
          <w:color w:val="0D0D0D"/>
          <w:szCs w:val="28"/>
          <w:lang w:bidi="ar"/>
        </w:rPr>
        <w:t xml:space="preserve">公顷。成片开发范围调整原因主要是项目范围发生变化、项目撤销、项目坐标存在偏移以及项目控制性详细规划调整等。 </w:t>
      </w:r>
    </w:p>
    <w:p>
      <w:pPr>
        <w:ind w:firstLine="480"/>
        <w:jc w:val="center"/>
        <w:rPr>
          <w:sz w:val="24"/>
          <w:szCs w:val="24"/>
        </w:rPr>
      </w:pPr>
    </w:p>
    <w:p>
      <w:pPr>
        <w:ind w:firstLine="480"/>
        <w:jc w:val="center"/>
        <w:rPr>
          <w:sz w:val="24"/>
          <w:szCs w:val="24"/>
        </w:rPr>
      </w:pPr>
    </w:p>
    <w:tbl>
      <w:tblPr>
        <w:tblStyle w:val="19"/>
        <w:tblpPr w:leftFromText="180" w:rightFromText="180" w:vertAnchor="text" w:horzAnchor="page" w:tblpX="1779" w:tblpY="469"/>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1101"/>
        <w:gridCol w:w="1075"/>
        <w:gridCol w:w="1102"/>
        <w:gridCol w:w="1075"/>
        <w:gridCol w:w="2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978" w:type="pct"/>
            <w:vAlign w:val="center"/>
          </w:tcPr>
          <w:p>
            <w:pPr>
              <w:widowControl/>
              <w:snapToGrid w:val="0"/>
              <w:spacing w:line="240" w:lineRule="auto"/>
              <w:ind w:firstLine="0" w:firstLineChars="0"/>
              <w:jc w:val="center"/>
              <w:textAlignment w:val="center"/>
              <w:rPr>
                <w:rFonts w:cs="Times New Roman"/>
                <w:sz w:val="21"/>
                <w:szCs w:val="21"/>
              </w:rPr>
            </w:pPr>
            <w:r>
              <w:rPr>
                <w:rFonts w:cs="Times New Roman"/>
                <w:b/>
                <w:bCs/>
                <w:color w:val="000000"/>
                <w:sz w:val="21"/>
                <w:szCs w:val="21"/>
                <w:lang w:bidi="ar"/>
              </w:rPr>
              <w:t>成片开发范围</w:t>
            </w:r>
          </w:p>
        </w:tc>
        <w:tc>
          <w:tcPr>
            <w:tcW w:w="646" w:type="pct"/>
            <w:vAlign w:val="center"/>
          </w:tcPr>
          <w:p>
            <w:pPr>
              <w:widowControl/>
              <w:snapToGrid w:val="0"/>
              <w:spacing w:line="240" w:lineRule="auto"/>
              <w:ind w:firstLine="0" w:firstLineChars="0"/>
              <w:jc w:val="center"/>
              <w:textAlignment w:val="center"/>
              <w:rPr>
                <w:rFonts w:cs="Times New Roman"/>
                <w:b/>
                <w:bCs/>
                <w:color w:val="000000"/>
                <w:sz w:val="21"/>
                <w:szCs w:val="21"/>
                <w:lang w:bidi="ar"/>
              </w:rPr>
            </w:pPr>
            <w:r>
              <w:rPr>
                <w:rFonts w:hint="eastAsia" w:cs="Times New Roman"/>
                <w:b/>
                <w:bCs/>
                <w:color w:val="000000"/>
                <w:sz w:val="21"/>
                <w:szCs w:val="21"/>
                <w:lang w:bidi="ar"/>
              </w:rPr>
              <w:t>调整前成片开发面积（公顷）</w:t>
            </w:r>
          </w:p>
        </w:tc>
        <w:tc>
          <w:tcPr>
            <w:tcW w:w="631" w:type="pct"/>
            <w:vAlign w:val="center"/>
          </w:tcPr>
          <w:p>
            <w:pPr>
              <w:widowControl/>
              <w:snapToGrid w:val="0"/>
              <w:spacing w:line="240" w:lineRule="auto"/>
              <w:ind w:firstLine="0" w:firstLineChars="0"/>
              <w:jc w:val="center"/>
              <w:textAlignment w:val="center"/>
              <w:rPr>
                <w:rFonts w:cs="Times New Roman"/>
                <w:sz w:val="21"/>
                <w:szCs w:val="21"/>
              </w:rPr>
            </w:pPr>
            <w:r>
              <w:rPr>
                <w:rFonts w:hint="eastAsia" w:cs="Times New Roman"/>
                <w:b/>
                <w:bCs/>
                <w:color w:val="000000"/>
                <w:sz w:val="21"/>
                <w:szCs w:val="21"/>
                <w:lang w:bidi="ar"/>
              </w:rPr>
              <w:t>调整前拟征收面积（公顷）</w:t>
            </w:r>
          </w:p>
        </w:tc>
        <w:tc>
          <w:tcPr>
            <w:tcW w:w="647" w:type="pct"/>
            <w:vAlign w:val="center"/>
          </w:tcPr>
          <w:p>
            <w:pPr>
              <w:widowControl/>
              <w:snapToGrid w:val="0"/>
              <w:spacing w:line="240" w:lineRule="auto"/>
              <w:ind w:firstLine="0" w:firstLineChars="0"/>
              <w:jc w:val="center"/>
              <w:textAlignment w:val="center"/>
              <w:rPr>
                <w:rFonts w:cs="Times New Roman"/>
                <w:b/>
                <w:bCs/>
                <w:color w:val="000000"/>
                <w:sz w:val="21"/>
                <w:szCs w:val="21"/>
                <w:lang w:bidi="ar"/>
              </w:rPr>
            </w:pPr>
            <w:r>
              <w:rPr>
                <w:rFonts w:hint="eastAsia" w:cs="Times New Roman"/>
                <w:b/>
                <w:bCs/>
                <w:color w:val="000000"/>
                <w:sz w:val="21"/>
                <w:szCs w:val="21"/>
                <w:lang w:bidi="ar"/>
              </w:rPr>
              <w:t>调整后成片开发面积（公顷）</w:t>
            </w:r>
          </w:p>
        </w:tc>
        <w:tc>
          <w:tcPr>
            <w:tcW w:w="631" w:type="pct"/>
            <w:vAlign w:val="center"/>
          </w:tcPr>
          <w:p>
            <w:pPr>
              <w:widowControl/>
              <w:snapToGrid w:val="0"/>
              <w:spacing w:line="240" w:lineRule="auto"/>
              <w:ind w:firstLine="0" w:firstLineChars="0"/>
              <w:jc w:val="center"/>
              <w:textAlignment w:val="center"/>
              <w:rPr>
                <w:rFonts w:cs="Times New Roman"/>
                <w:b/>
                <w:bCs/>
                <w:color w:val="000000"/>
                <w:sz w:val="21"/>
                <w:szCs w:val="21"/>
                <w:lang w:bidi="ar"/>
              </w:rPr>
            </w:pPr>
            <w:r>
              <w:rPr>
                <w:rFonts w:hint="eastAsia" w:cs="Times New Roman"/>
                <w:b/>
                <w:bCs/>
                <w:color w:val="000000"/>
                <w:sz w:val="21"/>
                <w:szCs w:val="21"/>
                <w:lang w:bidi="ar"/>
              </w:rPr>
              <w:t>调整后拟征收面积（公顷）</w:t>
            </w:r>
          </w:p>
        </w:tc>
        <w:tc>
          <w:tcPr>
            <w:tcW w:w="1467" w:type="pct"/>
            <w:vAlign w:val="center"/>
          </w:tcPr>
          <w:p>
            <w:pPr>
              <w:widowControl/>
              <w:snapToGrid w:val="0"/>
              <w:spacing w:line="240" w:lineRule="auto"/>
              <w:ind w:firstLine="0" w:firstLineChars="0"/>
              <w:jc w:val="center"/>
              <w:textAlignment w:val="center"/>
              <w:rPr>
                <w:rFonts w:cs="Times New Roman"/>
                <w:sz w:val="21"/>
                <w:szCs w:val="21"/>
              </w:rPr>
            </w:pPr>
            <w:r>
              <w:rPr>
                <w:rFonts w:hint="eastAsia" w:cs="Times New Roman"/>
                <w:b/>
                <w:bCs/>
                <w:sz w:val="21"/>
                <w:szCs w:val="21"/>
              </w:rPr>
              <w:t>调整原因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978" w:type="pct"/>
            <w:vAlign w:val="center"/>
          </w:tcPr>
          <w:p>
            <w:pPr>
              <w:widowControl/>
              <w:snapToGrid w:val="0"/>
              <w:spacing w:line="240" w:lineRule="auto"/>
              <w:ind w:firstLine="0" w:firstLineChars="0"/>
              <w:jc w:val="center"/>
              <w:textAlignment w:val="center"/>
              <w:rPr>
                <w:rFonts w:cs="Times New Roman"/>
                <w:sz w:val="21"/>
                <w:szCs w:val="21"/>
              </w:rPr>
            </w:pPr>
            <w:r>
              <w:rPr>
                <w:rFonts w:cs="Times New Roman"/>
                <w:color w:val="000000"/>
                <w:sz w:val="21"/>
                <w:szCs w:val="21"/>
                <w:lang w:bidi="ar"/>
              </w:rPr>
              <w:t>怡宝成片开发范围</w:t>
            </w:r>
          </w:p>
        </w:tc>
        <w:tc>
          <w:tcPr>
            <w:tcW w:w="646" w:type="pct"/>
            <w:vAlign w:val="center"/>
          </w:tcPr>
          <w:p>
            <w:pPr>
              <w:pStyle w:val="25"/>
              <w:snapToGrid w:val="0"/>
              <w:spacing w:after="0" w:line="240" w:lineRule="auto"/>
              <w:ind w:firstLine="0" w:firstLineChars="0"/>
              <w:rPr>
                <w:sz w:val="21"/>
                <w:szCs w:val="21"/>
                <w:lang w:val="en-US" w:eastAsia="zh-CN"/>
              </w:rPr>
            </w:pPr>
            <w:r>
              <w:rPr>
                <w:rFonts w:ascii="Times New Roman" w:hAnsi="Times New Roman" w:eastAsia="Times New Roman" w:cs="Times New Roman"/>
                <w:color w:val="000000"/>
                <w:sz w:val="21"/>
                <w:szCs w:val="21"/>
                <w:lang w:val="en-US" w:eastAsia="en-US" w:bidi="en-US"/>
              </w:rPr>
              <w:t>97.8289</w:t>
            </w:r>
          </w:p>
        </w:tc>
        <w:tc>
          <w:tcPr>
            <w:tcW w:w="631"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lang w:bidi="ar"/>
              </w:rPr>
              <w:t>87.3644</w:t>
            </w:r>
          </w:p>
        </w:tc>
        <w:tc>
          <w:tcPr>
            <w:tcW w:w="64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2"/>
              </w:rPr>
              <w:t>97.94</w:t>
            </w:r>
          </w:p>
        </w:tc>
        <w:tc>
          <w:tcPr>
            <w:tcW w:w="631"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2"/>
              </w:rPr>
              <w:t>78.1385</w:t>
            </w:r>
          </w:p>
        </w:tc>
        <w:tc>
          <w:tcPr>
            <w:tcW w:w="1467"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hint="eastAsia" w:cs="Times New Roman"/>
                <w:color w:val="000000"/>
                <w:sz w:val="21"/>
                <w:szCs w:val="21"/>
                <w:lang w:bidi="ar"/>
              </w:rPr>
              <w:t>因用地需求</w:t>
            </w:r>
            <w:r>
              <w:rPr>
                <w:rFonts w:cs="Times New Roman"/>
                <w:color w:val="000000"/>
                <w:sz w:val="21"/>
                <w:szCs w:val="21"/>
                <w:lang w:bidi="ar"/>
              </w:rPr>
              <w:t>在原批准的成片开发用地周边扩大成片开发用地范围</w:t>
            </w:r>
            <w:r>
              <w:rPr>
                <w:rFonts w:hint="eastAsia" w:cs="Times New Roman"/>
                <w:color w:val="000000"/>
                <w:sz w:val="21"/>
                <w:szCs w:val="21"/>
                <w:lang w:bidi="ar"/>
              </w:rPr>
              <w:t>、核减成片开发范围内部分拟征地范围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978" w:type="pct"/>
            <w:vAlign w:val="center"/>
          </w:tcPr>
          <w:p>
            <w:pPr>
              <w:widowControl/>
              <w:snapToGrid w:val="0"/>
              <w:spacing w:line="240" w:lineRule="auto"/>
              <w:ind w:firstLine="0" w:firstLineChars="0"/>
              <w:jc w:val="center"/>
              <w:textAlignment w:val="center"/>
              <w:rPr>
                <w:rFonts w:cs="Times New Roman"/>
                <w:sz w:val="21"/>
                <w:szCs w:val="21"/>
              </w:rPr>
            </w:pPr>
            <w:r>
              <w:rPr>
                <w:rFonts w:cs="Times New Roman"/>
                <w:color w:val="000000"/>
                <w:sz w:val="21"/>
                <w:szCs w:val="21"/>
                <w:lang w:bidi="ar"/>
              </w:rPr>
              <w:t>源城区工业园第五期扩园(5G产业城)成片开发范围</w:t>
            </w:r>
          </w:p>
        </w:tc>
        <w:tc>
          <w:tcPr>
            <w:tcW w:w="646" w:type="pct"/>
            <w:vAlign w:val="center"/>
          </w:tcPr>
          <w:p>
            <w:pPr>
              <w:pStyle w:val="25"/>
              <w:snapToGrid w:val="0"/>
              <w:spacing w:after="0" w:line="240" w:lineRule="auto"/>
              <w:ind w:firstLine="0" w:firstLineChars="0"/>
              <w:rPr>
                <w:sz w:val="21"/>
                <w:szCs w:val="21"/>
                <w:lang w:val="en-US" w:eastAsia="zh-CN"/>
              </w:rPr>
            </w:pPr>
            <w:r>
              <w:rPr>
                <w:rFonts w:ascii="Times New Roman" w:hAnsi="Times New Roman" w:eastAsia="Times New Roman" w:cs="Times New Roman"/>
                <w:color w:val="000000"/>
                <w:sz w:val="21"/>
                <w:szCs w:val="21"/>
              </w:rPr>
              <w:t>35.5050</w:t>
            </w:r>
          </w:p>
        </w:tc>
        <w:tc>
          <w:tcPr>
            <w:tcW w:w="631"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lang w:bidi="ar"/>
              </w:rPr>
              <w:t>35.4053</w:t>
            </w:r>
          </w:p>
        </w:tc>
        <w:tc>
          <w:tcPr>
            <w:tcW w:w="64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2"/>
              </w:rPr>
              <w:t>0</w:t>
            </w:r>
          </w:p>
        </w:tc>
        <w:tc>
          <w:tcPr>
            <w:tcW w:w="631"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2"/>
              </w:rPr>
              <w:t>0</w:t>
            </w:r>
          </w:p>
        </w:tc>
        <w:tc>
          <w:tcPr>
            <w:tcW w:w="1467"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hint="eastAsia" w:cs="Times New Roman"/>
                <w:color w:val="000000"/>
                <w:sz w:val="21"/>
                <w:szCs w:val="21"/>
                <w:lang w:bidi="ar"/>
              </w:rPr>
              <w:t>因项目用地需求时间调整，核减部分用地范围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978"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lang w:bidi="ar"/>
              </w:rPr>
              <w:t>源城区工业园第三期扩园成片开发范围</w:t>
            </w:r>
          </w:p>
        </w:tc>
        <w:tc>
          <w:tcPr>
            <w:tcW w:w="646" w:type="pct"/>
            <w:vAlign w:val="center"/>
          </w:tcPr>
          <w:p>
            <w:pPr>
              <w:pStyle w:val="25"/>
              <w:snapToGrid w:val="0"/>
              <w:spacing w:after="0" w:line="240" w:lineRule="auto"/>
              <w:ind w:firstLine="0" w:firstLineChars="0"/>
              <w:rPr>
                <w:sz w:val="21"/>
                <w:szCs w:val="21"/>
                <w:lang w:val="en-US" w:eastAsia="zh-CN"/>
              </w:rPr>
            </w:pPr>
            <w:r>
              <w:rPr>
                <w:rFonts w:ascii="Times New Roman" w:hAnsi="Times New Roman" w:eastAsia="Times New Roman" w:cs="Times New Roman"/>
                <w:color w:val="000000"/>
                <w:sz w:val="21"/>
                <w:szCs w:val="21"/>
              </w:rPr>
              <w:t>47.6130</w:t>
            </w:r>
          </w:p>
        </w:tc>
        <w:tc>
          <w:tcPr>
            <w:tcW w:w="631"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lang w:bidi="ar"/>
              </w:rPr>
              <w:t>46.0477</w:t>
            </w:r>
          </w:p>
        </w:tc>
        <w:tc>
          <w:tcPr>
            <w:tcW w:w="64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2"/>
              </w:rPr>
              <w:t>49.1587</w:t>
            </w:r>
          </w:p>
        </w:tc>
        <w:tc>
          <w:tcPr>
            <w:tcW w:w="631"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2"/>
              </w:rPr>
              <w:t>43.8688</w:t>
            </w:r>
          </w:p>
        </w:tc>
        <w:tc>
          <w:tcPr>
            <w:tcW w:w="1467"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hint="eastAsia" w:cs="Times New Roman"/>
                <w:color w:val="000000"/>
                <w:sz w:val="21"/>
                <w:szCs w:val="21"/>
                <w:lang w:bidi="ar"/>
              </w:rPr>
              <w:t>因用地需求</w:t>
            </w:r>
            <w:r>
              <w:rPr>
                <w:rFonts w:cs="Times New Roman"/>
                <w:color w:val="000000"/>
                <w:sz w:val="21"/>
                <w:szCs w:val="21"/>
                <w:lang w:bidi="ar"/>
              </w:rPr>
              <w:t>在原批准的成片开发用地周边扩大成片开发用地范围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978"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lang w:bidi="ar"/>
              </w:rPr>
              <w:t>城市综合体成片开发范围</w:t>
            </w:r>
          </w:p>
        </w:tc>
        <w:tc>
          <w:tcPr>
            <w:tcW w:w="646" w:type="pct"/>
            <w:vAlign w:val="center"/>
          </w:tcPr>
          <w:p>
            <w:pPr>
              <w:pStyle w:val="25"/>
              <w:snapToGrid w:val="0"/>
              <w:spacing w:after="0" w:line="240" w:lineRule="auto"/>
              <w:ind w:firstLine="0" w:firstLineChars="0"/>
              <w:rPr>
                <w:sz w:val="21"/>
                <w:szCs w:val="21"/>
                <w:lang w:val="en-US" w:eastAsia="zh-CN"/>
              </w:rPr>
            </w:pPr>
            <w:r>
              <w:rPr>
                <w:rFonts w:ascii="Times New Roman" w:hAnsi="Times New Roman" w:eastAsia="Times New Roman" w:cs="Times New Roman"/>
                <w:color w:val="000000"/>
                <w:sz w:val="21"/>
                <w:szCs w:val="21"/>
                <w:lang w:val="en-US" w:eastAsia="en-US" w:bidi="en-US"/>
              </w:rPr>
              <w:t>26.5493</w:t>
            </w:r>
          </w:p>
        </w:tc>
        <w:tc>
          <w:tcPr>
            <w:tcW w:w="631"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lang w:bidi="ar"/>
              </w:rPr>
              <w:t>19.0468</w:t>
            </w:r>
          </w:p>
        </w:tc>
        <w:tc>
          <w:tcPr>
            <w:tcW w:w="64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2"/>
              </w:rPr>
              <w:t>11.6124</w:t>
            </w:r>
          </w:p>
        </w:tc>
        <w:tc>
          <w:tcPr>
            <w:tcW w:w="631" w:type="pct"/>
            <w:vAlign w:val="center"/>
          </w:tcPr>
          <w:p>
            <w:pPr>
              <w:widowControl/>
              <w:spacing w:line="240" w:lineRule="auto"/>
              <w:ind w:firstLine="0" w:firstLineChars="0"/>
              <w:jc w:val="center"/>
              <w:rPr>
                <w:rFonts w:eastAsia="宋体" w:cs="Times New Roman"/>
                <w:color w:val="000000"/>
                <w:sz w:val="21"/>
                <w:szCs w:val="21"/>
                <w:lang w:bidi="ar"/>
              </w:rPr>
            </w:pPr>
            <w:r>
              <w:rPr>
                <w:rFonts w:cs="Times New Roman"/>
                <w:color w:val="000000"/>
                <w:sz w:val="22"/>
              </w:rPr>
              <w:t>9.0673</w:t>
            </w:r>
          </w:p>
        </w:tc>
        <w:tc>
          <w:tcPr>
            <w:tcW w:w="1467"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hint="eastAsia" w:cs="Times New Roman"/>
                <w:color w:val="000000"/>
                <w:sz w:val="21"/>
                <w:szCs w:val="21"/>
                <w:lang w:bidi="ar"/>
              </w:rPr>
              <w:t>调整成片开发项目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978"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lang w:bidi="ar"/>
              </w:rPr>
              <w:t>河源江东新区文博新城成片开发范围</w:t>
            </w:r>
          </w:p>
        </w:tc>
        <w:tc>
          <w:tcPr>
            <w:tcW w:w="646" w:type="pct"/>
            <w:vAlign w:val="center"/>
          </w:tcPr>
          <w:p>
            <w:pPr>
              <w:pStyle w:val="25"/>
              <w:snapToGrid w:val="0"/>
              <w:spacing w:after="0" w:line="240" w:lineRule="auto"/>
              <w:ind w:firstLine="0" w:firstLineChars="0"/>
              <w:rPr>
                <w:sz w:val="21"/>
                <w:szCs w:val="21"/>
                <w:lang w:val="en-US" w:eastAsia="zh-CN"/>
              </w:rPr>
            </w:pPr>
            <w:r>
              <w:rPr>
                <w:rFonts w:ascii="Times New Roman" w:hAnsi="Times New Roman" w:eastAsia="Times New Roman" w:cs="Times New Roman"/>
                <w:color w:val="000000"/>
                <w:sz w:val="21"/>
                <w:szCs w:val="21"/>
              </w:rPr>
              <w:t>21.2743</w:t>
            </w:r>
          </w:p>
        </w:tc>
        <w:tc>
          <w:tcPr>
            <w:tcW w:w="631"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lang w:bidi="ar"/>
              </w:rPr>
              <w:t>14.6281</w:t>
            </w:r>
          </w:p>
        </w:tc>
        <w:tc>
          <w:tcPr>
            <w:tcW w:w="64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2"/>
              </w:rPr>
              <w:t>11.6124</w:t>
            </w:r>
          </w:p>
        </w:tc>
        <w:tc>
          <w:tcPr>
            <w:tcW w:w="631"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2"/>
              </w:rPr>
              <w:t>9.0673</w:t>
            </w:r>
          </w:p>
        </w:tc>
        <w:tc>
          <w:tcPr>
            <w:tcW w:w="1467"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hint="eastAsia" w:cs="Times New Roman"/>
                <w:color w:val="000000"/>
                <w:sz w:val="21"/>
                <w:szCs w:val="21"/>
                <w:lang w:bidi="ar"/>
              </w:rPr>
              <w:t>因项目用地需求时间调整，撤销年度计划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978"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lang w:bidi="ar"/>
              </w:rPr>
              <w:t>河源星河丹堤成片开发范围</w:t>
            </w:r>
          </w:p>
        </w:tc>
        <w:tc>
          <w:tcPr>
            <w:tcW w:w="646" w:type="pct"/>
            <w:vAlign w:val="center"/>
          </w:tcPr>
          <w:p>
            <w:pPr>
              <w:pStyle w:val="25"/>
              <w:snapToGrid w:val="0"/>
              <w:spacing w:after="0" w:line="240" w:lineRule="auto"/>
              <w:ind w:firstLine="0" w:firstLineChars="0"/>
              <w:rPr>
                <w:sz w:val="21"/>
                <w:szCs w:val="21"/>
                <w:lang w:val="en-US" w:eastAsia="zh-CN"/>
              </w:rPr>
            </w:pPr>
            <w:r>
              <w:rPr>
                <w:rFonts w:ascii="Times New Roman" w:hAnsi="Times New Roman" w:eastAsia="Times New Roman" w:cs="Times New Roman"/>
                <w:color w:val="000000"/>
                <w:sz w:val="21"/>
                <w:szCs w:val="21"/>
                <w:lang w:val="en-US" w:eastAsia="en-US" w:bidi="en-US"/>
              </w:rPr>
              <w:t>26.5258</w:t>
            </w:r>
          </w:p>
        </w:tc>
        <w:tc>
          <w:tcPr>
            <w:tcW w:w="631"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lang w:bidi="ar"/>
              </w:rPr>
              <w:t>26.4936</w:t>
            </w:r>
          </w:p>
        </w:tc>
        <w:tc>
          <w:tcPr>
            <w:tcW w:w="64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2"/>
              </w:rPr>
              <w:t>0</w:t>
            </w:r>
          </w:p>
        </w:tc>
        <w:tc>
          <w:tcPr>
            <w:tcW w:w="631" w:type="pct"/>
            <w:vAlign w:val="center"/>
          </w:tcPr>
          <w:p>
            <w:pPr>
              <w:widowControl/>
              <w:spacing w:line="240" w:lineRule="auto"/>
              <w:ind w:firstLine="0" w:firstLineChars="0"/>
              <w:jc w:val="center"/>
              <w:rPr>
                <w:rFonts w:eastAsia="宋体" w:cs="Times New Roman"/>
                <w:color w:val="000000"/>
                <w:sz w:val="21"/>
                <w:szCs w:val="21"/>
                <w:lang w:bidi="ar"/>
              </w:rPr>
            </w:pPr>
          </w:p>
        </w:tc>
        <w:tc>
          <w:tcPr>
            <w:tcW w:w="1467"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hint="eastAsia" w:cs="Times New Roman"/>
                <w:color w:val="000000"/>
                <w:sz w:val="21"/>
                <w:szCs w:val="21"/>
                <w:lang w:bidi="ar"/>
              </w:rPr>
              <w:t>因市场变动，项目撤销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978"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lang w:bidi="ar"/>
              </w:rPr>
              <w:t>城市建设起步区综合开发项目成片开发范围</w:t>
            </w:r>
          </w:p>
        </w:tc>
        <w:tc>
          <w:tcPr>
            <w:tcW w:w="646" w:type="pct"/>
            <w:vAlign w:val="center"/>
          </w:tcPr>
          <w:p>
            <w:pPr>
              <w:pStyle w:val="25"/>
              <w:snapToGrid w:val="0"/>
              <w:spacing w:after="0" w:line="240" w:lineRule="auto"/>
              <w:ind w:firstLine="0" w:firstLineChars="0"/>
              <w:rPr>
                <w:sz w:val="21"/>
                <w:szCs w:val="21"/>
                <w:lang w:val="en-US" w:eastAsia="zh-CN"/>
              </w:rPr>
            </w:pPr>
            <w:r>
              <w:rPr>
                <w:rFonts w:ascii="Times New Roman" w:hAnsi="Times New Roman" w:eastAsia="Times New Roman" w:cs="Times New Roman"/>
                <w:color w:val="000000"/>
                <w:sz w:val="21"/>
                <w:szCs w:val="21"/>
              </w:rPr>
              <w:t>4.6259</w:t>
            </w:r>
          </w:p>
        </w:tc>
        <w:tc>
          <w:tcPr>
            <w:tcW w:w="631"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lang w:bidi="ar"/>
              </w:rPr>
              <w:t>3.1044</w:t>
            </w:r>
          </w:p>
        </w:tc>
        <w:tc>
          <w:tcPr>
            <w:tcW w:w="64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2"/>
              </w:rPr>
              <w:t>0</w:t>
            </w:r>
          </w:p>
        </w:tc>
        <w:tc>
          <w:tcPr>
            <w:tcW w:w="631" w:type="pct"/>
            <w:vAlign w:val="center"/>
          </w:tcPr>
          <w:p>
            <w:pPr>
              <w:widowControl/>
              <w:spacing w:line="240" w:lineRule="auto"/>
              <w:ind w:firstLine="0" w:firstLineChars="0"/>
              <w:jc w:val="center"/>
              <w:rPr>
                <w:rFonts w:eastAsia="宋体" w:cs="Times New Roman"/>
                <w:color w:val="000000"/>
                <w:sz w:val="21"/>
                <w:szCs w:val="21"/>
                <w:lang w:bidi="ar"/>
              </w:rPr>
            </w:pPr>
          </w:p>
        </w:tc>
        <w:tc>
          <w:tcPr>
            <w:tcW w:w="1467"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hint="eastAsia" w:cs="Times New Roman"/>
                <w:color w:val="000000"/>
                <w:sz w:val="21"/>
                <w:szCs w:val="21"/>
                <w:lang w:bidi="ar"/>
              </w:rPr>
              <w:t>因项目用地需求时间调整，项目撤销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978"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lang w:bidi="ar"/>
              </w:rPr>
              <w:t>城市建设起步区综合开发项目成片开发范围</w:t>
            </w:r>
          </w:p>
        </w:tc>
        <w:tc>
          <w:tcPr>
            <w:tcW w:w="646" w:type="pct"/>
            <w:vAlign w:val="center"/>
          </w:tcPr>
          <w:p>
            <w:pPr>
              <w:pStyle w:val="25"/>
              <w:snapToGrid w:val="0"/>
              <w:spacing w:after="0" w:line="240" w:lineRule="auto"/>
              <w:ind w:firstLine="0" w:firstLineChars="0"/>
              <w:rPr>
                <w:sz w:val="21"/>
                <w:szCs w:val="21"/>
                <w:lang w:val="en-US" w:eastAsia="zh-CN"/>
              </w:rPr>
            </w:pPr>
            <w:r>
              <w:rPr>
                <w:rFonts w:ascii="Times New Roman" w:hAnsi="Times New Roman" w:eastAsia="Times New Roman" w:cs="Times New Roman"/>
                <w:color w:val="000000"/>
                <w:sz w:val="21"/>
                <w:szCs w:val="21"/>
              </w:rPr>
              <w:t>0.8140</w:t>
            </w:r>
          </w:p>
        </w:tc>
        <w:tc>
          <w:tcPr>
            <w:tcW w:w="631"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lang w:bidi="ar"/>
              </w:rPr>
              <w:t>0.5080</w:t>
            </w:r>
          </w:p>
        </w:tc>
        <w:tc>
          <w:tcPr>
            <w:tcW w:w="64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2"/>
              </w:rPr>
              <w:t>0</w:t>
            </w:r>
          </w:p>
        </w:tc>
        <w:tc>
          <w:tcPr>
            <w:tcW w:w="631" w:type="pct"/>
            <w:vAlign w:val="center"/>
          </w:tcPr>
          <w:p>
            <w:pPr>
              <w:widowControl/>
              <w:spacing w:line="240" w:lineRule="auto"/>
              <w:ind w:firstLine="0" w:firstLineChars="0"/>
              <w:jc w:val="center"/>
              <w:rPr>
                <w:rFonts w:eastAsia="宋体" w:cs="Times New Roman"/>
                <w:color w:val="000000"/>
                <w:sz w:val="21"/>
                <w:szCs w:val="21"/>
                <w:lang w:bidi="ar"/>
              </w:rPr>
            </w:pPr>
          </w:p>
        </w:tc>
        <w:tc>
          <w:tcPr>
            <w:tcW w:w="1467"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hint="eastAsia" w:cs="Times New Roman"/>
                <w:color w:val="000000"/>
                <w:sz w:val="21"/>
                <w:szCs w:val="21"/>
                <w:lang w:bidi="ar"/>
              </w:rPr>
              <w:t>因项目用地需求时间调整，项目撤销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978"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hint="eastAsia" w:cs="Times New Roman"/>
                <w:color w:val="000000"/>
                <w:sz w:val="21"/>
                <w:szCs w:val="21"/>
                <w:lang w:bidi="ar"/>
              </w:rPr>
              <w:t>皓吉达项目成片开发范围</w:t>
            </w:r>
          </w:p>
        </w:tc>
        <w:tc>
          <w:tcPr>
            <w:tcW w:w="646" w:type="pct"/>
            <w:vAlign w:val="center"/>
          </w:tcPr>
          <w:p>
            <w:pPr>
              <w:pStyle w:val="25"/>
              <w:snapToGrid w:val="0"/>
              <w:spacing w:after="0" w:line="240" w:lineRule="auto"/>
              <w:ind w:firstLine="0" w:firstLineChars="0"/>
              <w:rPr>
                <w:rFonts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w:t>
            </w:r>
          </w:p>
        </w:tc>
        <w:tc>
          <w:tcPr>
            <w:tcW w:w="631"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hint="eastAsia" w:cs="Times New Roman"/>
                <w:color w:val="000000"/>
                <w:sz w:val="21"/>
                <w:szCs w:val="21"/>
                <w:lang w:bidi="ar"/>
              </w:rPr>
              <w:t>0</w:t>
            </w:r>
          </w:p>
        </w:tc>
        <w:tc>
          <w:tcPr>
            <w:tcW w:w="64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2"/>
              </w:rPr>
              <w:t>5.3518</w:t>
            </w:r>
          </w:p>
        </w:tc>
        <w:tc>
          <w:tcPr>
            <w:tcW w:w="631"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2"/>
              </w:rPr>
              <w:t>3.2111</w:t>
            </w:r>
          </w:p>
        </w:tc>
        <w:tc>
          <w:tcPr>
            <w:tcW w:w="1467"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hint="eastAsia" w:cs="Times New Roman"/>
                <w:color w:val="000000"/>
                <w:sz w:val="21"/>
                <w:szCs w:val="21"/>
                <w:lang w:bidi="ar"/>
              </w:rPr>
              <w:t>增补用地需求，在原产业片区周边增加用地范围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978"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hint="eastAsia" w:cs="Times New Roman"/>
                <w:color w:val="000000"/>
                <w:sz w:val="21"/>
                <w:szCs w:val="21"/>
                <w:lang w:bidi="ar"/>
              </w:rPr>
              <w:t>紫泉饮料项目成片开发范围</w:t>
            </w:r>
          </w:p>
        </w:tc>
        <w:tc>
          <w:tcPr>
            <w:tcW w:w="646" w:type="pct"/>
            <w:vAlign w:val="center"/>
          </w:tcPr>
          <w:p>
            <w:pPr>
              <w:pStyle w:val="25"/>
              <w:snapToGrid w:val="0"/>
              <w:spacing w:after="0" w:line="240" w:lineRule="auto"/>
              <w:ind w:firstLine="0" w:firstLineChars="0"/>
              <w:rPr>
                <w:rFonts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0</w:t>
            </w:r>
          </w:p>
        </w:tc>
        <w:tc>
          <w:tcPr>
            <w:tcW w:w="631"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hint="eastAsia" w:cs="Times New Roman"/>
                <w:color w:val="000000"/>
                <w:sz w:val="21"/>
                <w:szCs w:val="21"/>
                <w:lang w:bidi="ar"/>
              </w:rPr>
              <w:t>0</w:t>
            </w:r>
          </w:p>
        </w:tc>
        <w:tc>
          <w:tcPr>
            <w:tcW w:w="64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2"/>
              </w:rPr>
              <w:t>3.4626</w:t>
            </w:r>
          </w:p>
        </w:tc>
        <w:tc>
          <w:tcPr>
            <w:tcW w:w="631"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2"/>
              </w:rPr>
              <w:t>2.0431</w:t>
            </w:r>
          </w:p>
        </w:tc>
        <w:tc>
          <w:tcPr>
            <w:tcW w:w="1467"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hint="eastAsia" w:cs="Times New Roman"/>
                <w:color w:val="000000"/>
                <w:sz w:val="21"/>
                <w:szCs w:val="21"/>
                <w:lang w:bidi="ar"/>
              </w:rPr>
              <w:t>增补用地需求，在原产业片区周边增加用地范围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978"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hint="eastAsia" w:cs="Times New Roman"/>
                <w:color w:val="000000"/>
                <w:sz w:val="21"/>
                <w:szCs w:val="21"/>
                <w:lang w:bidi="ar"/>
              </w:rPr>
              <w:t>总计</w:t>
            </w:r>
          </w:p>
        </w:tc>
        <w:tc>
          <w:tcPr>
            <w:tcW w:w="646" w:type="pct"/>
            <w:vAlign w:val="center"/>
          </w:tcPr>
          <w:p>
            <w:pPr>
              <w:pStyle w:val="25"/>
              <w:snapToGrid w:val="0"/>
              <w:spacing w:after="0" w:line="240" w:lineRule="auto"/>
              <w:ind w:firstLine="0" w:firstLineChars="0"/>
              <w:rPr>
                <w:sz w:val="21"/>
                <w:szCs w:val="21"/>
                <w:lang w:val="en-US" w:eastAsia="zh-CN"/>
              </w:rPr>
            </w:pPr>
            <w:r>
              <w:rPr>
                <w:rFonts w:ascii="Times New Roman" w:hAnsi="Times New Roman" w:eastAsia="Times New Roman" w:cs="Times New Roman"/>
                <w:color w:val="000000"/>
                <w:sz w:val="21"/>
                <w:szCs w:val="21"/>
                <w:lang w:val="en-US" w:eastAsia="en-US" w:bidi="en-US"/>
              </w:rPr>
              <w:t>260.7362</w:t>
            </w:r>
          </w:p>
        </w:tc>
        <w:tc>
          <w:tcPr>
            <w:tcW w:w="631"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lang w:bidi="ar"/>
              </w:rPr>
              <w:t>232.5983</w:t>
            </w:r>
          </w:p>
        </w:tc>
        <w:tc>
          <w:tcPr>
            <w:tcW w:w="64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hint="eastAsia"/>
                <w:color w:val="000000"/>
                <w:sz w:val="22"/>
              </w:rPr>
              <w:t>167.5255</w:t>
            </w:r>
          </w:p>
        </w:tc>
        <w:tc>
          <w:tcPr>
            <w:tcW w:w="631" w:type="pct"/>
            <w:vAlign w:val="center"/>
          </w:tcPr>
          <w:p>
            <w:pPr>
              <w:widowControl/>
              <w:spacing w:line="240" w:lineRule="auto"/>
              <w:ind w:firstLine="0" w:firstLineChars="0"/>
              <w:jc w:val="center"/>
              <w:textAlignment w:val="center"/>
              <w:rPr>
                <w:rFonts w:cs="Times New Roman"/>
                <w:color w:val="000000"/>
                <w:sz w:val="21"/>
                <w:szCs w:val="21"/>
                <w:lang w:bidi="ar"/>
              </w:rPr>
            </w:pPr>
            <w:r>
              <w:rPr>
                <w:rFonts w:hint="eastAsia"/>
                <w:color w:val="000000"/>
                <w:sz w:val="22"/>
              </w:rPr>
              <w:t>136.3288</w:t>
            </w:r>
          </w:p>
        </w:tc>
        <w:tc>
          <w:tcPr>
            <w:tcW w:w="1467" w:type="pct"/>
            <w:vAlign w:val="center"/>
          </w:tcPr>
          <w:p>
            <w:pPr>
              <w:widowControl/>
              <w:snapToGrid w:val="0"/>
              <w:spacing w:line="240" w:lineRule="auto"/>
              <w:ind w:firstLine="0" w:firstLineChars="0"/>
              <w:jc w:val="center"/>
              <w:textAlignment w:val="center"/>
              <w:rPr>
                <w:rFonts w:cs="Times New Roman"/>
                <w:color w:val="000000"/>
                <w:sz w:val="21"/>
                <w:szCs w:val="21"/>
                <w:lang w:bidi="ar"/>
              </w:rPr>
            </w:pPr>
          </w:p>
        </w:tc>
      </w:tr>
    </w:tbl>
    <w:p>
      <w:pPr>
        <w:ind w:firstLine="480"/>
        <w:jc w:val="center"/>
        <w:rPr>
          <w:sz w:val="24"/>
          <w:szCs w:val="24"/>
        </w:rPr>
      </w:pPr>
      <w:bookmarkStart w:id="10" w:name="_Toc22195"/>
      <w:r>
        <w:rPr>
          <w:rFonts w:hint="eastAsia"/>
          <w:sz w:val="24"/>
          <w:szCs w:val="24"/>
        </w:rPr>
        <w:t>表2-6 成片开发方案调整情况表</w:t>
      </w:r>
      <w:bookmarkEnd w:id="10"/>
    </w:p>
    <w:p>
      <w:pPr>
        <w:pStyle w:val="5"/>
        <w:numPr>
          <w:ilvl w:val="0"/>
          <w:numId w:val="11"/>
        </w:numPr>
      </w:pPr>
      <w:r>
        <w:rPr>
          <w:rFonts w:hint="eastAsia"/>
        </w:rPr>
        <w:t>方案片区划定情况</w:t>
      </w:r>
    </w:p>
    <w:p>
      <w:pPr>
        <w:widowControl/>
        <w:ind w:firstLine="560"/>
        <w:rPr>
          <w:color w:val="0D0D0D"/>
          <w:szCs w:val="28"/>
          <w:lang w:bidi="ar"/>
        </w:rPr>
      </w:pPr>
      <w:r>
        <w:rPr>
          <w:rFonts w:hint="eastAsia"/>
          <w:color w:val="0D0D0D"/>
          <w:szCs w:val="28"/>
          <w:lang w:bidi="ar"/>
        </w:rPr>
        <w:t>调整后，源城区2021年度土地征收成片开发地块总面积167.5255公顷，拟征收地块总面积136.3288公顷，共划定了</w:t>
      </w:r>
      <w:r>
        <w:rPr>
          <w:color w:val="0D0D0D"/>
          <w:szCs w:val="28"/>
          <w:lang w:bidi="ar"/>
        </w:rPr>
        <w:t>5</w:t>
      </w:r>
      <w:r>
        <w:rPr>
          <w:rFonts w:hint="eastAsia"/>
          <w:color w:val="0D0D0D"/>
          <w:szCs w:val="28"/>
          <w:lang w:bidi="ar"/>
        </w:rPr>
        <w:t>个成片开发范围。</w:t>
      </w:r>
    </w:p>
    <w:p>
      <w:pPr>
        <w:ind w:firstLine="480"/>
        <w:jc w:val="center"/>
        <w:rPr>
          <w:sz w:val="24"/>
          <w:szCs w:val="24"/>
        </w:rPr>
      </w:pPr>
      <w:r>
        <w:rPr>
          <w:rFonts w:hint="eastAsia"/>
          <w:sz w:val="24"/>
          <w:szCs w:val="24"/>
        </w:rPr>
        <w:t>表2-7 调整后成片开发方案情况表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579"/>
        <w:gridCol w:w="1163"/>
        <w:gridCol w:w="1136"/>
        <w:gridCol w:w="1317"/>
        <w:gridCol w:w="1295"/>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393" w:type="pct"/>
            <w:vAlign w:val="center"/>
          </w:tcPr>
          <w:p>
            <w:pPr>
              <w:widowControl/>
              <w:spacing w:line="240" w:lineRule="auto"/>
              <w:ind w:firstLine="0" w:firstLineChars="0"/>
              <w:jc w:val="center"/>
              <w:textAlignment w:val="center"/>
              <w:rPr>
                <w:rFonts w:cs="Times New Roman"/>
                <w:sz w:val="21"/>
                <w:szCs w:val="21"/>
              </w:rPr>
            </w:pPr>
            <w:r>
              <w:rPr>
                <w:rFonts w:cs="Times New Roman"/>
                <w:b/>
                <w:bCs/>
                <w:color w:val="000000"/>
                <w:sz w:val="21"/>
                <w:szCs w:val="21"/>
                <w:lang w:bidi="ar"/>
              </w:rPr>
              <w:t>序号</w:t>
            </w:r>
          </w:p>
        </w:tc>
        <w:tc>
          <w:tcPr>
            <w:tcW w:w="927" w:type="pct"/>
            <w:vAlign w:val="center"/>
          </w:tcPr>
          <w:p>
            <w:pPr>
              <w:widowControl/>
              <w:spacing w:line="240" w:lineRule="auto"/>
              <w:ind w:firstLine="0" w:firstLineChars="0"/>
              <w:jc w:val="center"/>
              <w:textAlignment w:val="center"/>
              <w:rPr>
                <w:rFonts w:cs="Times New Roman"/>
                <w:sz w:val="21"/>
                <w:szCs w:val="21"/>
              </w:rPr>
            </w:pPr>
            <w:r>
              <w:rPr>
                <w:rFonts w:cs="Times New Roman"/>
                <w:b/>
                <w:bCs/>
                <w:color w:val="000000"/>
                <w:sz w:val="21"/>
                <w:szCs w:val="21"/>
                <w:lang w:bidi="ar"/>
              </w:rPr>
              <w:t>成片开发范围</w:t>
            </w:r>
          </w:p>
        </w:tc>
        <w:tc>
          <w:tcPr>
            <w:tcW w:w="683" w:type="pct"/>
            <w:vAlign w:val="center"/>
          </w:tcPr>
          <w:p>
            <w:pPr>
              <w:widowControl/>
              <w:spacing w:line="240" w:lineRule="auto"/>
              <w:ind w:firstLine="0" w:firstLineChars="0"/>
              <w:jc w:val="center"/>
              <w:textAlignment w:val="center"/>
              <w:rPr>
                <w:rFonts w:cs="Times New Roman"/>
                <w:b/>
                <w:bCs/>
                <w:sz w:val="21"/>
                <w:szCs w:val="21"/>
              </w:rPr>
            </w:pPr>
            <w:r>
              <w:rPr>
                <w:rFonts w:hint="eastAsia" w:cs="Times New Roman"/>
                <w:b/>
                <w:bCs/>
                <w:color w:val="000000"/>
                <w:sz w:val="21"/>
                <w:szCs w:val="21"/>
                <w:lang w:bidi="ar"/>
              </w:rPr>
              <w:t>成片开发</w:t>
            </w:r>
            <w:r>
              <w:rPr>
                <w:rFonts w:cs="Times New Roman"/>
                <w:b/>
                <w:bCs/>
                <w:color w:val="000000"/>
                <w:sz w:val="21"/>
                <w:szCs w:val="21"/>
                <w:lang w:bidi="ar"/>
              </w:rPr>
              <w:t>面积</w:t>
            </w:r>
            <w:r>
              <w:rPr>
                <w:rFonts w:hint="eastAsia" w:cs="Times New Roman"/>
                <w:b/>
                <w:bCs/>
                <w:color w:val="000000"/>
                <w:sz w:val="21"/>
                <w:szCs w:val="21"/>
                <w:lang w:bidi="ar"/>
              </w:rPr>
              <w:t>（</w:t>
            </w:r>
            <w:r>
              <w:rPr>
                <w:rFonts w:hint="eastAsia"/>
                <w:b/>
                <w:bCs/>
                <w:sz w:val="21"/>
                <w:szCs w:val="21"/>
              </w:rPr>
              <w:t>公顷）</w:t>
            </w:r>
          </w:p>
        </w:tc>
        <w:tc>
          <w:tcPr>
            <w:tcW w:w="667" w:type="pct"/>
            <w:vAlign w:val="center"/>
          </w:tcPr>
          <w:p>
            <w:pPr>
              <w:widowControl/>
              <w:spacing w:line="240" w:lineRule="auto"/>
              <w:ind w:firstLine="0" w:firstLineChars="0"/>
              <w:jc w:val="center"/>
              <w:textAlignment w:val="center"/>
              <w:rPr>
                <w:rFonts w:cs="Times New Roman"/>
                <w:b/>
                <w:bCs/>
                <w:color w:val="000000"/>
                <w:sz w:val="21"/>
                <w:szCs w:val="21"/>
                <w:lang w:bidi="ar"/>
              </w:rPr>
            </w:pPr>
            <w:r>
              <w:rPr>
                <w:rFonts w:cs="Times New Roman"/>
                <w:b/>
                <w:bCs/>
                <w:color w:val="000000"/>
                <w:sz w:val="21"/>
                <w:szCs w:val="21"/>
                <w:lang w:bidi="ar"/>
              </w:rPr>
              <w:t>拟征收</w:t>
            </w:r>
          </w:p>
          <w:p>
            <w:pPr>
              <w:widowControl/>
              <w:spacing w:line="240" w:lineRule="auto"/>
              <w:ind w:firstLine="0" w:firstLineChars="0"/>
              <w:jc w:val="center"/>
              <w:textAlignment w:val="center"/>
              <w:rPr>
                <w:rFonts w:cs="Times New Roman"/>
                <w:b/>
                <w:bCs/>
                <w:sz w:val="21"/>
                <w:szCs w:val="21"/>
              </w:rPr>
            </w:pPr>
            <w:r>
              <w:rPr>
                <w:rFonts w:cs="Times New Roman"/>
                <w:b/>
                <w:bCs/>
                <w:color w:val="000000"/>
                <w:sz w:val="21"/>
                <w:szCs w:val="21"/>
                <w:lang w:bidi="ar"/>
              </w:rPr>
              <w:t>面积</w:t>
            </w:r>
            <w:r>
              <w:rPr>
                <w:rFonts w:hint="eastAsia" w:cs="Times New Roman"/>
                <w:b/>
                <w:bCs/>
                <w:color w:val="000000"/>
                <w:sz w:val="21"/>
                <w:szCs w:val="21"/>
                <w:lang w:bidi="ar"/>
              </w:rPr>
              <w:t>（</w:t>
            </w:r>
            <w:r>
              <w:rPr>
                <w:rFonts w:hint="eastAsia"/>
                <w:b/>
                <w:bCs/>
                <w:sz w:val="21"/>
                <w:szCs w:val="21"/>
              </w:rPr>
              <w:t>公顷）</w:t>
            </w:r>
          </w:p>
        </w:tc>
        <w:tc>
          <w:tcPr>
            <w:tcW w:w="773" w:type="pct"/>
            <w:vAlign w:val="center"/>
          </w:tcPr>
          <w:p>
            <w:pPr>
              <w:widowControl/>
              <w:spacing w:line="240" w:lineRule="auto"/>
              <w:ind w:firstLine="0" w:firstLineChars="0"/>
              <w:jc w:val="center"/>
              <w:textAlignment w:val="center"/>
              <w:rPr>
                <w:rFonts w:cs="Times New Roman"/>
                <w:b/>
                <w:bCs/>
                <w:color w:val="000000"/>
                <w:sz w:val="21"/>
                <w:szCs w:val="21"/>
                <w:lang w:bidi="ar"/>
              </w:rPr>
            </w:pPr>
            <w:r>
              <w:rPr>
                <w:rFonts w:hint="eastAsia" w:cs="Times New Roman"/>
                <w:b/>
                <w:bCs/>
                <w:color w:val="000000"/>
                <w:sz w:val="21"/>
                <w:szCs w:val="21"/>
                <w:lang w:bidi="ar"/>
              </w:rPr>
              <w:t>公益性用地面积（</w:t>
            </w:r>
            <w:r>
              <w:rPr>
                <w:rFonts w:hint="eastAsia"/>
                <w:b/>
                <w:bCs/>
                <w:sz w:val="21"/>
                <w:szCs w:val="21"/>
              </w:rPr>
              <w:t>公顷）</w:t>
            </w:r>
          </w:p>
        </w:tc>
        <w:tc>
          <w:tcPr>
            <w:tcW w:w="760" w:type="pct"/>
            <w:vAlign w:val="center"/>
          </w:tcPr>
          <w:p>
            <w:pPr>
              <w:widowControl/>
              <w:spacing w:line="240" w:lineRule="auto"/>
              <w:ind w:firstLine="0" w:firstLineChars="0"/>
              <w:jc w:val="center"/>
              <w:textAlignment w:val="center"/>
              <w:rPr>
                <w:rFonts w:cs="Times New Roman"/>
                <w:b/>
                <w:bCs/>
                <w:color w:val="000000"/>
                <w:sz w:val="21"/>
                <w:szCs w:val="21"/>
                <w:lang w:bidi="ar"/>
              </w:rPr>
            </w:pPr>
            <w:r>
              <w:rPr>
                <w:rFonts w:cs="Times New Roman"/>
                <w:b/>
                <w:bCs/>
                <w:color w:val="000000"/>
                <w:sz w:val="21"/>
                <w:szCs w:val="21"/>
                <w:lang w:bidi="ar"/>
              </w:rPr>
              <w:t>拟征收</w:t>
            </w:r>
          </w:p>
          <w:p>
            <w:pPr>
              <w:widowControl/>
              <w:spacing w:line="240" w:lineRule="auto"/>
              <w:ind w:firstLine="0" w:firstLineChars="0"/>
              <w:jc w:val="center"/>
              <w:textAlignment w:val="center"/>
              <w:rPr>
                <w:rFonts w:cs="Times New Roman"/>
                <w:sz w:val="21"/>
                <w:szCs w:val="21"/>
              </w:rPr>
            </w:pPr>
            <w:r>
              <w:rPr>
                <w:rFonts w:cs="Times New Roman"/>
                <w:b/>
                <w:bCs/>
                <w:color w:val="000000"/>
                <w:sz w:val="21"/>
                <w:szCs w:val="21"/>
                <w:lang w:bidi="ar"/>
              </w:rPr>
              <w:t>占比</w:t>
            </w:r>
            <w:r>
              <w:rPr>
                <w:rFonts w:hint="eastAsia" w:cs="Times New Roman"/>
                <w:b/>
                <w:bCs/>
                <w:color w:val="000000"/>
                <w:sz w:val="21"/>
                <w:szCs w:val="21"/>
                <w:lang w:bidi="ar"/>
              </w:rPr>
              <w:t>（%）</w:t>
            </w:r>
          </w:p>
        </w:tc>
        <w:tc>
          <w:tcPr>
            <w:tcW w:w="797" w:type="pct"/>
            <w:vAlign w:val="center"/>
          </w:tcPr>
          <w:p>
            <w:pPr>
              <w:widowControl/>
              <w:spacing w:line="240" w:lineRule="auto"/>
              <w:ind w:firstLine="0" w:firstLineChars="0"/>
              <w:jc w:val="center"/>
              <w:textAlignment w:val="center"/>
              <w:rPr>
                <w:rFonts w:cs="Times New Roman"/>
                <w:b/>
                <w:bCs/>
                <w:color w:val="000000"/>
                <w:sz w:val="21"/>
                <w:szCs w:val="21"/>
                <w:lang w:bidi="ar"/>
              </w:rPr>
            </w:pPr>
            <w:r>
              <w:rPr>
                <w:rFonts w:hint="eastAsia" w:cs="Times New Roman"/>
                <w:b/>
                <w:bCs/>
                <w:color w:val="000000"/>
                <w:sz w:val="21"/>
                <w:szCs w:val="21"/>
                <w:lang w:bidi="ar"/>
              </w:rPr>
              <w:t>公益性用地面积占比（%）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3"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lang w:bidi="ar"/>
              </w:rPr>
              <w:t>1</w:t>
            </w:r>
          </w:p>
        </w:tc>
        <w:tc>
          <w:tcPr>
            <w:tcW w:w="927" w:type="pct"/>
            <w:vAlign w:val="center"/>
          </w:tcPr>
          <w:p>
            <w:pPr>
              <w:widowControl/>
              <w:spacing w:line="240" w:lineRule="auto"/>
              <w:ind w:firstLine="0" w:firstLineChars="0"/>
              <w:jc w:val="center"/>
              <w:textAlignment w:val="center"/>
              <w:rPr>
                <w:rFonts w:cs="Times New Roman"/>
                <w:sz w:val="21"/>
                <w:szCs w:val="21"/>
              </w:rPr>
            </w:pPr>
            <w:r>
              <w:rPr>
                <w:rFonts w:cs="Times New Roman"/>
                <w:color w:val="000000"/>
                <w:sz w:val="21"/>
                <w:szCs w:val="21"/>
                <w:lang w:bidi="ar"/>
              </w:rPr>
              <w:t>怡宝成片开发范围</w:t>
            </w:r>
          </w:p>
        </w:tc>
        <w:tc>
          <w:tcPr>
            <w:tcW w:w="683"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97.94</w:t>
            </w:r>
          </w:p>
        </w:tc>
        <w:tc>
          <w:tcPr>
            <w:tcW w:w="66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eastAsia="宋体" w:cs="Times New Roman"/>
                <w:color w:val="000000"/>
                <w:sz w:val="21"/>
                <w:szCs w:val="21"/>
                <w:lang w:bidi="ar"/>
              </w:rPr>
              <w:t xml:space="preserve">78.1389 </w:t>
            </w:r>
          </w:p>
        </w:tc>
        <w:tc>
          <w:tcPr>
            <w:tcW w:w="773"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46.9366</w:t>
            </w:r>
          </w:p>
        </w:tc>
        <w:tc>
          <w:tcPr>
            <w:tcW w:w="760"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79.78</w:t>
            </w:r>
          </w:p>
        </w:tc>
        <w:tc>
          <w:tcPr>
            <w:tcW w:w="79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47.92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lang w:bidi="ar"/>
              </w:rPr>
              <w:t>2</w:t>
            </w:r>
          </w:p>
        </w:tc>
        <w:tc>
          <w:tcPr>
            <w:tcW w:w="92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lang w:bidi="ar"/>
              </w:rPr>
              <w:t>源城区工业园第三期扩园成片开发范围</w:t>
            </w:r>
          </w:p>
        </w:tc>
        <w:tc>
          <w:tcPr>
            <w:tcW w:w="683"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49.1587</w:t>
            </w:r>
          </w:p>
        </w:tc>
        <w:tc>
          <w:tcPr>
            <w:tcW w:w="66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eastAsia="宋体" w:cs="Times New Roman"/>
                <w:color w:val="000000"/>
                <w:sz w:val="21"/>
                <w:szCs w:val="21"/>
                <w:lang w:bidi="ar"/>
              </w:rPr>
              <w:t xml:space="preserve">43.8688 </w:t>
            </w:r>
          </w:p>
        </w:tc>
        <w:tc>
          <w:tcPr>
            <w:tcW w:w="773"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34.3125</w:t>
            </w:r>
          </w:p>
        </w:tc>
        <w:tc>
          <w:tcPr>
            <w:tcW w:w="760"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89.24</w:t>
            </w:r>
          </w:p>
        </w:tc>
        <w:tc>
          <w:tcPr>
            <w:tcW w:w="79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Align w:val="center"/>
          </w:tcPr>
          <w:p>
            <w:pPr>
              <w:widowControl/>
              <w:spacing w:line="240" w:lineRule="auto"/>
              <w:ind w:firstLine="0" w:firstLineChars="0"/>
              <w:jc w:val="center"/>
              <w:textAlignment w:val="center"/>
              <w:rPr>
                <w:rFonts w:cs="Times New Roman"/>
                <w:color w:val="000000"/>
                <w:sz w:val="21"/>
                <w:szCs w:val="21"/>
                <w:lang w:bidi="ar"/>
              </w:rPr>
            </w:pPr>
            <w:r>
              <w:rPr>
                <w:rFonts w:hint="eastAsia" w:cs="Times New Roman"/>
                <w:color w:val="000000"/>
                <w:sz w:val="21"/>
                <w:szCs w:val="21"/>
                <w:lang w:bidi="ar"/>
              </w:rPr>
              <w:t>3</w:t>
            </w:r>
          </w:p>
        </w:tc>
        <w:tc>
          <w:tcPr>
            <w:tcW w:w="92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lang w:bidi="ar"/>
              </w:rPr>
              <w:t>城市综合体成片开发范围</w:t>
            </w:r>
          </w:p>
        </w:tc>
        <w:tc>
          <w:tcPr>
            <w:tcW w:w="683"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11.6124</w:t>
            </w:r>
          </w:p>
        </w:tc>
        <w:tc>
          <w:tcPr>
            <w:tcW w:w="66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9.0673</w:t>
            </w:r>
          </w:p>
        </w:tc>
        <w:tc>
          <w:tcPr>
            <w:tcW w:w="773"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4.7356</w:t>
            </w:r>
          </w:p>
        </w:tc>
        <w:tc>
          <w:tcPr>
            <w:tcW w:w="760"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78.08</w:t>
            </w:r>
          </w:p>
        </w:tc>
        <w:tc>
          <w:tcPr>
            <w:tcW w:w="79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40.78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lang w:bidi="ar"/>
              </w:rPr>
              <w:t>4</w:t>
            </w:r>
          </w:p>
        </w:tc>
        <w:tc>
          <w:tcPr>
            <w:tcW w:w="92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hint="eastAsia" w:cs="Times New Roman"/>
                <w:color w:val="000000"/>
                <w:sz w:val="21"/>
                <w:szCs w:val="21"/>
                <w:lang w:bidi="ar"/>
              </w:rPr>
              <w:t>皓吉达成片开发范围</w:t>
            </w:r>
          </w:p>
        </w:tc>
        <w:tc>
          <w:tcPr>
            <w:tcW w:w="683"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5.3518</w:t>
            </w:r>
          </w:p>
        </w:tc>
        <w:tc>
          <w:tcPr>
            <w:tcW w:w="66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3.2111</w:t>
            </w:r>
          </w:p>
        </w:tc>
        <w:tc>
          <w:tcPr>
            <w:tcW w:w="773"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2.1407</w:t>
            </w:r>
          </w:p>
        </w:tc>
        <w:tc>
          <w:tcPr>
            <w:tcW w:w="760"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 xml:space="preserve">60.00 </w:t>
            </w:r>
          </w:p>
        </w:tc>
        <w:tc>
          <w:tcPr>
            <w:tcW w:w="79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 xml:space="preserve">40.00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3"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lang w:bidi="ar"/>
              </w:rPr>
              <w:t>5</w:t>
            </w:r>
          </w:p>
        </w:tc>
        <w:tc>
          <w:tcPr>
            <w:tcW w:w="92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hint="eastAsia" w:cs="Times New Roman"/>
                <w:color w:val="000000"/>
                <w:sz w:val="21"/>
                <w:szCs w:val="21"/>
                <w:lang w:bidi="ar"/>
              </w:rPr>
              <w:t>紫泉饮料成片开发范围</w:t>
            </w:r>
          </w:p>
        </w:tc>
        <w:tc>
          <w:tcPr>
            <w:tcW w:w="683"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3.4626</w:t>
            </w:r>
          </w:p>
        </w:tc>
        <w:tc>
          <w:tcPr>
            <w:tcW w:w="66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2.0431</w:t>
            </w:r>
          </w:p>
        </w:tc>
        <w:tc>
          <w:tcPr>
            <w:tcW w:w="773"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1.4191</w:t>
            </w:r>
          </w:p>
        </w:tc>
        <w:tc>
          <w:tcPr>
            <w:tcW w:w="760"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 xml:space="preserve">59.00 </w:t>
            </w:r>
          </w:p>
        </w:tc>
        <w:tc>
          <w:tcPr>
            <w:tcW w:w="79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 xml:space="preserve">40.98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0" w:type="pct"/>
            <w:gridSpan w:val="2"/>
            <w:vAlign w:val="center"/>
          </w:tcPr>
          <w:p>
            <w:pPr>
              <w:widowControl/>
              <w:spacing w:line="240" w:lineRule="auto"/>
              <w:ind w:firstLine="0" w:firstLineChars="0"/>
              <w:jc w:val="center"/>
              <w:textAlignment w:val="center"/>
              <w:rPr>
                <w:rFonts w:cs="Times New Roman"/>
                <w:sz w:val="21"/>
                <w:szCs w:val="21"/>
              </w:rPr>
            </w:pPr>
            <w:r>
              <w:rPr>
                <w:rFonts w:cs="Times New Roman"/>
                <w:color w:val="000000"/>
                <w:sz w:val="21"/>
                <w:szCs w:val="21"/>
                <w:lang w:bidi="ar"/>
              </w:rPr>
              <w:t>合计</w:t>
            </w:r>
          </w:p>
        </w:tc>
        <w:tc>
          <w:tcPr>
            <w:tcW w:w="683" w:type="pct"/>
            <w:vAlign w:val="center"/>
          </w:tcPr>
          <w:p>
            <w:pPr>
              <w:widowControl/>
              <w:spacing w:line="240" w:lineRule="auto"/>
              <w:ind w:firstLine="0" w:firstLineChars="0"/>
              <w:jc w:val="center"/>
              <w:textAlignment w:val="center"/>
              <w:rPr>
                <w:rFonts w:cs="Times New Roman"/>
                <w:color w:val="000000"/>
                <w:sz w:val="21"/>
                <w:szCs w:val="21"/>
                <w:lang w:bidi="ar"/>
              </w:rPr>
            </w:pPr>
            <w:r>
              <w:rPr>
                <w:rFonts w:eastAsia="宋体" w:cs="Times New Roman"/>
                <w:color w:val="000000"/>
                <w:sz w:val="21"/>
                <w:szCs w:val="21"/>
                <w:lang w:bidi="ar"/>
              </w:rPr>
              <w:t xml:space="preserve">167.5255 </w:t>
            </w:r>
          </w:p>
        </w:tc>
        <w:tc>
          <w:tcPr>
            <w:tcW w:w="667" w:type="pct"/>
            <w:vAlign w:val="center"/>
          </w:tcPr>
          <w:p>
            <w:pPr>
              <w:widowControl/>
              <w:autoSpaceDN/>
              <w:spacing w:line="240" w:lineRule="auto"/>
              <w:ind w:firstLine="0" w:firstLineChars="0"/>
              <w:jc w:val="center"/>
              <w:rPr>
                <w:rFonts w:hint="eastAsia" w:eastAsia="宋体" w:cs="Times New Roman"/>
                <w:color w:val="000000"/>
                <w:sz w:val="21"/>
                <w:szCs w:val="21"/>
              </w:rPr>
            </w:pPr>
            <w:r>
              <w:rPr>
                <w:rFonts w:cs="Times New Roman"/>
                <w:color w:val="000000"/>
                <w:sz w:val="21"/>
                <w:szCs w:val="21"/>
              </w:rPr>
              <w:t>136.3288</w:t>
            </w:r>
          </w:p>
        </w:tc>
        <w:tc>
          <w:tcPr>
            <w:tcW w:w="773"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89.5445</w:t>
            </w:r>
          </w:p>
        </w:tc>
        <w:tc>
          <w:tcPr>
            <w:tcW w:w="760"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81.38</w:t>
            </w:r>
          </w:p>
        </w:tc>
        <w:tc>
          <w:tcPr>
            <w:tcW w:w="797" w:type="pct"/>
            <w:vAlign w:val="center"/>
          </w:tcPr>
          <w:p>
            <w:pPr>
              <w:widowControl/>
              <w:spacing w:line="240" w:lineRule="auto"/>
              <w:ind w:firstLine="0" w:firstLineChars="0"/>
              <w:jc w:val="center"/>
              <w:textAlignment w:val="center"/>
              <w:rPr>
                <w:rFonts w:cs="Times New Roman"/>
                <w:color w:val="000000"/>
                <w:sz w:val="21"/>
                <w:szCs w:val="21"/>
                <w:lang w:bidi="ar"/>
              </w:rPr>
            </w:pPr>
            <w:r>
              <w:rPr>
                <w:rFonts w:cs="Times New Roman"/>
                <w:color w:val="000000"/>
                <w:sz w:val="21"/>
                <w:szCs w:val="21"/>
              </w:rPr>
              <w:t>53.45</w:t>
            </w:r>
          </w:p>
        </w:tc>
      </w:tr>
    </w:tbl>
    <w:p>
      <w:pPr>
        <w:pStyle w:val="5"/>
        <w:numPr>
          <w:ilvl w:val="0"/>
          <w:numId w:val="11"/>
        </w:numPr>
      </w:pPr>
      <w:r>
        <w:rPr>
          <w:rFonts w:hint="eastAsia"/>
        </w:rPr>
        <w:t>方案片区土地开发利用现状</w:t>
      </w:r>
    </w:p>
    <w:p>
      <w:pPr>
        <w:widowControl/>
        <w:ind w:firstLine="560"/>
        <w:rPr>
          <w:lang w:bidi="ar"/>
        </w:rPr>
      </w:pPr>
      <w:r>
        <w:rPr>
          <w:rFonts w:hint="eastAsia"/>
        </w:rPr>
        <w:t>根据源城区2018年度国土变更调查数据成果，调整后，源城区2021年度土地征收成片开发方案总面积</w:t>
      </w:r>
      <w:r>
        <w:rPr>
          <w:lang w:bidi="ar"/>
        </w:rPr>
        <w:t>167.5255</w:t>
      </w:r>
      <w:r>
        <w:rPr>
          <w:rFonts w:hint="eastAsia"/>
          <w:lang w:bidi="ar"/>
        </w:rPr>
        <w:t>公顷，范围内土地利用现状主要以农用地为主，面积128.0026公顷，其中耕地面积9.7645公顷（水田</w:t>
      </w:r>
      <w:r>
        <w:rPr>
          <w:lang w:bidi="ar"/>
        </w:rPr>
        <w:t>8.9971</w:t>
      </w:r>
      <w:r>
        <w:rPr>
          <w:rFonts w:hint="eastAsia"/>
          <w:lang w:bidi="ar"/>
        </w:rPr>
        <w:t>公顷），无可调整地类；建设用地面积31.7696公顷，；未利用地面积7.7533 公顷。</w:t>
      </w:r>
    </w:p>
    <w:p>
      <w:pPr>
        <w:ind w:firstLine="480"/>
        <w:jc w:val="center"/>
        <w:rPr>
          <w:sz w:val="24"/>
          <w:szCs w:val="21"/>
        </w:rPr>
      </w:pPr>
      <w:r>
        <w:rPr>
          <w:rFonts w:hint="eastAsia"/>
          <w:sz w:val="24"/>
          <w:szCs w:val="21"/>
        </w:rPr>
        <w:t>表2-8 调整后成片开发土地利用现状表</w:t>
      </w:r>
    </w:p>
    <w:tbl>
      <w:tblPr>
        <w:tblStyle w:val="18"/>
        <w:tblpPr w:leftFromText="180" w:rightFromText="180" w:vertAnchor="text" w:horzAnchor="page" w:tblpX="1783" w:tblpY="460"/>
        <w:tblOverlap w:val="never"/>
        <w:tblW w:w="5000" w:type="pct"/>
        <w:tblInd w:w="0" w:type="dxa"/>
        <w:tblLayout w:type="autofit"/>
        <w:tblCellMar>
          <w:top w:w="0" w:type="dxa"/>
          <w:left w:w="108" w:type="dxa"/>
          <w:bottom w:w="0" w:type="dxa"/>
          <w:right w:w="108" w:type="dxa"/>
        </w:tblCellMar>
      </w:tblPr>
      <w:tblGrid>
        <w:gridCol w:w="1038"/>
        <w:gridCol w:w="1038"/>
        <w:gridCol w:w="1386"/>
        <w:gridCol w:w="1744"/>
        <w:gridCol w:w="1570"/>
        <w:gridCol w:w="1746"/>
      </w:tblGrid>
      <w:tr>
        <w:tblPrEx>
          <w:tblCellMar>
            <w:top w:w="0" w:type="dxa"/>
            <w:left w:w="108" w:type="dxa"/>
            <w:bottom w:w="0" w:type="dxa"/>
            <w:right w:w="108" w:type="dxa"/>
          </w:tblCellMar>
        </w:tblPrEx>
        <w:trPr>
          <w:trHeight w:val="537" w:hRule="atLeast"/>
          <w:tblHeader/>
        </w:trPr>
        <w:tc>
          <w:tcPr>
            <w:tcW w:w="203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s="Times New Roman"/>
                <w:b/>
                <w:bCs/>
                <w:color w:val="000000"/>
                <w:sz w:val="21"/>
                <w:szCs w:val="21"/>
              </w:rPr>
            </w:pPr>
            <w:r>
              <w:rPr>
                <w:rFonts w:hint="eastAsia" w:ascii="Times New Roman" w:hAnsi="Times New Roman" w:eastAsia="仿宋_GB2312" w:cs="Times New Roman"/>
                <w:b/>
                <w:bCs/>
                <w:color w:val="000000"/>
                <w:sz w:val="21"/>
                <w:szCs w:val="21"/>
                <w:lang w:bidi="ar"/>
              </w:rPr>
              <w:t>地类面积情况</w:t>
            </w:r>
          </w:p>
        </w:tc>
        <w:tc>
          <w:tcPr>
            <w:tcW w:w="296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imes New Roman" w:hAnsi="Times New Roman" w:eastAsia="仿宋_GB2312" w:cs="Times New Roman"/>
                <w:b/>
                <w:bCs/>
                <w:color w:val="000000"/>
                <w:sz w:val="21"/>
                <w:szCs w:val="21"/>
                <w:lang w:eastAsia="zh-CN"/>
              </w:rPr>
            </w:pPr>
            <w:r>
              <w:rPr>
                <w:rFonts w:hint="eastAsia" w:ascii="Times New Roman" w:hAnsi="Times New Roman" w:eastAsia="仿宋_GB2312" w:cs="Times New Roman"/>
                <w:b/>
                <w:bCs/>
                <w:color w:val="000000"/>
                <w:sz w:val="21"/>
                <w:szCs w:val="21"/>
                <w:lang w:bidi="ar"/>
              </w:rPr>
              <w:t>现状情况</w:t>
            </w:r>
            <w:r>
              <w:rPr>
                <w:rFonts w:hint="eastAsia" w:cs="Times New Roman"/>
                <w:b/>
                <w:bCs/>
                <w:color w:val="000000"/>
                <w:sz w:val="21"/>
                <w:szCs w:val="21"/>
                <w:lang w:eastAsia="zh-CN" w:bidi="ar"/>
              </w:rPr>
              <w:t>（</w:t>
            </w:r>
            <w:r>
              <w:rPr>
                <w:rFonts w:hint="eastAsia" w:cs="Times New Roman"/>
                <w:b/>
                <w:bCs/>
                <w:color w:val="000000"/>
                <w:sz w:val="21"/>
                <w:szCs w:val="21"/>
                <w:lang w:val="en-US" w:eastAsia="zh-CN" w:bidi="ar"/>
              </w:rPr>
              <w:t>公顷</w:t>
            </w:r>
            <w:r>
              <w:rPr>
                <w:rFonts w:hint="eastAsia" w:cs="Times New Roman"/>
                <w:b/>
                <w:bCs/>
                <w:color w:val="000000"/>
                <w:sz w:val="21"/>
                <w:szCs w:val="21"/>
                <w:lang w:eastAsia="zh-CN" w:bidi="ar"/>
              </w:rPr>
              <w:t>）</w:t>
            </w:r>
          </w:p>
        </w:tc>
      </w:tr>
      <w:tr>
        <w:tblPrEx>
          <w:tblCellMar>
            <w:top w:w="0" w:type="dxa"/>
            <w:left w:w="108" w:type="dxa"/>
            <w:bottom w:w="0" w:type="dxa"/>
            <w:right w:w="108" w:type="dxa"/>
          </w:tblCellMar>
        </w:tblPrEx>
        <w:trPr>
          <w:trHeight w:val="559" w:hRule="atLeast"/>
          <w:tblHeader/>
        </w:trPr>
        <w:tc>
          <w:tcPr>
            <w:tcW w:w="203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20"/>
              <w:rPr>
                <w:rFonts w:ascii="Times New Roman" w:hAnsi="Times New Roman" w:eastAsia="仿宋_GB2312" w:cs="Arial"/>
                <w:sz w:val="21"/>
                <w:szCs w:val="21"/>
              </w:rPr>
            </w:pP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s="Times New Roman"/>
                <w:b/>
                <w:bCs/>
                <w:color w:val="000000"/>
                <w:sz w:val="21"/>
                <w:szCs w:val="21"/>
              </w:rPr>
            </w:pPr>
            <w:r>
              <w:rPr>
                <w:rFonts w:hint="eastAsia" w:ascii="Times New Roman" w:hAnsi="Times New Roman" w:eastAsia="仿宋_GB2312" w:cs="Times New Roman"/>
                <w:b/>
                <w:bCs/>
                <w:color w:val="000000"/>
                <w:sz w:val="21"/>
                <w:szCs w:val="21"/>
                <w:lang w:bidi="ar"/>
              </w:rPr>
              <w:t>总计</w:t>
            </w: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s="Times New Roman"/>
                <w:b/>
                <w:bCs/>
                <w:color w:val="000000"/>
                <w:sz w:val="21"/>
                <w:szCs w:val="21"/>
              </w:rPr>
            </w:pPr>
            <w:r>
              <w:rPr>
                <w:rFonts w:hint="eastAsia" w:ascii="Times New Roman" w:hAnsi="Times New Roman" w:eastAsia="仿宋_GB2312" w:cs="Times New Roman"/>
                <w:b/>
                <w:bCs/>
                <w:color w:val="000000"/>
                <w:sz w:val="21"/>
                <w:szCs w:val="21"/>
                <w:lang w:bidi="ar"/>
              </w:rPr>
              <w:t>国有</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s="Times New Roman"/>
                <w:b/>
                <w:bCs/>
                <w:color w:val="000000"/>
                <w:sz w:val="21"/>
                <w:szCs w:val="21"/>
              </w:rPr>
            </w:pPr>
            <w:r>
              <w:rPr>
                <w:rFonts w:hint="eastAsia" w:ascii="Times New Roman" w:hAnsi="Times New Roman" w:eastAsia="仿宋_GB2312" w:cs="Times New Roman"/>
                <w:b/>
                <w:bCs/>
                <w:color w:val="000000"/>
                <w:sz w:val="21"/>
                <w:szCs w:val="21"/>
                <w:lang w:bidi="ar"/>
              </w:rPr>
              <w:t>集体</w:t>
            </w:r>
          </w:p>
        </w:tc>
      </w:tr>
      <w:tr>
        <w:tblPrEx>
          <w:tblCellMar>
            <w:top w:w="0" w:type="dxa"/>
            <w:left w:w="108" w:type="dxa"/>
            <w:bottom w:w="0" w:type="dxa"/>
            <w:right w:w="108" w:type="dxa"/>
          </w:tblCellMar>
        </w:tblPrEx>
        <w:trPr>
          <w:trHeight w:val="495" w:hRule="atLeast"/>
        </w:trPr>
        <w:tc>
          <w:tcPr>
            <w:tcW w:w="203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s="Times New Roman"/>
                <w:color w:val="000000"/>
                <w:sz w:val="21"/>
                <w:szCs w:val="21"/>
              </w:rPr>
            </w:pPr>
            <w:r>
              <w:rPr>
                <w:rFonts w:hint="eastAsia" w:ascii="Times New Roman" w:hAnsi="Times New Roman" w:eastAsia="仿宋_GB2312" w:cs="Times New Roman"/>
                <w:color w:val="000000"/>
                <w:sz w:val="21"/>
                <w:szCs w:val="21"/>
                <w:lang w:bidi="ar"/>
              </w:rPr>
              <w:t>总计</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167.5255 </w:t>
            </w: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16.5544 </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150.9711 </w:t>
            </w:r>
          </w:p>
        </w:tc>
      </w:tr>
      <w:tr>
        <w:tblPrEx>
          <w:tblCellMar>
            <w:top w:w="0" w:type="dxa"/>
            <w:left w:w="108" w:type="dxa"/>
            <w:bottom w:w="0" w:type="dxa"/>
            <w:right w:w="108" w:type="dxa"/>
          </w:tblCellMar>
        </w:tblPrEx>
        <w:trPr>
          <w:trHeight w:val="495" w:hRule="atLeast"/>
        </w:trPr>
        <w:tc>
          <w:tcPr>
            <w:tcW w:w="203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s="Times New Roman"/>
                <w:color w:val="000000"/>
                <w:sz w:val="21"/>
                <w:szCs w:val="21"/>
              </w:rPr>
            </w:pPr>
            <w:r>
              <w:rPr>
                <w:rFonts w:hint="eastAsia" w:ascii="Times New Roman" w:hAnsi="Times New Roman" w:eastAsia="仿宋_GB2312" w:cs="Times New Roman"/>
                <w:color w:val="000000"/>
                <w:sz w:val="21"/>
                <w:szCs w:val="21"/>
                <w:lang w:bidi="ar"/>
              </w:rPr>
              <w:t>农用地</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128.0026 </w:t>
            </w: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2.4715 </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125.5311 </w:t>
            </w:r>
          </w:p>
        </w:tc>
      </w:tr>
      <w:tr>
        <w:tblPrEx>
          <w:tblCellMar>
            <w:top w:w="0" w:type="dxa"/>
            <w:left w:w="108" w:type="dxa"/>
            <w:bottom w:w="0" w:type="dxa"/>
            <w:right w:w="108" w:type="dxa"/>
          </w:tblCellMar>
        </w:tblPrEx>
        <w:trPr>
          <w:trHeight w:val="495" w:hRule="atLeast"/>
        </w:trPr>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s="Times New Roman"/>
                <w:color w:val="000000"/>
                <w:sz w:val="21"/>
                <w:szCs w:val="21"/>
              </w:rPr>
            </w:pPr>
            <w:r>
              <w:rPr>
                <w:rFonts w:hint="eastAsia" w:ascii="Times New Roman" w:hAnsi="Times New Roman" w:eastAsia="仿宋_GB2312" w:cs="Times New Roman"/>
                <w:color w:val="000000"/>
                <w:sz w:val="21"/>
                <w:szCs w:val="21"/>
                <w:lang w:bidi="ar"/>
              </w:rPr>
              <w:t>其中</w:t>
            </w:r>
          </w:p>
        </w:tc>
        <w:tc>
          <w:tcPr>
            <w:tcW w:w="14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s="Times New Roman"/>
                <w:color w:val="000000"/>
                <w:sz w:val="21"/>
                <w:szCs w:val="21"/>
              </w:rPr>
            </w:pPr>
            <w:r>
              <w:rPr>
                <w:rFonts w:hint="eastAsia" w:ascii="Times New Roman" w:hAnsi="Times New Roman" w:eastAsia="仿宋_GB2312" w:cs="Times New Roman"/>
                <w:color w:val="000000"/>
                <w:sz w:val="21"/>
                <w:szCs w:val="21"/>
                <w:lang w:bidi="ar"/>
              </w:rPr>
              <w:t>耕地</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9.7645 </w:t>
            </w: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0.0810 </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9.6835 </w:t>
            </w:r>
          </w:p>
        </w:tc>
      </w:tr>
      <w:tr>
        <w:tblPrEx>
          <w:tblCellMar>
            <w:top w:w="0" w:type="dxa"/>
            <w:left w:w="108" w:type="dxa"/>
            <w:bottom w:w="0" w:type="dxa"/>
            <w:right w:w="108" w:type="dxa"/>
          </w:tblCellMar>
        </w:tblPrEx>
        <w:trPr>
          <w:trHeight w:val="495"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20"/>
              <w:rPr>
                <w:rFonts w:ascii="Times New Roman" w:hAnsi="Times New Roman" w:eastAsia="仿宋_GB2312" w:cs="Arial"/>
                <w:sz w:val="21"/>
                <w:szCs w:val="21"/>
              </w:rPr>
            </w:pPr>
          </w:p>
        </w:tc>
        <w:tc>
          <w:tcPr>
            <w:tcW w:w="6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s="Times New Roman"/>
                <w:color w:val="000000"/>
                <w:sz w:val="21"/>
                <w:szCs w:val="21"/>
              </w:rPr>
            </w:pPr>
            <w:r>
              <w:rPr>
                <w:rFonts w:hint="eastAsia" w:ascii="Times New Roman" w:hAnsi="Times New Roman" w:eastAsia="仿宋_GB2312" w:cs="Times New Roman"/>
                <w:color w:val="000000"/>
                <w:sz w:val="21"/>
                <w:szCs w:val="21"/>
                <w:lang w:bidi="ar"/>
              </w:rPr>
              <w:t>其中</w:t>
            </w:r>
          </w:p>
        </w:tc>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s="Times New Roman"/>
                <w:color w:val="000000"/>
                <w:sz w:val="21"/>
                <w:szCs w:val="21"/>
              </w:rPr>
            </w:pPr>
            <w:r>
              <w:rPr>
                <w:rFonts w:hint="eastAsia" w:ascii="Times New Roman" w:hAnsi="Times New Roman" w:eastAsia="仿宋_GB2312" w:cs="Times New Roman"/>
                <w:color w:val="000000"/>
                <w:sz w:val="21"/>
                <w:szCs w:val="21"/>
                <w:lang w:bidi="ar"/>
              </w:rPr>
              <w:t>水田</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8.9971 </w:t>
            </w: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0.0003 </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8.9968 </w:t>
            </w:r>
          </w:p>
        </w:tc>
      </w:tr>
      <w:tr>
        <w:tblPrEx>
          <w:tblCellMar>
            <w:top w:w="0" w:type="dxa"/>
            <w:left w:w="108" w:type="dxa"/>
            <w:bottom w:w="0" w:type="dxa"/>
            <w:right w:w="108" w:type="dxa"/>
          </w:tblCellMar>
        </w:tblPrEx>
        <w:trPr>
          <w:trHeight w:val="495"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20"/>
              <w:rPr>
                <w:rFonts w:ascii="Times New Roman" w:hAnsi="Times New Roman" w:eastAsia="仿宋_GB2312" w:cs="Arial"/>
                <w:sz w:val="21"/>
                <w:szCs w:val="21"/>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20"/>
              <w:rPr>
                <w:rFonts w:ascii="Times New Roman" w:hAnsi="Times New Roman" w:eastAsia="仿宋_GB2312" w:cs="Arial"/>
                <w:sz w:val="21"/>
                <w:szCs w:val="21"/>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s="Times New Roman"/>
                <w:color w:val="000000"/>
                <w:sz w:val="21"/>
                <w:szCs w:val="21"/>
              </w:rPr>
            </w:pPr>
            <w:r>
              <w:rPr>
                <w:rFonts w:hint="eastAsia" w:ascii="Times New Roman" w:hAnsi="Times New Roman" w:eastAsia="仿宋_GB2312" w:cs="Times New Roman"/>
                <w:color w:val="000000"/>
                <w:sz w:val="21"/>
                <w:szCs w:val="21"/>
                <w:lang w:bidi="ar"/>
              </w:rPr>
              <w:t>水浇地</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0.4880 </w:t>
            </w: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0.0000 </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0.4880 </w:t>
            </w:r>
          </w:p>
        </w:tc>
      </w:tr>
      <w:tr>
        <w:tblPrEx>
          <w:tblCellMar>
            <w:top w:w="0" w:type="dxa"/>
            <w:left w:w="108" w:type="dxa"/>
            <w:bottom w:w="0" w:type="dxa"/>
            <w:right w:w="108" w:type="dxa"/>
          </w:tblCellMar>
        </w:tblPrEx>
        <w:trPr>
          <w:trHeight w:val="495"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20"/>
              <w:rPr>
                <w:rFonts w:ascii="Times New Roman" w:hAnsi="Times New Roman" w:eastAsia="仿宋_GB2312" w:cs="Arial"/>
                <w:sz w:val="21"/>
                <w:szCs w:val="21"/>
              </w:rPr>
            </w:pPr>
          </w:p>
        </w:tc>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20"/>
              <w:rPr>
                <w:rFonts w:ascii="Times New Roman" w:hAnsi="Times New Roman" w:eastAsia="仿宋_GB2312" w:cs="Arial"/>
                <w:sz w:val="21"/>
                <w:szCs w:val="21"/>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s="Times New Roman"/>
                <w:color w:val="000000"/>
                <w:sz w:val="21"/>
                <w:szCs w:val="21"/>
              </w:rPr>
            </w:pPr>
            <w:r>
              <w:rPr>
                <w:rFonts w:hint="eastAsia" w:ascii="Times New Roman" w:hAnsi="Times New Roman" w:eastAsia="仿宋_GB2312" w:cs="Times New Roman"/>
                <w:color w:val="000000"/>
                <w:sz w:val="21"/>
                <w:szCs w:val="21"/>
                <w:lang w:bidi="ar"/>
              </w:rPr>
              <w:t>旱地</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0.2794 </w:t>
            </w: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0.0807 </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0.1987 </w:t>
            </w:r>
          </w:p>
        </w:tc>
      </w:tr>
      <w:tr>
        <w:tblPrEx>
          <w:tblCellMar>
            <w:top w:w="0" w:type="dxa"/>
            <w:left w:w="108" w:type="dxa"/>
            <w:bottom w:w="0" w:type="dxa"/>
            <w:right w:w="108" w:type="dxa"/>
          </w:tblCellMar>
        </w:tblPrEx>
        <w:trPr>
          <w:trHeight w:val="495"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20"/>
              <w:rPr>
                <w:rFonts w:ascii="Times New Roman" w:hAnsi="Times New Roman" w:eastAsia="仿宋_GB2312" w:cs="Arial"/>
                <w:sz w:val="21"/>
                <w:szCs w:val="21"/>
              </w:rPr>
            </w:pPr>
          </w:p>
        </w:tc>
        <w:tc>
          <w:tcPr>
            <w:tcW w:w="14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s="Times New Roman"/>
                <w:color w:val="000000"/>
                <w:sz w:val="21"/>
                <w:szCs w:val="21"/>
              </w:rPr>
            </w:pPr>
            <w:r>
              <w:rPr>
                <w:rFonts w:hint="eastAsia" w:ascii="Times New Roman" w:hAnsi="Times New Roman" w:eastAsia="仿宋_GB2312" w:cs="Times New Roman"/>
                <w:color w:val="000000"/>
                <w:sz w:val="21"/>
                <w:szCs w:val="21"/>
                <w:lang w:bidi="ar"/>
              </w:rPr>
              <w:t>园地</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58.6654 </w:t>
            </w: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0.3695 </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58.2959 </w:t>
            </w:r>
          </w:p>
        </w:tc>
      </w:tr>
      <w:tr>
        <w:tblPrEx>
          <w:tblCellMar>
            <w:top w:w="0" w:type="dxa"/>
            <w:left w:w="108" w:type="dxa"/>
            <w:bottom w:w="0" w:type="dxa"/>
            <w:right w:w="108" w:type="dxa"/>
          </w:tblCellMar>
        </w:tblPrEx>
        <w:trPr>
          <w:trHeight w:val="495"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20"/>
              <w:rPr>
                <w:rFonts w:ascii="Times New Roman" w:hAnsi="Times New Roman" w:eastAsia="仿宋_GB2312" w:cs="Arial"/>
                <w:sz w:val="21"/>
                <w:szCs w:val="21"/>
              </w:rPr>
            </w:pPr>
          </w:p>
        </w:tc>
        <w:tc>
          <w:tcPr>
            <w:tcW w:w="14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s="Times New Roman"/>
                <w:color w:val="000000"/>
                <w:sz w:val="21"/>
                <w:szCs w:val="21"/>
              </w:rPr>
            </w:pPr>
            <w:r>
              <w:rPr>
                <w:rFonts w:hint="eastAsia" w:ascii="Times New Roman" w:hAnsi="Times New Roman" w:eastAsia="仿宋_GB2312" w:cs="Times New Roman"/>
                <w:color w:val="000000"/>
                <w:sz w:val="21"/>
                <w:szCs w:val="21"/>
                <w:lang w:bidi="ar"/>
              </w:rPr>
              <w:t>林地</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50.9982 </w:t>
            </w: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1.6015 </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49.3967 </w:t>
            </w:r>
          </w:p>
        </w:tc>
      </w:tr>
      <w:tr>
        <w:tblPrEx>
          <w:tblCellMar>
            <w:top w:w="0" w:type="dxa"/>
            <w:left w:w="108" w:type="dxa"/>
            <w:bottom w:w="0" w:type="dxa"/>
            <w:right w:w="108" w:type="dxa"/>
          </w:tblCellMar>
        </w:tblPrEx>
        <w:trPr>
          <w:trHeight w:val="495"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20"/>
              <w:rPr>
                <w:rFonts w:ascii="Times New Roman" w:hAnsi="Times New Roman" w:eastAsia="仿宋_GB2312" w:cs="Arial"/>
                <w:sz w:val="21"/>
                <w:szCs w:val="21"/>
              </w:rPr>
            </w:pPr>
          </w:p>
        </w:tc>
        <w:tc>
          <w:tcPr>
            <w:tcW w:w="14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s="Times New Roman"/>
                <w:color w:val="000000"/>
                <w:sz w:val="21"/>
                <w:szCs w:val="21"/>
              </w:rPr>
            </w:pPr>
            <w:r>
              <w:rPr>
                <w:rFonts w:hint="eastAsia" w:ascii="Times New Roman" w:hAnsi="Times New Roman" w:eastAsia="仿宋_GB2312" w:cs="Times New Roman"/>
                <w:color w:val="000000"/>
                <w:sz w:val="21"/>
                <w:szCs w:val="21"/>
                <w:lang w:bidi="ar"/>
              </w:rPr>
              <w:t>其他农用地</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8.5745 </w:t>
            </w: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0.4195 </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8.1550 </w:t>
            </w:r>
          </w:p>
        </w:tc>
      </w:tr>
      <w:tr>
        <w:tblPrEx>
          <w:tblCellMar>
            <w:top w:w="0" w:type="dxa"/>
            <w:left w:w="108" w:type="dxa"/>
            <w:bottom w:w="0" w:type="dxa"/>
            <w:right w:w="108" w:type="dxa"/>
          </w:tblCellMar>
        </w:tblPrEx>
        <w:trPr>
          <w:trHeight w:val="495" w:hRule="atLeast"/>
        </w:trPr>
        <w:tc>
          <w:tcPr>
            <w:tcW w:w="6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20"/>
              <w:rPr>
                <w:rFonts w:ascii="Times New Roman" w:hAnsi="Times New Roman" w:eastAsia="仿宋_GB2312" w:cs="Arial"/>
                <w:sz w:val="21"/>
                <w:szCs w:val="21"/>
              </w:rPr>
            </w:pPr>
          </w:p>
        </w:tc>
        <w:tc>
          <w:tcPr>
            <w:tcW w:w="14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s="Times New Roman"/>
                <w:color w:val="000000"/>
                <w:sz w:val="21"/>
                <w:szCs w:val="21"/>
              </w:rPr>
            </w:pPr>
            <w:r>
              <w:rPr>
                <w:rFonts w:hint="eastAsia" w:ascii="Times New Roman" w:hAnsi="Times New Roman" w:eastAsia="仿宋_GB2312" w:cs="Times New Roman"/>
                <w:color w:val="000000"/>
                <w:sz w:val="21"/>
                <w:szCs w:val="21"/>
                <w:lang w:bidi="ar"/>
              </w:rPr>
              <w:t>可调整地类</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0.0000 </w:t>
            </w: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0.0000 </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0.0000 </w:t>
            </w:r>
          </w:p>
        </w:tc>
      </w:tr>
      <w:tr>
        <w:tblPrEx>
          <w:tblCellMar>
            <w:top w:w="0" w:type="dxa"/>
            <w:left w:w="108" w:type="dxa"/>
            <w:bottom w:w="0" w:type="dxa"/>
            <w:right w:w="108" w:type="dxa"/>
          </w:tblCellMar>
        </w:tblPrEx>
        <w:trPr>
          <w:trHeight w:val="495" w:hRule="atLeast"/>
        </w:trPr>
        <w:tc>
          <w:tcPr>
            <w:tcW w:w="203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s="Times New Roman"/>
                <w:color w:val="000000"/>
                <w:sz w:val="21"/>
                <w:szCs w:val="21"/>
              </w:rPr>
            </w:pPr>
            <w:r>
              <w:rPr>
                <w:rFonts w:hint="eastAsia" w:ascii="Times New Roman" w:hAnsi="Times New Roman" w:eastAsia="仿宋_GB2312" w:cs="Times New Roman"/>
                <w:color w:val="000000"/>
                <w:sz w:val="21"/>
                <w:szCs w:val="21"/>
                <w:lang w:bidi="ar"/>
              </w:rPr>
              <w:t>建设用地</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31.7696 </w:t>
            </w: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13.4963 </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18.2733 </w:t>
            </w:r>
          </w:p>
        </w:tc>
      </w:tr>
      <w:tr>
        <w:tblPrEx>
          <w:tblCellMar>
            <w:top w:w="0" w:type="dxa"/>
            <w:left w:w="108" w:type="dxa"/>
            <w:bottom w:w="0" w:type="dxa"/>
            <w:right w:w="108" w:type="dxa"/>
          </w:tblCellMar>
        </w:tblPrEx>
        <w:trPr>
          <w:trHeight w:val="495" w:hRule="atLeast"/>
        </w:trPr>
        <w:tc>
          <w:tcPr>
            <w:tcW w:w="203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imes New Roman" w:hAnsi="Times New Roman" w:eastAsia="仿宋_GB2312" w:cs="Times New Roman"/>
                <w:color w:val="000000"/>
                <w:sz w:val="21"/>
                <w:szCs w:val="21"/>
              </w:rPr>
            </w:pPr>
            <w:r>
              <w:rPr>
                <w:rFonts w:hint="eastAsia" w:ascii="Times New Roman" w:hAnsi="Times New Roman" w:eastAsia="仿宋_GB2312" w:cs="Times New Roman"/>
                <w:color w:val="000000"/>
                <w:sz w:val="21"/>
                <w:szCs w:val="21"/>
                <w:lang w:bidi="ar"/>
              </w:rPr>
              <w:t>未利用地</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7.7533 </w:t>
            </w: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0.5866 </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440" w:firstLineChars="200"/>
              <w:jc w:val="center"/>
              <w:textAlignment w:val="center"/>
              <w:rPr>
                <w:rFonts w:ascii="Times New Roman" w:hAnsi="Times New Roman" w:eastAsia="仿宋_GB2312" w:cs="Times New Roman"/>
                <w:b w:val="0"/>
                <w:bCs w:val="0"/>
                <w:color w:val="000000"/>
                <w:sz w:val="21"/>
                <w:szCs w:val="21"/>
              </w:rPr>
            </w:pPr>
            <w:r>
              <w:rPr>
                <w:rFonts w:hint="eastAsia" w:ascii="Times New Roman" w:hAnsi="Times New Roman" w:eastAsia="仿宋_GB2312" w:cs="宋体"/>
                <w:b w:val="0"/>
                <w:bCs w:val="0"/>
                <w:i w:val="0"/>
                <w:iCs w:val="0"/>
                <w:color w:val="000000"/>
                <w:kern w:val="0"/>
                <w:sz w:val="22"/>
                <w:szCs w:val="22"/>
                <w:u w:val="none"/>
                <w:lang w:val="en-US" w:eastAsia="zh-CN" w:bidi="ar"/>
              </w:rPr>
              <w:t xml:space="preserve">7.1667 </w:t>
            </w:r>
          </w:p>
        </w:tc>
      </w:tr>
    </w:tbl>
    <w:p>
      <w:pPr>
        <w:pStyle w:val="2"/>
        <w:ind w:firstLine="0" w:firstLineChars="0"/>
        <w:jc w:val="both"/>
        <w:rPr>
          <w:sz w:val="24"/>
          <w:szCs w:val="21"/>
        </w:rPr>
      </w:pPr>
    </w:p>
    <w:p>
      <w:pPr>
        <w:pStyle w:val="5"/>
        <w:numPr>
          <w:ilvl w:val="0"/>
          <w:numId w:val="11"/>
        </w:numPr>
      </w:pPr>
      <w:r>
        <w:rPr>
          <w:rFonts w:hint="eastAsia"/>
        </w:rPr>
        <w:t>成片开发范围土地权属情况</w:t>
      </w:r>
    </w:p>
    <w:p>
      <w:pPr>
        <w:widowControl/>
        <w:ind w:firstLine="560"/>
      </w:pPr>
      <w:r>
        <w:rPr>
          <w:rFonts w:hint="eastAsia"/>
        </w:rPr>
        <w:t>根据河源市源城区农村集体土地所有权登记发证成果数据，调整后</w:t>
      </w:r>
      <w:r>
        <w:rPr>
          <w:rFonts w:hint="eastAsia"/>
          <w:lang w:bidi="ar"/>
        </w:rPr>
        <w:t>源城区</w:t>
      </w:r>
      <w:r>
        <w:rPr>
          <w:lang w:bidi="ar"/>
        </w:rPr>
        <w:t>2021</w:t>
      </w:r>
      <w:r>
        <w:rPr>
          <w:rFonts w:hint="eastAsia"/>
          <w:lang w:bidi="ar"/>
        </w:rPr>
        <w:t>年度土地征收成片开发范围涉及国有土地</w:t>
      </w:r>
      <w:r>
        <w:rPr>
          <w:lang w:bidi="ar"/>
        </w:rPr>
        <w:t>16.5544</w:t>
      </w:r>
      <w:r>
        <w:rPr>
          <w:rFonts w:hint="eastAsia"/>
          <w:lang w:bidi="ar"/>
        </w:rPr>
        <w:t>公顷，集体土地</w:t>
      </w:r>
      <w:r>
        <w:rPr>
          <w:lang w:bidi="ar"/>
        </w:rPr>
        <w:t>1</w:t>
      </w:r>
      <w:r>
        <w:rPr>
          <w:rFonts w:hint="eastAsia"/>
          <w:lang w:val="en-US" w:eastAsia="zh-CN" w:bidi="ar"/>
        </w:rPr>
        <w:t>50.9711</w:t>
      </w:r>
      <w:r>
        <w:rPr>
          <w:rFonts w:hint="eastAsia"/>
          <w:lang w:bidi="ar"/>
        </w:rPr>
        <w:t>公顷</w:t>
      </w:r>
      <w:r>
        <w:rPr>
          <w:rFonts w:hint="eastAsia"/>
        </w:rPr>
        <w:t>。涉及的农村集体经济组织情况详见下表：</w:t>
      </w:r>
    </w:p>
    <w:p>
      <w:pPr>
        <w:ind w:firstLine="480"/>
        <w:jc w:val="center"/>
        <w:rPr>
          <w:sz w:val="24"/>
          <w:szCs w:val="21"/>
        </w:rPr>
      </w:pPr>
      <w:r>
        <w:rPr>
          <w:rFonts w:hint="eastAsia"/>
          <w:sz w:val="24"/>
          <w:szCs w:val="21"/>
        </w:rPr>
        <w:t>表 2-9 成片开发范围内农村集体经济组织土地权属信息表</w:t>
      </w:r>
    </w:p>
    <w:p>
      <w:pPr>
        <w:spacing w:line="240" w:lineRule="auto"/>
        <w:ind w:firstLine="0" w:firstLineChars="0"/>
        <w:jc w:val="right"/>
      </w:pPr>
      <w:r>
        <w:rPr>
          <w:rFonts w:hint="eastAsia" w:cs="仿宋_GB2312"/>
          <w:kern w:val="2"/>
          <w:sz w:val="21"/>
          <w:szCs w:val="24"/>
          <w:lang w:bidi="ar"/>
        </w:rPr>
        <w:t>单位：公顷</w:t>
      </w:r>
    </w:p>
    <w:tbl>
      <w:tblPr>
        <w:tblStyle w:val="18"/>
        <w:tblW w:w="0" w:type="auto"/>
        <w:tblInd w:w="0" w:type="dxa"/>
        <w:tblLayout w:type="autofit"/>
        <w:tblCellMar>
          <w:top w:w="0" w:type="dxa"/>
          <w:left w:w="108" w:type="dxa"/>
          <w:bottom w:w="0" w:type="dxa"/>
          <w:right w:w="108" w:type="dxa"/>
        </w:tblCellMar>
      </w:tblPr>
      <w:tblGrid>
        <w:gridCol w:w="638"/>
        <w:gridCol w:w="7884"/>
      </w:tblGrid>
      <w:tr>
        <w:tblPrEx>
          <w:tblCellMar>
            <w:top w:w="0" w:type="dxa"/>
            <w:left w:w="108" w:type="dxa"/>
            <w:bottom w:w="0" w:type="dxa"/>
            <w:right w:w="108" w:type="dxa"/>
          </w:tblCellMar>
        </w:tblPrEx>
        <w:trPr>
          <w:trHeight w:val="270"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b/>
                <w:bCs/>
                <w:color w:val="000000"/>
                <w:sz w:val="21"/>
                <w:szCs w:val="21"/>
              </w:rPr>
            </w:pPr>
            <w:r>
              <w:rPr>
                <w:rFonts w:hint="eastAsia" w:cs="Times New Roman"/>
                <w:b/>
                <w:bCs/>
                <w:color w:val="000000"/>
                <w:sz w:val="21"/>
                <w:szCs w:val="21"/>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Times New Roman"/>
                <w:b/>
                <w:bCs/>
                <w:color w:val="000000"/>
                <w:sz w:val="21"/>
                <w:szCs w:val="21"/>
              </w:rPr>
            </w:pPr>
            <w:r>
              <w:rPr>
                <w:rFonts w:hint="eastAsia" w:cs="Times New Roman"/>
                <w:b/>
                <w:bCs/>
                <w:color w:val="000000"/>
                <w:sz w:val="21"/>
                <w:szCs w:val="21"/>
                <w:lang w:bidi="ar"/>
              </w:rPr>
              <w:t>权利人名称</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21"/>
                <w:szCs w:val="21"/>
              </w:rPr>
            </w:pPr>
            <w:r>
              <w:rPr>
                <w:rFonts w:cs="Times New Roman"/>
                <w:color w:val="000000"/>
                <w:sz w:val="21"/>
                <w:szCs w:val="21"/>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Times New Roman"/>
                <w:color w:val="000000"/>
                <w:sz w:val="21"/>
                <w:szCs w:val="21"/>
              </w:rPr>
            </w:pPr>
            <w:r>
              <w:rPr>
                <w:rFonts w:hint="eastAsia" w:cs="Times New Roman"/>
                <w:color w:val="000000"/>
                <w:sz w:val="21"/>
                <w:szCs w:val="21"/>
                <w:lang w:bidi="ar"/>
              </w:rPr>
              <w:t>河源市源城区城东街道办事处胜利村麻竹窝经济合作社农民集体</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21"/>
                <w:szCs w:val="21"/>
              </w:rPr>
            </w:pPr>
            <w:r>
              <w:rPr>
                <w:rFonts w:cs="Times New Roman"/>
                <w:color w:val="000000"/>
                <w:sz w:val="21"/>
                <w:szCs w:val="21"/>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Times New Roman"/>
                <w:color w:val="000000"/>
                <w:sz w:val="21"/>
                <w:szCs w:val="21"/>
              </w:rPr>
            </w:pPr>
            <w:r>
              <w:rPr>
                <w:rFonts w:hint="eastAsia" w:cs="Times New Roman"/>
                <w:color w:val="000000"/>
                <w:sz w:val="21"/>
                <w:szCs w:val="21"/>
                <w:lang w:bidi="ar"/>
              </w:rPr>
              <w:t>河源市源城区埔前镇陂角经济联合社农民集体</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21"/>
                <w:szCs w:val="21"/>
              </w:rPr>
            </w:pPr>
            <w:r>
              <w:rPr>
                <w:rFonts w:cs="Times New Roman"/>
                <w:color w:val="000000"/>
                <w:sz w:val="21"/>
                <w:szCs w:val="21"/>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Times New Roman"/>
                <w:color w:val="000000"/>
                <w:sz w:val="21"/>
                <w:szCs w:val="21"/>
              </w:rPr>
            </w:pPr>
            <w:r>
              <w:rPr>
                <w:rFonts w:hint="eastAsia" w:cs="Times New Roman"/>
                <w:color w:val="000000"/>
                <w:sz w:val="21"/>
                <w:szCs w:val="21"/>
                <w:lang w:bidi="ar"/>
              </w:rPr>
              <w:t>河源市源城区埔前镇高围经济联合社农民集体</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21"/>
                <w:szCs w:val="21"/>
              </w:rPr>
            </w:pPr>
            <w:r>
              <w:rPr>
                <w:rFonts w:cs="Times New Roman"/>
                <w:color w:val="000000"/>
                <w:sz w:val="21"/>
                <w:szCs w:val="21"/>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Times New Roman"/>
                <w:color w:val="000000"/>
                <w:sz w:val="21"/>
                <w:szCs w:val="21"/>
              </w:rPr>
            </w:pPr>
            <w:r>
              <w:rPr>
                <w:rFonts w:hint="eastAsia" w:cs="Times New Roman"/>
                <w:color w:val="000000"/>
                <w:sz w:val="21"/>
                <w:szCs w:val="21"/>
                <w:lang w:bidi="ar"/>
              </w:rPr>
              <w:t>河源市源城区埔前镇河背村经济联合社农民集体</w:t>
            </w:r>
          </w:p>
        </w:tc>
      </w:tr>
      <w:tr>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21"/>
                <w:szCs w:val="21"/>
              </w:rPr>
            </w:pPr>
            <w:r>
              <w:rPr>
                <w:rFonts w:cs="Times New Roman"/>
                <w:color w:val="000000"/>
                <w:sz w:val="21"/>
                <w:szCs w:val="21"/>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Times New Roman"/>
                <w:color w:val="000000"/>
                <w:sz w:val="21"/>
                <w:szCs w:val="21"/>
              </w:rPr>
            </w:pPr>
            <w:r>
              <w:rPr>
                <w:rFonts w:hint="eastAsia" w:cs="Times New Roman"/>
                <w:color w:val="000000"/>
                <w:sz w:val="21"/>
                <w:szCs w:val="21"/>
                <w:lang w:bidi="ar"/>
              </w:rPr>
              <w:t>河源市源城区埔前镇河背村上下罗信记经济合作社、河背村上下罗富记经济合作社、河背村上下罗经济合作社共有</w:t>
            </w:r>
          </w:p>
        </w:tc>
      </w:tr>
      <w:tr>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21"/>
                <w:szCs w:val="21"/>
              </w:rPr>
            </w:pPr>
            <w:r>
              <w:rPr>
                <w:rFonts w:cs="Times New Roman"/>
                <w:color w:val="000000"/>
                <w:sz w:val="21"/>
                <w:szCs w:val="21"/>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Times New Roman"/>
                <w:color w:val="000000"/>
                <w:sz w:val="21"/>
                <w:szCs w:val="21"/>
              </w:rPr>
            </w:pPr>
            <w:r>
              <w:rPr>
                <w:rFonts w:hint="eastAsia" w:cs="Times New Roman"/>
                <w:color w:val="000000"/>
                <w:sz w:val="21"/>
                <w:szCs w:val="21"/>
                <w:lang w:bidi="ar"/>
              </w:rPr>
              <w:t>河源市源城区埔前镇岭背坑新星新村经济合作社、岭背坑新村经济合作社、河背村古岭头新村经济合作社共有</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21"/>
                <w:szCs w:val="21"/>
              </w:rPr>
            </w:pPr>
            <w:r>
              <w:rPr>
                <w:rFonts w:cs="Times New Roman"/>
                <w:color w:val="000000"/>
                <w:sz w:val="21"/>
                <w:szCs w:val="21"/>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Times New Roman"/>
                <w:color w:val="000000"/>
                <w:sz w:val="21"/>
                <w:szCs w:val="21"/>
              </w:rPr>
            </w:pPr>
            <w:r>
              <w:rPr>
                <w:rFonts w:hint="eastAsia" w:cs="Times New Roman"/>
                <w:color w:val="000000"/>
                <w:sz w:val="21"/>
                <w:szCs w:val="21"/>
                <w:lang w:bidi="ar"/>
              </w:rPr>
              <w:t>河源市源城区埔前镇罗塘村围园经济合作社等四个农民集体共有</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21"/>
                <w:szCs w:val="21"/>
              </w:rPr>
            </w:pPr>
            <w:r>
              <w:rPr>
                <w:rFonts w:cs="Times New Roman"/>
                <w:color w:val="000000"/>
                <w:sz w:val="21"/>
                <w:szCs w:val="21"/>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Times New Roman"/>
                <w:color w:val="000000"/>
                <w:sz w:val="21"/>
                <w:szCs w:val="21"/>
              </w:rPr>
            </w:pPr>
            <w:r>
              <w:rPr>
                <w:rFonts w:hint="eastAsia" w:cs="Times New Roman"/>
                <w:color w:val="000000"/>
                <w:sz w:val="21"/>
                <w:szCs w:val="21"/>
                <w:lang w:bidi="ar"/>
              </w:rPr>
              <w:t>河源市源城区埔前镇泥金村天湖经济合作社、泥金村茶湖经济合作社共有</w:t>
            </w:r>
          </w:p>
        </w:tc>
      </w:tr>
      <w:tr>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eastAsia="仿宋_GB2312" w:cs="Times New Roman"/>
                <w:color w:val="000000"/>
                <w:sz w:val="21"/>
                <w:szCs w:val="21"/>
                <w:lang w:eastAsia="zh-CN"/>
              </w:rPr>
            </w:pPr>
            <w:r>
              <w:rPr>
                <w:rFonts w:hint="eastAsia" w:cs="Times New Roman"/>
                <w:color w:val="000000"/>
                <w:sz w:val="21"/>
                <w:szCs w:val="21"/>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Times New Roman"/>
                <w:color w:val="000000"/>
                <w:sz w:val="21"/>
                <w:szCs w:val="21"/>
              </w:rPr>
            </w:pPr>
            <w:r>
              <w:rPr>
                <w:rFonts w:hint="eastAsia" w:cs="Times New Roman"/>
                <w:color w:val="000000"/>
                <w:sz w:val="21"/>
                <w:szCs w:val="21"/>
                <w:lang w:bidi="ar"/>
              </w:rPr>
              <w:t>河源市源城区源南镇双下村第二十队经济合作社、双下村第十九队经济合作社、双下村第十八队经济合作社共有</w:t>
            </w:r>
          </w:p>
        </w:tc>
      </w:tr>
      <w:tr>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eastAsia="仿宋_GB2312" w:cs="Times New Roman"/>
                <w:color w:val="000000"/>
                <w:sz w:val="21"/>
                <w:szCs w:val="21"/>
                <w:lang w:val="en-US" w:eastAsia="zh-CN"/>
              </w:rPr>
            </w:pPr>
            <w:r>
              <w:rPr>
                <w:rFonts w:hint="eastAsia" w:cs="Times New Roman"/>
                <w:color w:val="000000"/>
                <w:sz w:val="21"/>
                <w:szCs w:val="21"/>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Times New Roman"/>
                <w:color w:val="000000"/>
                <w:sz w:val="21"/>
                <w:szCs w:val="21"/>
              </w:rPr>
            </w:pPr>
            <w:r>
              <w:rPr>
                <w:rFonts w:hint="eastAsia" w:cs="Times New Roman"/>
                <w:color w:val="000000"/>
                <w:sz w:val="21"/>
                <w:szCs w:val="21"/>
                <w:lang w:bidi="ar"/>
              </w:rPr>
              <w:t>河源市源城区源南镇双下村第二十一队经济合作社、双下村第二十二队经济合作社、双下村第十七队经济合作社共有</w:t>
            </w:r>
          </w:p>
        </w:tc>
      </w:tr>
      <w:tr>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eastAsia="仿宋_GB2312" w:cs="Times New Roman"/>
                <w:color w:val="000000"/>
                <w:sz w:val="21"/>
                <w:szCs w:val="21"/>
                <w:lang w:val="en-US" w:eastAsia="zh-CN"/>
              </w:rPr>
            </w:pPr>
            <w:r>
              <w:rPr>
                <w:rFonts w:hint="eastAsia" w:cs="Times New Roman"/>
                <w:color w:val="000000"/>
                <w:sz w:val="21"/>
                <w:szCs w:val="21"/>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Times New Roman"/>
                <w:color w:val="000000"/>
                <w:sz w:val="21"/>
                <w:szCs w:val="21"/>
              </w:rPr>
            </w:pPr>
            <w:r>
              <w:rPr>
                <w:rFonts w:hint="eastAsia" w:cs="Times New Roman"/>
                <w:color w:val="000000"/>
                <w:sz w:val="21"/>
                <w:szCs w:val="21"/>
                <w:lang w:bidi="ar"/>
              </w:rPr>
              <w:t>河源市源城区源南镇双下村第九队经济合作社、双下村第二十五队经济合作社、双下村第二十四队经济合作社、双下村第十一队经济合作社、双下村第十队经济合作社共有</w:t>
            </w:r>
          </w:p>
        </w:tc>
      </w:tr>
      <w:tr>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eastAsia="仿宋_GB2312" w:cs="Times New Roman"/>
                <w:color w:val="000000"/>
                <w:sz w:val="21"/>
                <w:szCs w:val="21"/>
                <w:lang w:val="en-US" w:eastAsia="zh-CN"/>
              </w:rPr>
            </w:pPr>
            <w:r>
              <w:rPr>
                <w:rFonts w:hint="eastAsia" w:cs="Times New Roman"/>
                <w:color w:val="000000"/>
                <w:sz w:val="21"/>
                <w:szCs w:val="21"/>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Times New Roman"/>
                <w:color w:val="000000"/>
                <w:sz w:val="21"/>
                <w:szCs w:val="21"/>
              </w:rPr>
            </w:pPr>
            <w:r>
              <w:rPr>
                <w:rFonts w:hint="eastAsia" w:cs="Times New Roman"/>
                <w:color w:val="000000"/>
                <w:sz w:val="21"/>
                <w:szCs w:val="21"/>
                <w:lang w:bidi="ar"/>
              </w:rPr>
              <w:t>河源市源城区源南镇双下村第七队经济合作社、双下村第五队经济合作社、双下村第八队经济合作社、双下村第六队经济合作社共有</w:t>
            </w:r>
          </w:p>
        </w:tc>
      </w:tr>
      <w:tr>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eastAsia="仿宋_GB2312" w:cs="Times New Roman"/>
                <w:color w:val="000000"/>
                <w:sz w:val="21"/>
                <w:szCs w:val="21"/>
                <w:lang w:val="en-US" w:eastAsia="zh-CN"/>
              </w:rPr>
            </w:pPr>
            <w:r>
              <w:rPr>
                <w:rFonts w:hint="eastAsia" w:cs="Times New Roman"/>
                <w:color w:val="000000"/>
                <w:sz w:val="21"/>
                <w:szCs w:val="21"/>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Times New Roman"/>
                <w:color w:val="000000"/>
                <w:sz w:val="21"/>
                <w:szCs w:val="21"/>
              </w:rPr>
            </w:pPr>
            <w:r>
              <w:rPr>
                <w:rFonts w:hint="eastAsia" w:cs="Times New Roman"/>
                <w:color w:val="000000"/>
                <w:sz w:val="21"/>
                <w:szCs w:val="21"/>
                <w:lang w:bidi="ar"/>
              </w:rPr>
              <w:t>河源市源城区源南镇双下村第十三队经济合作社、双下村第十二队经济合作社、双下村第十五队经济合作社、双下村第十六队经济合作社、双下村第十四队经济合作社共有</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eastAsia="仿宋_GB2312" w:cs="Times New Roman"/>
                <w:color w:val="000000"/>
                <w:sz w:val="21"/>
                <w:szCs w:val="21"/>
                <w:lang w:val="en-US" w:eastAsia="zh-CN"/>
              </w:rPr>
            </w:pPr>
            <w:r>
              <w:rPr>
                <w:rFonts w:hint="eastAsia" w:cs="Times New Roman"/>
                <w:color w:val="000000"/>
                <w:sz w:val="21"/>
                <w:szCs w:val="21"/>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Times New Roman"/>
                <w:color w:val="000000"/>
                <w:sz w:val="21"/>
                <w:szCs w:val="21"/>
              </w:rPr>
            </w:pPr>
            <w:r>
              <w:rPr>
                <w:rFonts w:hint="eastAsia" w:cs="Times New Roman"/>
                <w:color w:val="000000"/>
                <w:sz w:val="21"/>
                <w:szCs w:val="21"/>
                <w:lang w:bidi="ar"/>
              </w:rPr>
              <w:t>河源市源城区源南镇双下经济联合社农民集体</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eastAsia="仿宋_GB2312" w:cs="Times New Roman"/>
                <w:color w:val="000000"/>
                <w:sz w:val="21"/>
                <w:szCs w:val="21"/>
                <w:lang w:val="en-US" w:eastAsia="zh-CN"/>
              </w:rPr>
            </w:pPr>
            <w:r>
              <w:rPr>
                <w:rFonts w:hint="eastAsia" w:cs="Times New Roman"/>
                <w:color w:val="000000"/>
                <w:sz w:val="21"/>
                <w:szCs w:val="21"/>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Times New Roman"/>
                <w:color w:val="000000"/>
                <w:sz w:val="21"/>
                <w:szCs w:val="21"/>
              </w:rPr>
            </w:pPr>
            <w:r>
              <w:rPr>
                <w:rFonts w:hint="eastAsia" w:cs="Times New Roman"/>
                <w:color w:val="000000"/>
                <w:sz w:val="21"/>
                <w:szCs w:val="21"/>
                <w:lang w:bidi="ar"/>
              </w:rPr>
              <w:t>源城区埔前镇杨子坑村深潭队经济合作社农民集体</w:t>
            </w:r>
          </w:p>
        </w:tc>
      </w:tr>
    </w:tbl>
    <w:p>
      <w:pPr>
        <w:pStyle w:val="2"/>
        <w:ind w:firstLine="560"/>
        <w:sectPr>
          <w:headerReference r:id="rId9" w:type="first"/>
          <w:footerReference r:id="rId11" w:type="first"/>
          <w:footerReference r:id="rId10" w:type="default"/>
          <w:pgSz w:w="11906" w:h="16838"/>
          <w:pgMar w:top="1440" w:right="1800" w:bottom="1440" w:left="1800" w:header="851" w:footer="992" w:gutter="0"/>
          <w:pgNumType w:start="1"/>
          <w:cols w:space="425" w:num="1"/>
          <w:titlePg/>
          <w:docGrid w:type="lines" w:linePitch="312" w:charSpace="0"/>
        </w:sectPr>
      </w:pPr>
    </w:p>
    <w:p>
      <w:pPr>
        <w:pStyle w:val="3"/>
        <w:numPr>
          <w:ilvl w:val="0"/>
          <w:numId w:val="1"/>
        </w:numPr>
        <w:ind w:left="0" w:right="0" w:firstLine="0" w:firstLineChars="0"/>
      </w:pPr>
      <w:bookmarkStart w:id="11" w:name="_Toc20891"/>
      <w:r>
        <w:rPr>
          <w:rFonts w:hint="eastAsia"/>
        </w:rPr>
        <w:t>必要性分析</w:t>
      </w:r>
      <w:bookmarkEnd w:id="11"/>
    </w:p>
    <w:p>
      <w:pPr>
        <w:pStyle w:val="4"/>
        <w:numPr>
          <w:ilvl w:val="0"/>
          <w:numId w:val="12"/>
        </w:numPr>
      </w:pPr>
      <w:bookmarkStart w:id="12" w:name="_Toc1481"/>
      <w:r>
        <w:rPr>
          <w:rFonts w:hint="eastAsia"/>
        </w:rPr>
        <w:t>保障落实“融湾”“融深”发展策略</w:t>
      </w:r>
      <w:bookmarkEnd w:id="12"/>
    </w:p>
    <w:p>
      <w:pPr>
        <w:ind w:firstLine="560"/>
      </w:pPr>
      <w:r>
        <w:rPr>
          <w:rFonts w:hint="eastAsia"/>
        </w:rPr>
        <w:t>“十四五”时期，源城区将持之以恒落实省委“</w:t>
      </w:r>
      <w:r>
        <w:t>1+1+9</w:t>
      </w:r>
      <w:r>
        <w:rPr>
          <w:rFonts w:hint="eastAsia"/>
        </w:rPr>
        <w:t>”工作部署和河源市委工作安排，坚持以“融湾”为纲、“融深”为牵引，在产业链条、规则体系、发展平台、经贸网络等方面与粤港澳大湾区深度对接联通，使源城成为承接大湾区功能疏解的承载地、对接粤港澳大湾区的门户窗口。加快建设现代化经济体系，打造河源市生态经济发展新标杆和新发展格局战略支点，打造河源市综合枢纽和发展引擎，在“示范区”“排头兵”建设中发挥示范引领作用。</w:t>
      </w:r>
      <w:bookmarkStart w:id="13" w:name="_Hlk85055245"/>
      <w:r>
        <w:rPr>
          <w:rFonts w:hint="eastAsia"/>
        </w:rPr>
        <w:t>立足源城区资源禀赋及区位优势，积极用好政策引导市场机制和深圳河源对口帮扶机制，建好河源市高新技术开发区、江东新区、河源鹏城科技生态园，加快各产业平台规划建设。以对接“双区”产业分工体系、资源配置体系为主渠道，对接“双区”龙头企业特别是“链主”企业，形成与“双区”紧密衔接、互为支撑的产业分工合作关系。</w:t>
      </w:r>
      <w:bookmarkEnd w:id="13"/>
    </w:p>
    <w:p>
      <w:pPr>
        <w:ind w:firstLine="560"/>
      </w:pPr>
      <w:r>
        <w:rPr>
          <w:rFonts w:hint="eastAsia"/>
        </w:rPr>
        <w:t>保障落实皓吉达、紫泉饮料等重点产业项目落地，推进怡宝项目、工业园三期项目征地及用地报批工作，是落实保障重要产业平台建设，保障先进制造业、战略性新兴产业发展空间的需求。通过成片开发建 设优质的产业空间，为珠三角地区转移产业提供支撑平台，推动源城经济社会发展搭上快车，当好建设幸福和谐美丽河源主力军。</w:t>
      </w:r>
    </w:p>
    <w:p>
      <w:pPr>
        <w:pStyle w:val="4"/>
        <w:numPr>
          <w:ilvl w:val="0"/>
          <w:numId w:val="12"/>
        </w:numPr>
      </w:pPr>
      <w:bookmarkStart w:id="14" w:name="_Toc12795"/>
      <w:r>
        <w:rPr>
          <w:rFonts w:hint="eastAsia"/>
        </w:rPr>
        <w:t>促进基础设施建设和产业升级的重要举措</w:t>
      </w:r>
      <w:bookmarkEnd w:id="14"/>
    </w:p>
    <w:p>
      <w:pPr>
        <w:ind w:firstLine="560"/>
      </w:pPr>
      <w:r>
        <w:t>在新一轮科技革命和产业变革中，信息技术领域不断迭代更新必 将推动世界产业和科技的蛻变。源城区将布局建设5G产业园等新一代信息技术产业项目，推动河源加快转型升级，提升产业发展水平。土地征收成片开发是进一步落实5G产业园用地布局、保障工业园第五期扩园用地需求的必经之路，是不断完善工业园基础设施和公共服务设施建设、促进产业转型升级的重要举措。</w:t>
      </w:r>
    </w:p>
    <w:p>
      <w:pPr>
        <w:pStyle w:val="4"/>
        <w:numPr>
          <w:ilvl w:val="0"/>
          <w:numId w:val="12"/>
        </w:numPr>
      </w:pPr>
      <w:bookmarkStart w:id="15" w:name="_Toc27878"/>
      <w:r>
        <w:rPr>
          <w:rFonts w:hint="eastAsia"/>
        </w:rPr>
        <w:t>构建城市发展新空间格局的重要举措</w:t>
      </w:r>
      <w:bookmarkEnd w:id="15"/>
    </w:p>
    <w:p>
      <w:pPr>
        <w:ind w:firstLine="560"/>
      </w:pPr>
      <w:bookmarkStart w:id="16" w:name="_Hlk84929541"/>
      <w:r>
        <w:rPr>
          <w:rFonts w:hint="eastAsia"/>
        </w:rPr>
        <w:t>“十四五”时期，源城将推进中心城区南部埔前镇、源南镇、高埔岗街道和区工业园产城融合、绿色发展，构建城市发展新空间格局。积极对接“双区”、融入市区，强化区域交通联系，配合“三桥十路”等市政设施建设，加快打通“动脉血管”，完善与市产业高质量发展功能平台、城市高质量发展区域平台的通道，实现内优外联。推动新型工业化、信息化、城镇化、农业现代化同步发展，推进旅游业提质发展，打造“双区”现代产业延伸区和现代产业新城。围绕城市扩容、产业发展，抓好紫泉饮料项目、皓吉达项目、怡宝项目、城区工业园第三期扩园等重大项目规划建设，打造河源新“城市客厅”和都市经济新引擎，建设都市经济发展示范窗口。</w:t>
      </w:r>
      <w:bookmarkEnd w:id="16"/>
    </w:p>
    <w:p>
      <w:pPr>
        <w:ind w:firstLine="560"/>
      </w:pPr>
      <w:r>
        <w:br w:type="page"/>
      </w:r>
    </w:p>
    <w:p>
      <w:pPr>
        <w:pStyle w:val="2"/>
        <w:ind w:firstLine="560"/>
        <w:sectPr>
          <w:pgSz w:w="11906" w:h="16838"/>
          <w:pgMar w:top="1440" w:right="1800" w:bottom="1440" w:left="1800" w:header="851" w:footer="992" w:gutter="0"/>
          <w:cols w:space="425" w:num="1"/>
          <w:titlePg/>
          <w:docGrid w:type="lines" w:linePitch="312" w:charSpace="0"/>
        </w:sectPr>
      </w:pPr>
    </w:p>
    <w:p>
      <w:pPr>
        <w:pStyle w:val="3"/>
        <w:numPr>
          <w:ilvl w:val="0"/>
          <w:numId w:val="1"/>
        </w:numPr>
        <w:ind w:left="0" w:right="0" w:firstLine="0" w:firstLineChars="0"/>
      </w:pPr>
      <w:bookmarkStart w:id="17" w:name="_Toc28820"/>
      <w:r>
        <w:rPr>
          <w:rFonts w:hint="eastAsia"/>
        </w:rPr>
        <w:t>可行性分析</w:t>
      </w:r>
      <w:bookmarkEnd w:id="17"/>
    </w:p>
    <w:p>
      <w:pPr>
        <w:pStyle w:val="4"/>
        <w:numPr>
          <w:ilvl w:val="0"/>
          <w:numId w:val="13"/>
        </w:numPr>
      </w:pPr>
      <w:bookmarkStart w:id="18" w:name="_Toc12138"/>
      <w:r>
        <w:rPr>
          <w:rFonts w:hint="eastAsia" w:cs="宋体"/>
        </w:rPr>
        <w:t>与相关规划符合性分析</w:t>
      </w:r>
      <w:bookmarkEnd w:id="18"/>
    </w:p>
    <w:p>
      <w:pPr>
        <w:pStyle w:val="5"/>
        <w:numPr>
          <w:ilvl w:val="0"/>
          <w:numId w:val="14"/>
        </w:numPr>
      </w:pPr>
      <w:r>
        <w:rPr>
          <w:rFonts w:hint="eastAsia"/>
        </w:rPr>
        <w:t>与国民经济和社会发展规划衔接情况</w:t>
      </w:r>
    </w:p>
    <w:p>
      <w:pPr>
        <w:ind w:firstLine="560"/>
      </w:pPr>
      <w:r>
        <w:rPr>
          <w:rFonts w:hint="eastAsia"/>
        </w:rPr>
        <w:t>调整后，</w:t>
      </w:r>
      <w:r>
        <w:rPr>
          <w:rFonts w:cs="Times New Roman"/>
          <w:szCs w:val="28"/>
        </w:rPr>
        <w:t>河源市源城区2021年度土地征收成片开发方案</w:t>
      </w:r>
      <w:r>
        <w:rPr>
          <w:rFonts w:hint="eastAsia"/>
        </w:rPr>
        <w:t>与《河源市源城区国民经济和社会发展第十四个五年规划和</w:t>
      </w:r>
      <w:r>
        <w:t>2035</w:t>
      </w:r>
      <w:r>
        <w:rPr>
          <w:rFonts w:hint="eastAsia"/>
        </w:rPr>
        <w:t>年远景目标纲要》、《河源市高新区国民经济和社会发展第十四个五年规划（</w:t>
      </w:r>
      <w:r>
        <w:t>2021-2025</w:t>
      </w:r>
      <w:r>
        <w:rPr>
          <w:rFonts w:hint="eastAsia"/>
        </w:rPr>
        <w:t>）》均相衔接，并已纳入《源城区</w:t>
      </w:r>
      <w:r>
        <w:t>2021</w:t>
      </w:r>
      <w:r>
        <w:rPr>
          <w:rFonts w:hint="eastAsia"/>
        </w:rPr>
        <w:t>年国民经济和社会发展计划执行情况与</w:t>
      </w:r>
      <w:r>
        <w:t>2022</w:t>
      </w:r>
      <w:r>
        <w:rPr>
          <w:rFonts w:hint="eastAsia"/>
        </w:rPr>
        <w:t>年计划草案报告》，符合《自然资源部关于印发〈土地征收成片开发标准（试行）〉的通知》（自然资规〔</w:t>
      </w:r>
      <w:r>
        <w:t>2020</w:t>
      </w:r>
      <w:r>
        <w:rPr>
          <w:rFonts w:hint="eastAsia"/>
        </w:rPr>
        <w:t>〕</w:t>
      </w:r>
      <w:r>
        <w:t>5</w:t>
      </w:r>
      <w:r>
        <w:rPr>
          <w:rFonts w:hint="eastAsia"/>
        </w:rPr>
        <w:t>号）文件要求。</w:t>
      </w:r>
    </w:p>
    <w:p>
      <w:pPr>
        <w:pStyle w:val="5"/>
        <w:numPr>
          <w:ilvl w:val="0"/>
          <w:numId w:val="14"/>
        </w:numPr>
      </w:pPr>
      <w:r>
        <w:rPr>
          <w:rFonts w:hint="eastAsia"/>
        </w:rPr>
        <w:t>与国土空间规划衔接情况分析</w:t>
      </w:r>
    </w:p>
    <w:p>
      <w:pPr>
        <w:pStyle w:val="2"/>
        <w:adjustRightInd w:val="0"/>
        <w:ind w:firstLine="560"/>
      </w:pPr>
      <w:r>
        <w:rPr>
          <w:rFonts w:hint="eastAsia"/>
        </w:rPr>
        <w:t>调整后，</w:t>
      </w:r>
      <w:r>
        <w:rPr>
          <w:rFonts w:cs="Times New Roman"/>
          <w:szCs w:val="28"/>
        </w:rPr>
        <w:t>河源市源城区2021年度土地征收成片开发方案</w:t>
      </w:r>
      <w:r>
        <w:rPr>
          <w:rFonts w:hint="eastAsia"/>
        </w:rPr>
        <w:t>涉及</w:t>
      </w:r>
      <w:r>
        <w:rPr>
          <w:rFonts w:hint="eastAsia"/>
          <w:lang w:val="en-US" w:eastAsia="zh-CN"/>
        </w:rPr>
        <w:t>5</w:t>
      </w:r>
      <w:r>
        <w:rPr>
          <w:rFonts w:hint="eastAsia"/>
        </w:rPr>
        <w:t>个完整的成片开发范围，共计167.5255公顷。不涉及土地利用总体规划确定的禁止建设区，不涉及永久基本农田和生态保护红线。拟实施土地征收成片开发用地共计136.3288公顷，全部位于土地利用总体规划确定的城乡建设用地范围内或城市（镇）总体规划确定的建设用地范围内，不违反城市（镇）总体规划的强制性内容（不涉及市域内必须控制开发的地域、符合城市建设用地要求、城市基础设施和公共服务设施布局合理、不违反历史文化名城保护和城市防灾工程的要求、与近期建设规划不冲突），并严格按规划依法依规建设。</w:t>
      </w:r>
    </w:p>
    <w:p>
      <w:pPr>
        <w:ind w:firstLine="560"/>
      </w:pPr>
      <w:r>
        <w:rPr>
          <w:rFonts w:hint="eastAsia"/>
        </w:rPr>
        <w:t>由于《河源市国土空间总体规划（</w:t>
      </w:r>
      <w:r>
        <w:t>2020-2035</w:t>
      </w:r>
      <w:r>
        <w:rPr>
          <w:rFonts w:hint="eastAsia"/>
        </w:rPr>
        <w:t>年）》正在编制阶段，根据</w:t>
      </w:r>
      <w:r>
        <w:rPr>
          <w:rFonts w:hint="eastAsia" w:cs="Times New Roman"/>
          <w:lang w:bidi="ar"/>
        </w:rPr>
        <w:t>《自然资源部办公厅关于北京等省（区、市）启用“三区三线”划定成果作为报批建设项目用地用海依据的函》（自然资办函</w:t>
      </w:r>
      <w:r>
        <w:rPr>
          <w:rFonts w:hint="eastAsia"/>
        </w:rPr>
        <w:t>〔</w:t>
      </w:r>
      <w:r>
        <w:t>2022</w:t>
      </w:r>
      <w:r>
        <w:rPr>
          <w:rFonts w:hint="eastAsia"/>
        </w:rPr>
        <w:t>〕</w:t>
      </w:r>
      <w:r>
        <w:rPr>
          <w:rFonts w:cs="Times New Roman"/>
          <w:lang w:bidi="ar"/>
        </w:rPr>
        <w:t>2207</w:t>
      </w:r>
      <w:r>
        <w:rPr>
          <w:rFonts w:hint="eastAsia" w:cs="Times New Roman"/>
          <w:lang w:bidi="ar"/>
        </w:rPr>
        <w:t>号）文件要求，明确“三区三线”作为用地报批的重要依据。</w:t>
      </w:r>
      <w:r>
        <w:rPr>
          <w:rFonts w:hint="eastAsia"/>
        </w:rPr>
        <w:t>经核《河源市源城区国土空间总体规划（</w:t>
      </w:r>
      <w:r>
        <w:t>2021-2035</w:t>
      </w:r>
      <w:r>
        <w:rPr>
          <w:rFonts w:hint="eastAsia"/>
        </w:rPr>
        <w:t>年）》“三区三线”成果，成片开发范围均已纳入“三区三线”划定成果城镇开发边界的集中建设区，不涉及生态保护红线、永久基本农田等底线管控要素，符合国土空间总体规划管控要求。</w:t>
      </w:r>
    </w:p>
    <w:p>
      <w:pPr>
        <w:pStyle w:val="5"/>
        <w:numPr>
          <w:ilvl w:val="0"/>
          <w:numId w:val="14"/>
        </w:numPr>
      </w:pPr>
      <w:r>
        <w:rPr>
          <w:rFonts w:hint="eastAsia"/>
        </w:rPr>
        <w:t>与环境保护规划衔接情况分析</w:t>
      </w:r>
    </w:p>
    <w:p>
      <w:pPr>
        <w:ind w:firstLine="560"/>
      </w:pPr>
      <w:r>
        <w:rPr>
          <w:rFonts w:hint="eastAsia"/>
        </w:rPr>
        <w:t>根据《河源市生态环境保护“十四五”规划》有关要求，积极推进生态保护红线监管，建立健全生态环境空间管控体系，出台“三线一单”生态环境分区管控方案；</w:t>
      </w:r>
    </w:p>
    <w:p>
      <w:pPr>
        <w:ind w:firstLine="560"/>
      </w:pPr>
      <w:r>
        <w:rPr>
          <w:rFonts w:hint="eastAsia"/>
        </w:rPr>
        <w:t>经核，《调整方案》与《河源市生态环境保护“十四五”规划》相衔接，生态环境保护任重道远，谋划好“十四五”生态环境保护工作，必须保持生态环境保护战略定力，适应进入新发展阶段、贯彻新发展理念、构建新发展格局对生态环境保护工作提出的新任务新要求，以生态环境高水平保护推动经济高质量发展，加快打造令人向往的现代品质城市。本次土地征收成片开发范围不涉及《广东省“三线一单”生态环境分区管控方案》《河源市“三线一单”生态环境分区管控方案》划定的“陆域管控单元”中的优先保护单元，符合绿色发展的理念；</w:t>
      </w:r>
    </w:p>
    <w:p>
      <w:pPr>
        <w:ind w:firstLine="560"/>
      </w:pPr>
      <w:r>
        <w:rPr>
          <w:rFonts w:hint="eastAsia"/>
        </w:rPr>
        <w:t>因此，《调整方案》与环境保护规划相衔接。</w:t>
      </w:r>
    </w:p>
    <w:p>
      <w:pPr>
        <w:ind w:firstLine="560"/>
      </w:pPr>
    </w:p>
    <w:p>
      <w:pPr>
        <w:pStyle w:val="4"/>
        <w:numPr>
          <w:ilvl w:val="0"/>
          <w:numId w:val="13"/>
        </w:numPr>
      </w:pPr>
      <w:bookmarkStart w:id="19" w:name="_Toc8120"/>
      <w:r>
        <w:rPr>
          <w:rFonts w:hint="eastAsia" w:cs="宋体"/>
        </w:rPr>
        <w:t>与相关政策符合性分析</w:t>
      </w:r>
      <w:bookmarkEnd w:id="19"/>
    </w:p>
    <w:p>
      <w:pPr>
        <w:pStyle w:val="5"/>
        <w:numPr>
          <w:ilvl w:val="0"/>
          <w:numId w:val="15"/>
        </w:numPr>
      </w:pPr>
      <w:r>
        <w:rPr>
          <w:rFonts w:hint="eastAsia"/>
        </w:rPr>
        <w:t>与永久基本农田和生态保护红线衔接分析</w:t>
      </w:r>
    </w:p>
    <w:p>
      <w:pPr>
        <w:ind w:firstLine="560"/>
      </w:pPr>
      <w:bookmarkStart w:id="20" w:name="_Hlk84929686"/>
      <w:r>
        <w:rPr>
          <w:rFonts w:hint="eastAsia"/>
        </w:rPr>
        <w:t>根据《河源市源城区土地利用总体规划（</w:t>
      </w:r>
      <w:r>
        <w:t>2010-2020</w:t>
      </w:r>
      <w:r>
        <w:rPr>
          <w:rFonts w:hint="eastAsia"/>
        </w:rPr>
        <w:t>年）调整完善》数据库成果、河源市源城区永久基本农田划定成果以及河源市源城区生态保护红线划定成果，《调整方案》成片开发范围不涉及永久基本农田和生态保护红线，成片开发范围均已纳入源城区“三区三线”划定成果中城镇开发边界的集中建设区范围内，符合国土空间规划实施管理要求。</w:t>
      </w:r>
      <w:bookmarkEnd w:id="20"/>
    </w:p>
    <w:p>
      <w:pPr>
        <w:pStyle w:val="5"/>
        <w:numPr>
          <w:ilvl w:val="0"/>
          <w:numId w:val="15"/>
        </w:numPr>
      </w:pPr>
      <w:r>
        <w:rPr>
          <w:rFonts w:hint="eastAsia"/>
        </w:rPr>
        <w:t>基础设施、公共服务设施以及其他公益性用地比例</w:t>
      </w:r>
    </w:p>
    <w:p>
      <w:pPr>
        <w:ind w:firstLine="560"/>
      </w:pPr>
      <w:r>
        <w:rPr>
          <w:rFonts w:hint="eastAsia"/>
        </w:rPr>
        <w:t>成片开发范围内公益性用地总面积</w:t>
      </w:r>
      <w:r>
        <w:rPr>
          <w:rFonts w:hint="eastAsia"/>
          <w:lang w:eastAsia="zh-CN"/>
        </w:rPr>
        <w:t>89.5445</w:t>
      </w:r>
      <w:r>
        <w:rPr>
          <w:rFonts w:hint="eastAsia"/>
        </w:rPr>
        <w:t>公顷，占成片开发总面积的</w:t>
      </w:r>
      <w:r>
        <w:rPr>
          <w:rFonts w:hint="eastAsia"/>
          <w:lang w:eastAsia="zh-CN"/>
        </w:rPr>
        <w:t>53.45</w:t>
      </w:r>
      <w:r>
        <w:t>%</w:t>
      </w:r>
      <w:r>
        <w:rPr>
          <w:rFonts w:hint="eastAsia"/>
        </w:rPr>
        <w:t>。且各成片开发范围公益性用地比例均超过</w:t>
      </w:r>
      <w:r>
        <w:t>40%</w:t>
      </w:r>
      <w:r>
        <w:rPr>
          <w:rFonts w:hint="eastAsia"/>
        </w:rPr>
        <w:t>，满足《自然资源部关于印发</w:t>
      </w:r>
      <w:r>
        <w:t>&lt;</w:t>
      </w:r>
      <w:r>
        <w:rPr>
          <w:rFonts w:hint="eastAsia"/>
        </w:rPr>
        <w:t>土地征收成片开发标准（试行）</w:t>
      </w:r>
      <w:r>
        <w:t>&gt;</w:t>
      </w:r>
      <w:r>
        <w:rPr>
          <w:rFonts w:hint="eastAsia"/>
        </w:rPr>
        <w:t>的通知》（自然资规〔</w:t>
      </w:r>
      <w:r>
        <w:t>2020</w:t>
      </w:r>
      <w:r>
        <w:rPr>
          <w:rFonts w:hint="eastAsia"/>
        </w:rPr>
        <w:t>〕</w:t>
      </w:r>
      <w:r>
        <w:t>5</w:t>
      </w:r>
      <w:r>
        <w:rPr>
          <w:rFonts w:hint="eastAsia"/>
        </w:rPr>
        <w:t>号）对单个完整的土地征收成片开发范围内基础设施、公共服务设施以及其他公益性用地比例不低于</w:t>
      </w:r>
      <w:r>
        <w:t>40%</w:t>
      </w:r>
      <w:r>
        <w:rPr>
          <w:rFonts w:hint="eastAsia"/>
        </w:rPr>
        <w:t>的要求。</w:t>
      </w:r>
    </w:p>
    <w:p>
      <w:pPr>
        <w:pStyle w:val="5"/>
        <w:numPr>
          <w:ilvl w:val="0"/>
          <w:numId w:val="15"/>
        </w:numPr>
      </w:pPr>
      <w:r>
        <w:rPr>
          <w:rFonts w:hint="eastAsia"/>
        </w:rPr>
        <w:t>拟征收地块面积比例</w:t>
      </w:r>
    </w:p>
    <w:p>
      <w:pPr>
        <w:ind w:firstLine="560"/>
        <w:jc w:val="both"/>
      </w:pPr>
      <w:r>
        <w:rPr>
          <w:rFonts w:hint="eastAsia" w:cs="仿宋_GB2312"/>
          <w:kern w:val="2"/>
          <w:szCs w:val="24"/>
          <w:lang w:bidi="ar"/>
        </w:rPr>
        <w:t>调整后，土地征收成片开发方案范围面积</w:t>
      </w:r>
      <w:r>
        <w:rPr>
          <w:rFonts w:hint="eastAsia" w:cs="Times New Roman"/>
          <w:kern w:val="2"/>
          <w:szCs w:val="24"/>
          <w:lang w:bidi="ar"/>
        </w:rPr>
        <w:t>167.5255</w:t>
      </w:r>
      <w:r>
        <w:rPr>
          <w:rFonts w:hint="eastAsia" w:cs="仿宋_GB2312"/>
          <w:kern w:val="2"/>
          <w:szCs w:val="24"/>
          <w:lang w:bidi="ar"/>
        </w:rPr>
        <w:t>公顷，其中拟征收地块面积</w:t>
      </w:r>
      <w:r>
        <w:rPr>
          <w:rFonts w:hint="eastAsia" w:cs="Times New Roman"/>
          <w:kern w:val="2"/>
          <w:szCs w:val="24"/>
          <w:highlight w:val="none"/>
          <w:lang w:val="en-US" w:eastAsia="zh-CN" w:bidi="ar"/>
        </w:rPr>
        <w:t>136.3288</w:t>
      </w:r>
      <w:r>
        <w:rPr>
          <w:rFonts w:hint="eastAsia" w:cs="仿宋_GB2312"/>
          <w:kern w:val="2"/>
          <w:szCs w:val="24"/>
          <w:lang w:bidi="ar"/>
        </w:rPr>
        <w:t>公顷，拟征收地块面积占成片开发范围面积的</w:t>
      </w:r>
      <w:r>
        <w:rPr>
          <w:rFonts w:hint="eastAsia" w:cs="Times New Roman"/>
          <w:kern w:val="2"/>
          <w:szCs w:val="24"/>
          <w:lang w:eastAsia="zh-CN" w:bidi="ar"/>
        </w:rPr>
        <w:t>81.38</w:t>
      </w:r>
      <w:r>
        <w:rPr>
          <w:rFonts w:cs="Times New Roman"/>
          <w:kern w:val="2"/>
          <w:szCs w:val="24"/>
          <w:lang w:bidi="ar"/>
        </w:rPr>
        <w:t>%</w:t>
      </w:r>
      <w:r>
        <w:rPr>
          <w:rFonts w:hint="eastAsia" w:cs="仿宋_GB2312"/>
          <w:kern w:val="2"/>
          <w:szCs w:val="24"/>
          <w:lang w:bidi="ar"/>
        </w:rPr>
        <w:t>，符合成片开发范围内拟征收地块面积不小于土地征收成片开发范围面积的</w:t>
      </w:r>
      <w:r>
        <w:rPr>
          <w:rFonts w:cs="Times New Roman"/>
          <w:kern w:val="2"/>
          <w:szCs w:val="24"/>
          <w:lang w:bidi="ar"/>
        </w:rPr>
        <w:t>60%</w:t>
      </w:r>
      <w:r>
        <w:rPr>
          <w:rFonts w:hint="eastAsia" w:cs="仿宋_GB2312"/>
          <w:kern w:val="2"/>
          <w:szCs w:val="24"/>
          <w:lang w:bidi="ar"/>
        </w:rPr>
        <w:t>的要求。</w:t>
      </w:r>
    </w:p>
    <w:p>
      <w:pPr>
        <w:pStyle w:val="5"/>
        <w:numPr>
          <w:ilvl w:val="0"/>
          <w:numId w:val="15"/>
        </w:numPr>
      </w:pPr>
      <w:r>
        <w:rPr>
          <w:rFonts w:hint="eastAsia"/>
        </w:rPr>
        <w:t>区内土地供应和闲置情况</w:t>
      </w:r>
    </w:p>
    <w:p>
      <w:pPr>
        <w:ind w:firstLine="560"/>
        <w:jc w:val="both"/>
        <w:rPr>
          <w:rFonts w:cs="仿宋_GB2312"/>
          <w:kern w:val="2"/>
          <w:szCs w:val="24"/>
          <w:lang w:bidi="ar"/>
        </w:rPr>
      </w:pPr>
      <w:r>
        <w:rPr>
          <w:rFonts w:hint="eastAsia" w:cs="仿宋_GB2312"/>
          <w:kern w:val="2"/>
          <w:szCs w:val="24"/>
          <w:lang w:bidi="ar"/>
        </w:rPr>
        <w:t>根据河源市、源城区土地供应及闲置信息数据统计，2016-2020年期间，源城区总批准用地面积合计913.4395公顷，批准用地中已供地面积563.0361公顷，2016-2020年全区平均供地率达61.64%，超过60%。闲置土地方面，源城区土地供应总面积3300.5113公顷，其中已认定为闲置土地面积154.5120公顷，土地闲置率为4.68%，源城区土地闲置率小于5%。因此，源城区不存在大量批而未供和闲置土地，符合</w:t>
      </w:r>
      <w:r>
        <w:rPr>
          <w:rFonts w:hint="eastAsia" w:cs="仿宋_GB2312"/>
          <w:kern w:val="2"/>
          <w:szCs w:val="24"/>
          <w:lang w:eastAsia="zh-CN" w:bidi="ar"/>
        </w:rPr>
        <w:t>粤</w:t>
      </w:r>
      <w:r>
        <w:rPr>
          <w:rFonts w:hint="eastAsia" w:cs="仿宋_GB2312"/>
          <w:kern w:val="2"/>
          <w:szCs w:val="24"/>
          <w:lang w:bidi="ar"/>
        </w:rPr>
        <w:t>自然资发〔2021〕20号文的要求。</w:t>
      </w:r>
    </w:p>
    <w:p>
      <w:pPr>
        <w:pStyle w:val="5"/>
        <w:numPr>
          <w:ilvl w:val="0"/>
          <w:numId w:val="15"/>
        </w:numPr>
      </w:pPr>
      <w:r>
        <w:rPr>
          <w:rFonts w:hint="eastAsia"/>
        </w:rPr>
        <w:t>省级以上开发区、产业转移园情况</w:t>
      </w:r>
    </w:p>
    <w:p>
      <w:pPr>
        <w:ind w:firstLine="560"/>
        <w:jc w:val="both"/>
        <w:rPr>
          <w:rFonts w:cs="仿宋_GB2312"/>
          <w:kern w:val="2"/>
          <w:szCs w:val="24"/>
          <w:lang w:bidi="ar"/>
        </w:rPr>
      </w:pPr>
      <w:r>
        <w:rPr>
          <w:rFonts w:hint="eastAsia" w:cs="仿宋_GB2312"/>
          <w:kern w:val="2"/>
          <w:szCs w:val="24"/>
          <w:lang w:bidi="ar"/>
        </w:rPr>
        <w:t>源城区行政管辖范围内经国务院或省人民政府批准设立的开发区、 产业转移工业园有源城高新技术产业开发区、深圳（河源）产业转移工业园、深圳大鹏（河源源城）产业转移工业园共三个开发区、产业转移工业园。源城区内无国家级新区。</w:t>
      </w:r>
    </w:p>
    <w:p>
      <w:pPr>
        <w:ind w:firstLine="560"/>
        <w:jc w:val="both"/>
        <w:rPr>
          <w:rFonts w:cs="仿宋_GB2312"/>
          <w:kern w:val="2"/>
          <w:szCs w:val="24"/>
          <w:lang w:bidi="ar"/>
        </w:rPr>
      </w:pPr>
      <w:r>
        <w:rPr>
          <w:rFonts w:hint="eastAsia" w:cs="仿宋_GB2312"/>
          <w:kern w:val="2"/>
          <w:szCs w:val="24"/>
          <w:lang w:bidi="ar"/>
        </w:rPr>
        <w:t>根据各园区2016-2020年土地节约集约利用评价成果数据以及省 下发建设用地审批成果数据库与供地红线等成果统计,2016年-2020年， 源城高新技术产业开发区已取得批复土地面积为42.4146公顷，已供地面积为1.6317公顷，平均供地率为3.85%，无闲置土地，土地闲置率为0，近五年综合容积率为0.88；深圳（河源）产业转移工业园已取得批复土地面积为57.6149公顷，已供地面积为17.7366公顷，平均供地率为30.78%，土地闲置率为3.69%，近五年综合容积率为1.15；深圳大鹏（河源源城）产业转移工业园已取得批复土地面积为2.9998公顷，已供地面积为2.6073公顷，平均供地率达86.91%，土地闲置率为9.48%，近五年综合容积率为0.99。</w:t>
      </w:r>
    </w:p>
    <w:p>
      <w:pPr>
        <w:ind w:firstLine="560"/>
        <w:jc w:val="both"/>
        <w:rPr>
          <w:rFonts w:cs="仿宋_GB2312"/>
          <w:kern w:val="2"/>
          <w:szCs w:val="24"/>
          <w:lang w:bidi="ar"/>
        </w:rPr>
      </w:pPr>
      <w:r>
        <w:rPr>
          <w:rFonts w:hint="eastAsia" w:cs="仿宋_GB2312"/>
          <w:kern w:val="2"/>
          <w:szCs w:val="24"/>
          <w:lang w:bidi="ar"/>
        </w:rPr>
        <w:t>综上，源城区三个园区均不涉及不得批准成片开发方案的情形，符合粤自然资发〔2021〕20号文的要求。</w:t>
      </w:r>
    </w:p>
    <w:p>
      <w:pPr>
        <w:ind w:firstLine="560"/>
        <w:jc w:val="both"/>
        <w:rPr>
          <w:rFonts w:cs="仿宋_GB2312"/>
          <w:kern w:val="2"/>
          <w:szCs w:val="24"/>
          <w:lang w:bidi="ar"/>
        </w:rPr>
      </w:pPr>
    </w:p>
    <w:p>
      <w:pPr>
        <w:pStyle w:val="5"/>
        <w:numPr>
          <w:ilvl w:val="0"/>
          <w:numId w:val="15"/>
        </w:numPr>
      </w:pPr>
      <w:r>
        <w:rPr>
          <w:rFonts w:hint="eastAsia"/>
        </w:rPr>
        <w:t>已批准实施的成片开发方案的实施情况</w:t>
      </w:r>
    </w:p>
    <w:p>
      <w:pPr>
        <w:ind w:firstLine="560"/>
        <w:jc w:val="both"/>
        <w:rPr>
          <w:rFonts w:cs="仿宋_GB2312"/>
          <w:kern w:val="2"/>
          <w:szCs w:val="24"/>
          <w:lang w:bidi="ar"/>
        </w:rPr>
      </w:pPr>
      <w:r>
        <w:rPr>
          <w:rFonts w:hint="eastAsia" w:cs="仿宋_GB2312"/>
          <w:kern w:val="2"/>
          <w:szCs w:val="24"/>
          <w:lang w:bidi="ar"/>
        </w:rPr>
        <w:t xml:space="preserve">调整前，源城区 </w:t>
      </w:r>
      <w:r>
        <w:rPr>
          <w:rFonts w:cs="仿宋_GB2312"/>
          <w:kern w:val="2"/>
          <w:szCs w:val="24"/>
          <w:lang w:bidi="ar"/>
        </w:rPr>
        <w:t xml:space="preserve">2021 </w:t>
      </w:r>
      <w:r>
        <w:rPr>
          <w:rFonts w:hint="eastAsia" w:cs="仿宋_GB2312"/>
          <w:kern w:val="2"/>
          <w:szCs w:val="24"/>
          <w:lang w:bidi="ar"/>
        </w:rPr>
        <w:t xml:space="preserve">年度土地征收成片开发方案是源城区首个批复的成片开发方案，方案计划 </w:t>
      </w:r>
      <w:r>
        <w:rPr>
          <w:rFonts w:cs="仿宋_GB2312"/>
          <w:kern w:val="2"/>
          <w:szCs w:val="24"/>
          <w:lang w:bidi="ar"/>
        </w:rPr>
        <w:t>2021</w:t>
      </w:r>
      <w:r>
        <w:rPr>
          <w:rFonts w:hint="eastAsia" w:cs="仿宋_GB2312"/>
          <w:kern w:val="2"/>
          <w:szCs w:val="24"/>
          <w:lang w:bidi="ar"/>
        </w:rPr>
        <w:t xml:space="preserve">年征收的土地已全部取得批复，现根据实际建设发展情况对方案进行调整，使方案更加合理可行，不存在已批准实施的土地征收成片开发方案连续两年未完成年度土地征收实施计划的情况。 </w:t>
      </w:r>
    </w:p>
    <w:p>
      <w:pPr>
        <w:ind w:firstLine="560"/>
      </w:pPr>
    </w:p>
    <w:p>
      <w:pPr>
        <w:ind w:firstLine="560"/>
      </w:pPr>
    </w:p>
    <w:p>
      <w:pPr>
        <w:ind w:firstLine="560"/>
      </w:pPr>
    </w:p>
    <w:p>
      <w:pPr>
        <w:ind w:firstLine="560"/>
        <w:rPr>
          <w:rFonts w:cs="Times New Roman"/>
          <w:szCs w:val="28"/>
        </w:rPr>
      </w:pPr>
    </w:p>
    <w:p>
      <w:pPr>
        <w:ind w:firstLine="640"/>
        <w:jc w:val="center"/>
        <w:rPr>
          <w:sz w:val="32"/>
        </w:rPr>
      </w:pPr>
    </w:p>
    <w:p>
      <w:pPr>
        <w:pStyle w:val="2"/>
        <w:ind w:firstLine="640"/>
        <w:rPr>
          <w:sz w:val="32"/>
        </w:rPr>
      </w:pPr>
    </w:p>
    <w:p>
      <w:pPr>
        <w:ind w:firstLine="640"/>
        <w:rPr>
          <w:sz w:val="32"/>
        </w:rPr>
      </w:pPr>
      <w:r>
        <w:rPr>
          <w:rFonts w:hint="eastAsia"/>
          <w:sz w:val="32"/>
        </w:rPr>
        <w:br w:type="page"/>
      </w:r>
    </w:p>
    <w:p>
      <w:pPr>
        <w:pStyle w:val="3"/>
        <w:numPr>
          <w:ilvl w:val="0"/>
          <w:numId w:val="1"/>
        </w:numPr>
        <w:ind w:left="0" w:right="0" w:firstLine="0" w:firstLineChars="0"/>
      </w:pPr>
      <w:bookmarkStart w:id="21" w:name="_Toc26894"/>
      <w:r>
        <w:rPr>
          <w:rFonts w:hint="eastAsia"/>
        </w:rPr>
        <w:t>实施计划</w:t>
      </w:r>
      <w:bookmarkEnd w:id="21"/>
    </w:p>
    <w:p>
      <w:pPr>
        <w:pStyle w:val="4"/>
        <w:numPr>
          <w:ilvl w:val="0"/>
          <w:numId w:val="16"/>
        </w:numPr>
      </w:pPr>
      <w:bookmarkStart w:id="22" w:name="_Toc7232"/>
      <w:r>
        <w:rPr>
          <w:rFonts w:hint="eastAsia"/>
        </w:rPr>
        <w:t>项目安排</w:t>
      </w:r>
      <w:bookmarkEnd w:id="22"/>
    </w:p>
    <w:p>
      <w:pPr>
        <w:ind w:firstLine="560"/>
        <w:jc w:val="both"/>
      </w:pPr>
      <w:r>
        <w:rPr>
          <w:rFonts w:hint="eastAsia" w:cs="仿宋_GB2312"/>
          <w:kern w:val="2"/>
          <w:szCs w:val="24"/>
          <w:lang w:bidi="ar"/>
        </w:rPr>
        <w:t>调整后，源城区</w:t>
      </w:r>
      <w:r>
        <w:rPr>
          <w:rFonts w:cs="仿宋_GB2312"/>
          <w:kern w:val="2"/>
          <w:szCs w:val="24"/>
          <w:lang w:bidi="ar"/>
        </w:rPr>
        <w:t>2021</w:t>
      </w:r>
      <w:r>
        <w:rPr>
          <w:rFonts w:hint="eastAsia" w:cs="仿宋_GB2312"/>
          <w:kern w:val="2"/>
          <w:szCs w:val="24"/>
          <w:lang w:bidi="ar"/>
        </w:rPr>
        <w:t>年度土地征收成片开发方案项目主要包括产业制造类、商业居住类、公共服务类项目，共计</w:t>
      </w:r>
      <w:r>
        <w:rPr>
          <w:rFonts w:hint="eastAsia" w:cs="仿宋_GB2312"/>
          <w:kern w:val="2"/>
          <w:szCs w:val="24"/>
          <w:lang w:eastAsia="zh-CN" w:bidi="ar"/>
        </w:rPr>
        <w:t>5个</w:t>
      </w:r>
      <w:r>
        <w:rPr>
          <w:rFonts w:hint="eastAsia" w:cs="仿宋_GB2312"/>
          <w:kern w:val="2"/>
          <w:szCs w:val="24"/>
          <w:lang w:bidi="ar"/>
        </w:rPr>
        <w:t xml:space="preserve">项目，共需征收集体土地面积136.3288公顷。 </w:t>
      </w:r>
    </w:p>
    <w:p>
      <w:pPr>
        <w:pStyle w:val="4"/>
        <w:numPr>
          <w:ilvl w:val="0"/>
          <w:numId w:val="16"/>
        </w:numPr>
      </w:pPr>
      <w:bookmarkStart w:id="23" w:name="_Toc31549"/>
      <w:r>
        <w:rPr>
          <w:rFonts w:hint="eastAsia"/>
        </w:rPr>
        <w:t>开发时序与实施计划</w:t>
      </w:r>
      <w:bookmarkEnd w:id="23"/>
    </w:p>
    <w:p>
      <w:pPr>
        <w:ind w:firstLine="560"/>
        <w:jc w:val="both"/>
        <w:rPr>
          <w:rFonts w:cs="仿宋_GB2312"/>
          <w:kern w:val="2"/>
          <w:szCs w:val="24"/>
          <w:lang w:bidi="ar"/>
        </w:rPr>
      </w:pPr>
      <w:bookmarkStart w:id="24" w:name="_Hlk84926898"/>
      <w:r>
        <w:rPr>
          <w:rFonts w:hint="eastAsia" w:cs="仿宋_GB2312"/>
          <w:kern w:val="2"/>
          <w:szCs w:val="24"/>
          <w:lang w:bidi="ar"/>
        </w:rPr>
        <w:t>结合规划建设计划、被征地单位意愿、征地资金情况、土地审批信息情况等因素，确定各成片开发项目的开发时序，制定了三年实施计划，即</w:t>
      </w:r>
      <w:r>
        <w:rPr>
          <w:rFonts w:cs="仿宋_GB2312"/>
          <w:kern w:val="2"/>
          <w:szCs w:val="24"/>
          <w:lang w:bidi="ar"/>
        </w:rPr>
        <w:t>202</w:t>
      </w:r>
      <w:r>
        <w:rPr>
          <w:rFonts w:hint="eastAsia" w:cs="仿宋_GB2312"/>
          <w:kern w:val="2"/>
          <w:szCs w:val="24"/>
          <w:lang w:bidi="ar"/>
        </w:rPr>
        <w:t>1</w:t>
      </w:r>
      <w:r>
        <w:rPr>
          <w:rFonts w:cs="仿宋_GB2312"/>
          <w:kern w:val="2"/>
          <w:szCs w:val="24"/>
          <w:lang w:bidi="ar"/>
        </w:rPr>
        <w:t>-202</w:t>
      </w:r>
      <w:r>
        <w:rPr>
          <w:rFonts w:hint="eastAsia" w:cs="仿宋_GB2312"/>
          <w:kern w:val="2"/>
          <w:szCs w:val="24"/>
          <w:lang w:bidi="ar"/>
        </w:rPr>
        <w:t>3年完成136.3288公顷集体土地征收工作，其中</w:t>
      </w:r>
      <w:r>
        <w:rPr>
          <w:rFonts w:cs="仿宋_GB2312"/>
          <w:kern w:val="2"/>
          <w:szCs w:val="24"/>
          <w:lang w:bidi="ar"/>
        </w:rPr>
        <w:t>202</w:t>
      </w:r>
      <w:r>
        <w:rPr>
          <w:rFonts w:hint="eastAsia" w:cs="仿宋_GB2312"/>
          <w:kern w:val="2"/>
          <w:szCs w:val="24"/>
          <w:lang w:bidi="ar"/>
        </w:rPr>
        <w:t>1年计划征收</w:t>
      </w:r>
      <w:r>
        <w:rPr>
          <w:rFonts w:hint="eastAsia" w:cs="仿宋_GB2312"/>
          <w:kern w:val="2"/>
          <w:szCs w:val="24"/>
          <w:lang w:val="en-US" w:eastAsia="zh-CN" w:bidi="ar"/>
        </w:rPr>
        <w:t>49.4186</w:t>
      </w:r>
      <w:r>
        <w:rPr>
          <w:rFonts w:hint="eastAsia" w:cs="仿宋_GB2312"/>
          <w:kern w:val="2"/>
          <w:szCs w:val="24"/>
          <w:lang w:bidi="ar"/>
        </w:rPr>
        <w:t>公顷，</w:t>
      </w:r>
      <w:r>
        <w:rPr>
          <w:rFonts w:cs="仿宋_GB2312"/>
          <w:kern w:val="2"/>
          <w:szCs w:val="24"/>
          <w:lang w:bidi="ar"/>
        </w:rPr>
        <w:t>202</w:t>
      </w:r>
      <w:r>
        <w:rPr>
          <w:rFonts w:hint="eastAsia" w:cs="仿宋_GB2312"/>
          <w:kern w:val="2"/>
          <w:szCs w:val="24"/>
          <w:lang w:bidi="ar"/>
        </w:rPr>
        <w:t>2年计划征收</w:t>
      </w:r>
      <w:r>
        <w:rPr>
          <w:rFonts w:hint="eastAsia" w:cs="仿宋_GB2312"/>
          <w:kern w:val="2"/>
          <w:szCs w:val="24"/>
          <w:lang w:val="en-US" w:eastAsia="zh-CN" w:bidi="ar"/>
        </w:rPr>
        <w:t>31.7042</w:t>
      </w:r>
      <w:r>
        <w:rPr>
          <w:rFonts w:hint="eastAsia" w:cs="仿宋_GB2312"/>
          <w:kern w:val="2"/>
          <w:szCs w:val="24"/>
          <w:lang w:bidi="ar"/>
        </w:rPr>
        <w:t>顷，</w:t>
      </w:r>
      <w:r>
        <w:rPr>
          <w:rFonts w:cs="仿宋_GB2312"/>
          <w:kern w:val="2"/>
          <w:szCs w:val="24"/>
          <w:lang w:bidi="ar"/>
        </w:rPr>
        <w:t>202</w:t>
      </w:r>
      <w:r>
        <w:rPr>
          <w:rFonts w:hint="eastAsia" w:cs="仿宋_GB2312"/>
          <w:kern w:val="2"/>
          <w:szCs w:val="24"/>
          <w:lang w:bidi="ar"/>
        </w:rPr>
        <w:t>3年计划征收</w:t>
      </w:r>
      <w:r>
        <w:rPr>
          <w:rFonts w:hint="eastAsia" w:cs="仿宋_GB2312"/>
          <w:kern w:val="2"/>
          <w:szCs w:val="24"/>
          <w:lang w:val="en-US" w:eastAsia="zh-CN" w:bidi="ar"/>
        </w:rPr>
        <w:t>55.2060</w:t>
      </w:r>
      <w:r>
        <w:rPr>
          <w:rFonts w:hint="eastAsia" w:cs="仿宋_GB2312"/>
          <w:kern w:val="2"/>
          <w:szCs w:val="24"/>
          <w:lang w:bidi="ar"/>
        </w:rPr>
        <w:t>公顷。</w:t>
      </w:r>
      <w:bookmarkEnd w:id="24"/>
      <w:r>
        <w:rPr>
          <w:rFonts w:hint="eastAsia" w:cs="仿宋_GB2312"/>
          <w:kern w:val="2"/>
          <w:szCs w:val="24"/>
          <w:lang w:bidi="ar"/>
        </w:rPr>
        <w:t>具体如下表：</w:t>
      </w:r>
    </w:p>
    <w:p>
      <w:pPr>
        <w:pStyle w:val="32"/>
        <w:spacing w:after="100" w:line="240" w:lineRule="auto"/>
        <w:ind w:firstLine="480"/>
        <w:rPr>
          <w:rFonts w:ascii="Times New Roman" w:hAnsi="Times New Roman" w:eastAsia="仿宋_GB2312"/>
          <w:color w:val="000000"/>
          <w:sz w:val="24"/>
          <w:szCs w:val="24"/>
        </w:rPr>
      </w:pPr>
      <w:r>
        <w:rPr>
          <w:rFonts w:ascii="Times New Roman" w:hAnsi="Times New Roman" w:eastAsia="仿宋_GB2312"/>
          <w:color w:val="000000"/>
          <w:sz w:val="24"/>
          <w:szCs w:val="24"/>
        </w:rPr>
        <w:t>表</w:t>
      </w:r>
      <w:r>
        <w:rPr>
          <w:rFonts w:hint="eastAsia" w:ascii="Times New Roman" w:hAnsi="Times New Roman" w:eastAsia="仿宋_GB2312" w:cs="Times New Roman"/>
          <w:color w:val="000000"/>
          <w:sz w:val="24"/>
          <w:szCs w:val="24"/>
          <w:lang w:val="en-US" w:eastAsia="zh-CN"/>
        </w:rPr>
        <w:t>5-1</w:t>
      </w:r>
      <w:r>
        <w:rPr>
          <w:rFonts w:ascii="Times New Roman" w:hAnsi="Times New Roman" w:eastAsia="仿宋_GB2312"/>
          <w:color w:val="000000"/>
          <w:sz w:val="24"/>
          <w:szCs w:val="24"/>
        </w:rPr>
        <w:t>各成片开发项目开发时序情况表</w:t>
      </w:r>
    </w:p>
    <w:p>
      <w:pPr>
        <w:pStyle w:val="32"/>
        <w:spacing w:after="100" w:line="240" w:lineRule="auto"/>
        <w:ind w:firstLine="480"/>
        <w:jc w:val="right"/>
        <w:rPr>
          <w:rFonts w:ascii="Times New Roman" w:hAnsi="Times New Roman" w:eastAsia="仿宋_GB2312"/>
          <w:color w:val="000000"/>
          <w:sz w:val="24"/>
          <w:szCs w:val="24"/>
          <w:lang w:val="en-US" w:eastAsia="zh-CN"/>
        </w:rPr>
      </w:pPr>
      <w:r>
        <w:rPr>
          <w:rFonts w:hint="eastAsia" w:ascii="Times New Roman" w:hAnsi="Times New Roman" w:eastAsia="仿宋_GB2312"/>
          <w:color w:val="000000"/>
          <w:sz w:val="24"/>
          <w:szCs w:val="24"/>
          <w:lang w:val="en-US" w:eastAsia="zh-CN"/>
        </w:rPr>
        <w:t>单位：公顷</w:t>
      </w:r>
    </w:p>
    <w:tbl>
      <w:tblPr>
        <w:tblStyle w:val="1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7"/>
        <w:gridCol w:w="2632"/>
        <w:gridCol w:w="1311"/>
        <w:gridCol w:w="1169"/>
        <w:gridCol w:w="1311"/>
        <w:gridCol w:w="1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序号</w:t>
            </w:r>
          </w:p>
        </w:tc>
        <w:tc>
          <w:tcPr>
            <w:tcW w:w="15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成片开发项目名称</w:t>
            </w:r>
          </w:p>
        </w:tc>
        <w:tc>
          <w:tcPr>
            <w:tcW w:w="7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Style w:val="41"/>
                <w:rFonts w:eastAsia="宋体"/>
                <w:lang w:val="en-US" w:eastAsia="zh-CN" w:bidi="ar"/>
              </w:rPr>
              <w:t xml:space="preserve">2021 </w:t>
            </w:r>
            <w:r>
              <w:rPr>
                <w:rFonts w:hint="eastAsia" w:ascii="仿宋_GB2312" w:hAnsi="Times New Roman" w:eastAsia="仿宋_GB2312" w:cs="仿宋_GB2312"/>
                <w:b/>
                <w:bCs/>
                <w:i w:val="0"/>
                <w:iCs w:val="0"/>
                <w:color w:val="000000"/>
                <w:kern w:val="0"/>
                <w:sz w:val="24"/>
                <w:szCs w:val="24"/>
                <w:u w:val="none"/>
                <w:lang w:val="en-US" w:eastAsia="zh-CN" w:bidi="ar"/>
              </w:rPr>
              <w:t>年</w:t>
            </w:r>
          </w:p>
        </w:tc>
        <w:tc>
          <w:tcPr>
            <w:tcW w:w="6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Style w:val="41"/>
                <w:rFonts w:eastAsia="宋体"/>
                <w:lang w:val="en-US" w:eastAsia="zh-CN" w:bidi="ar"/>
              </w:rPr>
              <w:t xml:space="preserve">2022 </w:t>
            </w:r>
            <w:r>
              <w:rPr>
                <w:rFonts w:hint="eastAsia" w:ascii="仿宋_GB2312" w:hAnsi="Times New Roman" w:eastAsia="仿宋_GB2312" w:cs="仿宋_GB2312"/>
                <w:b/>
                <w:bCs/>
                <w:i w:val="0"/>
                <w:iCs w:val="0"/>
                <w:color w:val="000000"/>
                <w:kern w:val="0"/>
                <w:sz w:val="24"/>
                <w:szCs w:val="24"/>
                <w:u w:val="none"/>
                <w:lang w:val="en-US" w:eastAsia="zh-CN" w:bidi="ar"/>
              </w:rPr>
              <w:t>年</w:t>
            </w:r>
          </w:p>
        </w:tc>
        <w:tc>
          <w:tcPr>
            <w:tcW w:w="7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Style w:val="41"/>
                <w:rFonts w:eastAsia="宋体"/>
                <w:lang w:val="en-US" w:eastAsia="zh-CN" w:bidi="ar"/>
              </w:rPr>
              <w:t xml:space="preserve">2023 </w:t>
            </w:r>
            <w:r>
              <w:rPr>
                <w:rFonts w:hint="eastAsia" w:ascii="仿宋_GB2312" w:hAnsi="Times New Roman" w:eastAsia="仿宋_GB2312" w:cs="仿宋_GB2312"/>
                <w:b/>
                <w:bCs/>
                <w:i w:val="0"/>
                <w:iCs w:val="0"/>
                <w:color w:val="000000"/>
                <w:kern w:val="0"/>
                <w:sz w:val="24"/>
                <w:szCs w:val="24"/>
                <w:u w:val="none"/>
                <w:lang w:val="en-US" w:eastAsia="zh-CN" w:bidi="ar"/>
              </w:rPr>
              <w:t>年</w:t>
            </w:r>
          </w:p>
        </w:tc>
        <w:tc>
          <w:tcPr>
            <w:tcW w:w="6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总计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5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eastAsia" w:ascii="仿宋_GB2312" w:hAnsi="宋体" w:eastAsia="仿宋_GB2312" w:cs="仿宋_GB2312"/>
                <w:i w:val="0"/>
                <w:iCs w:val="0"/>
                <w:color w:val="000000"/>
                <w:sz w:val="24"/>
                <w:szCs w:val="24"/>
                <w:u w:val="none"/>
              </w:rPr>
            </w:pPr>
            <w:r>
              <w:rPr>
                <w:rStyle w:val="42"/>
                <w:rFonts w:hAnsi="宋体"/>
                <w:lang w:val="en-US" w:eastAsia="zh-CN" w:bidi="ar"/>
              </w:rPr>
              <w:t>怡宝成片开发范围</w:t>
            </w:r>
          </w:p>
        </w:tc>
        <w:tc>
          <w:tcPr>
            <w:tcW w:w="7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19.1548</w:t>
            </w:r>
          </w:p>
        </w:tc>
        <w:tc>
          <w:tcPr>
            <w:tcW w:w="6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31.7042</w:t>
            </w:r>
          </w:p>
        </w:tc>
        <w:tc>
          <w:tcPr>
            <w:tcW w:w="7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27.2795</w:t>
            </w:r>
          </w:p>
        </w:tc>
        <w:tc>
          <w:tcPr>
            <w:tcW w:w="6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78.1385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5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eastAsia" w:ascii="仿宋_GB2312" w:hAnsi="宋体" w:eastAsia="仿宋_GB2312" w:cs="仿宋_GB2312"/>
                <w:i w:val="0"/>
                <w:iCs w:val="0"/>
                <w:color w:val="000000"/>
                <w:sz w:val="24"/>
                <w:szCs w:val="24"/>
                <w:u w:val="none"/>
              </w:rPr>
            </w:pPr>
            <w:r>
              <w:rPr>
                <w:rStyle w:val="42"/>
                <w:rFonts w:hAnsi="宋体"/>
                <w:lang w:val="en-US" w:eastAsia="zh-CN" w:bidi="ar"/>
              </w:rPr>
              <w:t>源城区工业园第三期扩园成片开发范围</w:t>
            </w:r>
          </w:p>
        </w:tc>
        <w:tc>
          <w:tcPr>
            <w:tcW w:w="7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30.2638</w:t>
            </w:r>
          </w:p>
        </w:tc>
        <w:tc>
          <w:tcPr>
            <w:tcW w:w="6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7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13.605</w:t>
            </w:r>
            <w:r>
              <w:rPr>
                <w:rFonts w:hint="eastAsia" w:eastAsia="宋体" w:cs="Times New Roman"/>
                <w:i w:val="0"/>
                <w:iCs w:val="0"/>
                <w:color w:val="000000"/>
                <w:kern w:val="0"/>
                <w:sz w:val="24"/>
                <w:szCs w:val="24"/>
                <w:u w:val="none"/>
                <w:lang w:val="en-US" w:eastAsia="zh-CN" w:bidi="ar"/>
              </w:rPr>
              <w:t>0</w:t>
            </w:r>
          </w:p>
        </w:tc>
        <w:tc>
          <w:tcPr>
            <w:tcW w:w="6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43.8688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15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eastAsia" w:ascii="仿宋_GB2312" w:hAnsi="宋体" w:eastAsia="仿宋_GB2312" w:cs="仿宋_GB2312"/>
                <w:i w:val="0"/>
                <w:iCs w:val="0"/>
                <w:color w:val="000000"/>
                <w:sz w:val="24"/>
                <w:szCs w:val="24"/>
                <w:u w:val="none"/>
              </w:rPr>
            </w:pPr>
            <w:r>
              <w:rPr>
                <w:rFonts w:cs="Times New Roman"/>
                <w:color w:val="000000"/>
                <w:sz w:val="21"/>
                <w:szCs w:val="21"/>
                <w:lang w:bidi="ar"/>
              </w:rPr>
              <w:t>城市综合体成片开发范围</w:t>
            </w:r>
          </w:p>
        </w:tc>
        <w:tc>
          <w:tcPr>
            <w:tcW w:w="7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6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7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9.0673</w:t>
            </w:r>
          </w:p>
        </w:tc>
        <w:tc>
          <w:tcPr>
            <w:tcW w:w="6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9.0673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5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仿宋_GB2312" w:hAnsi="宋体" w:eastAsia="仿宋_GB2312" w:cs="仿宋_GB2312"/>
                <w:i w:val="0"/>
                <w:iCs w:val="0"/>
                <w:color w:val="000000"/>
                <w:sz w:val="24"/>
                <w:szCs w:val="24"/>
                <w:u w:val="none"/>
                <w:lang w:val="en-US"/>
              </w:rPr>
            </w:pPr>
            <w:r>
              <w:rPr>
                <w:rStyle w:val="43"/>
                <w:rFonts w:hAnsi="宋体"/>
                <w:lang w:val="en-US" w:eastAsia="zh-CN" w:bidi="ar"/>
              </w:rPr>
              <w:t>皓吉达项目</w:t>
            </w:r>
            <w:r>
              <w:rPr>
                <w:rStyle w:val="43"/>
                <w:rFonts w:hint="eastAsia" w:hAnsi="宋体"/>
                <w:lang w:val="en-US" w:eastAsia="zh-CN" w:bidi="ar"/>
              </w:rPr>
              <w:t>成片开发范围</w:t>
            </w:r>
          </w:p>
        </w:tc>
        <w:tc>
          <w:tcPr>
            <w:tcW w:w="7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6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7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3.2111</w:t>
            </w:r>
          </w:p>
        </w:tc>
        <w:tc>
          <w:tcPr>
            <w:tcW w:w="6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5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eastAsia" w:ascii="仿宋_GB2312" w:hAnsi="宋体" w:eastAsia="仿宋_GB2312" w:cs="仿宋_GB2312"/>
                <w:i w:val="0"/>
                <w:iCs w:val="0"/>
                <w:color w:val="000000"/>
                <w:sz w:val="24"/>
                <w:szCs w:val="24"/>
                <w:u w:val="none"/>
              </w:rPr>
            </w:pPr>
            <w:r>
              <w:rPr>
                <w:rStyle w:val="42"/>
                <w:rFonts w:hAnsi="宋体"/>
                <w:lang w:val="en-US" w:eastAsia="zh-CN" w:bidi="ar"/>
              </w:rPr>
              <w:t>紫泉饮料项目</w:t>
            </w:r>
            <w:r>
              <w:rPr>
                <w:rStyle w:val="43"/>
                <w:rFonts w:hint="eastAsia" w:hAnsi="宋体"/>
                <w:lang w:val="en-US" w:eastAsia="zh-CN" w:bidi="ar"/>
              </w:rPr>
              <w:t>成片开发范围</w:t>
            </w:r>
          </w:p>
        </w:tc>
        <w:tc>
          <w:tcPr>
            <w:tcW w:w="7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6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7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2.0431</w:t>
            </w:r>
          </w:p>
        </w:tc>
        <w:tc>
          <w:tcPr>
            <w:tcW w:w="6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2.0431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08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eastAsia" w:ascii="仿宋_GB2312" w:hAnsi="宋体" w:eastAsia="仿宋_GB2312" w:cs="仿宋_GB2312"/>
                <w:i w:val="0"/>
                <w:iCs w:val="0"/>
                <w:color w:val="000000"/>
                <w:sz w:val="24"/>
                <w:szCs w:val="24"/>
                <w:u w:val="none"/>
              </w:rPr>
            </w:pPr>
            <w:r>
              <w:rPr>
                <w:rStyle w:val="42"/>
                <w:rFonts w:hAnsi="宋体"/>
                <w:lang w:val="en-US" w:eastAsia="zh-CN" w:bidi="ar"/>
              </w:rPr>
              <w:t>总计</w:t>
            </w:r>
          </w:p>
        </w:tc>
        <w:tc>
          <w:tcPr>
            <w:tcW w:w="7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49.4186</w:t>
            </w:r>
          </w:p>
        </w:tc>
        <w:tc>
          <w:tcPr>
            <w:tcW w:w="6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31.7042</w:t>
            </w:r>
          </w:p>
        </w:tc>
        <w:tc>
          <w:tcPr>
            <w:tcW w:w="7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55.206</w:t>
            </w:r>
            <w:r>
              <w:rPr>
                <w:rFonts w:hint="eastAsia" w:eastAsia="宋体" w:cs="Times New Roman"/>
                <w:i w:val="0"/>
                <w:iCs w:val="0"/>
                <w:color w:val="000000"/>
                <w:kern w:val="0"/>
                <w:sz w:val="24"/>
                <w:szCs w:val="24"/>
                <w:u w:val="none"/>
                <w:lang w:val="en-US" w:eastAsia="zh-CN" w:bidi="ar"/>
              </w:rPr>
              <w:t>0</w:t>
            </w:r>
          </w:p>
        </w:tc>
        <w:tc>
          <w:tcPr>
            <w:tcW w:w="6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136.3288</w:t>
            </w:r>
          </w:p>
        </w:tc>
      </w:tr>
    </w:tbl>
    <w:p>
      <w:pPr>
        <w:pStyle w:val="2"/>
      </w:pPr>
    </w:p>
    <w:p>
      <w:pPr>
        <w:pStyle w:val="2"/>
      </w:pPr>
    </w:p>
    <w:p>
      <w:pPr>
        <w:pStyle w:val="2"/>
        <w:ind w:firstLine="0" w:firstLineChars="0"/>
        <w:rPr>
          <w:sz w:val="32"/>
        </w:rPr>
      </w:pPr>
    </w:p>
    <w:p>
      <w:pPr>
        <w:pStyle w:val="3"/>
        <w:numPr>
          <w:ilvl w:val="0"/>
          <w:numId w:val="1"/>
        </w:numPr>
        <w:ind w:left="0" w:right="0" w:firstLine="0" w:firstLineChars="0"/>
      </w:pPr>
      <w:bookmarkStart w:id="25" w:name="_Toc16888"/>
      <w:r>
        <w:rPr>
          <w:rFonts w:hint="eastAsia"/>
        </w:rPr>
        <w:t>效益评估</w:t>
      </w:r>
      <w:bookmarkEnd w:id="25"/>
    </w:p>
    <w:p>
      <w:pPr>
        <w:pStyle w:val="4"/>
        <w:numPr>
          <w:ilvl w:val="0"/>
          <w:numId w:val="17"/>
        </w:numPr>
      </w:pPr>
      <w:bookmarkStart w:id="26" w:name="_Toc6753"/>
      <w:r>
        <w:rPr>
          <w:rFonts w:hint="eastAsia"/>
        </w:rPr>
        <w:t>土地利用效益评估</w:t>
      </w:r>
      <w:bookmarkEnd w:id="26"/>
    </w:p>
    <w:p>
      <w:pPr>
        <w:ind w:firstLine="560"/>
      </w:pPr>
      <w:r>
        <w:rPr>
          <w:rFonts w:hint="eastAsia"/>
        </w:rPr>
        <w:t>本次《调整方案》通过合理安排项目用地规模、结构和布局，有效缓解区域土地供需矛盾，提高现有用地使用效益，实现土地利用由粗放型向集约型转变。在布局优化方面，成片开发范围开发建设符合源城区各开发区域控制性详细规划等相关规范导则要求，能够科学合理布局各类用地，优化区域功能结构。在连片开发方面，本次方案合理配置基础设施、公共服务设施以及其他公益性用地和非公益性用地，充分盘活片区闲置土地及低效用地，并与周边地块做了充分衔接，充分考虑与周边环境的协调性，将进一步促进区域的集中连片发展，完善区域公共配套设施，促进提升城市功能品质。</w:t>
      </w:r>
    </w:p>
    <w:p>
      <w:pPr>
        <w:pStyle w:val="4"/>
        <w:numPr>
          <w:ilvl w:val="0"/>
          <w:numId w:val="17"/>
        </w:numPr>
      </w:pPr>
      <w:bookmarkStart w:id="27" w:name="_Toc17483"/>
      <w:r>
        <w:rPr>
          <w:rFonts w:hint="eastAsia"/>
        </w:rPr>
        <w:t>经济效益评估</w:t>
      </w:r>
      <w:bookmarkEnd w:id="27"/>
    </w:p>
    <w:p>
      <w:pPr>
        <w:ind w:firstLine="560"/>
      </w:pPr>
      <w:r>
        <w:rPr>
          <w:rFonts w:hint="eastAsia"/>
        </w:rPr>
        <w:t>本次《调整方案》的实施将进一步推动源城区产业园区、基础设施、公共服务等的开发建设，为投资者创造良好的生产经营环境和生活条件。将进一步提升当地企业市场竞争力，营造良好的企业运营环境，提供优质的公共服务设施水平、居住服务环境，推动区域优质发展。通过本次《调整方案》的编制与落实，为城市发展储蓄了后备土地资源，为源城区经济的可持续、高质量发展提供坚实的后盾，积极引进绿色食品饮料、现代化物流仓储、电子信息智能制造等先进制造业，进一步完善产业结构，推动源城区产业平台的建设。同时也可促进招商引资与渠道拓展，推动区域产城高效融合，进一步保障区域经济发展和其他重点项目顺利落地实施，推进社会经济高质量发展，为源城区实现“十四五”规划目标提供支持和保障。</w:t>
      </w:r>
    </w:p>
    <w:p>
      <w:pPr>
        <w:pStyle w:val="4"/>
        <w:numPr>
          <w:ilvl w:val="0"/>
          <w:numId w:val="17"/>
        </w:numPr>
      </w:pPr>
      <w:bookmarkStart w:id="28" w:name="_Toc16978"/>
      <w:r>
        <w:rPr>
          <w:rFonts w:hint="eastAsia"/>
        </w:rPr>
        <w:t>社会效益评估</w:t>
      </w:r>
      <w:bookmarkEnd w:id="28"/>
    </w:p>
    <w:p>
      <w:pPr>
        <w:ind w:firstLine="560"/>
      </w:pPr>
      <w:r>
        <w:rPr>
          <w:rFonts w:hint="eastAsia"/>
        </w:rPr>
        <w:t>《调整方案》实施后，可推进成片开发范围内部及周边基础设施、公共服务设施的升级和建设，提升区域公共服务水平提高区域人民生活质量和促进社会进步。在发展现代产业的同时，注重改善人居环境，构建宜居宜业宜游的优质人居典范，促进居住空间与就业空间的协调发展。带动就业方面，纳入《调整方案》的成片开发项目建设施工期间及运营实施阶段，均可带动上下游产业链发展，带动区域就业，为民生保障提供了强有力的支撑。在完善生活配套设施方面，区域内公共设施、生态网络、道路设施等将被统筹建设，能够有效保障区域设施的配套建设需求。</w:t>
      </w:r>
    </w:p>
    <w:p>
      <w:pPr>
        <w:pStyle w:val="4"/>
        <w:numPr>
          <w:ilvl w:val="0"/>
          <w:numId w:val="17"/>
        </w:numPr>
      </w:pPr>
      <w:bookmarkStart w:id="29" w:name="_Toc21852"/>
      <w:r>
        <w:rPr>
          <w:rFonts w:hint="eastAsia"/>
        </w:rPr>
        <w:t>生态效益评估</w:t>
      </w:r>
      <w:bookmarkEnd w:id="29"/>
    </w:p>
    <w:p>
      <w:pPr>
        <w:pStyle w:val="2"/>
        <w:ind w:firstLine="560"/>
      </w:pPr>
      <w:r>
        <w:rPr>
          <w:rFonts w:hint="eastAsia"/>
        </w:rPr>
        <w:t>《调整方案》成片开发范围不涉及永久基本农田、自然保护地、陆域生态保护红线等生态底线管控要素，各项目均符合《河源市“三线一单”生态环境分区管控方案》要求。。</w:t>
      </w:r>
    </w:p>
    <w:p>
      <w:pPr>
        <w:pStyle w:val="2"/>
        <w:ind w:firstLine="560"/>
      </w:pPr>
      <w:r>
        <w:rPr>
          <w:rFonts w:hint="eastAsia"/>
        </w:rPr>
        <w:t>各成片开发项目在建设前均按要求做好区域排水规划设计，预埋污水管网、排水管网等，实现排水管网建设与污水处理设施同步设计、同步建设、同步投运，可以避免由于开发建设地表硬化导致地表径流调节能力减弱带来的内涝和有效控制污染，为老百姓建立一个绿色、健康、可持续发展的城市家园。</w:t>
      </w:r>
    </w:p>
    <w:p>
      <w:pPr>
        <w:pStyle w:val="2"/>
        <w:ind w:firstLine="560"/>
      </w:pPr>
      <w:r>
        <w:rPr>
          <w:rFonts w:hint="eastAsia"/>
        </w:rPr>
        <w:t>项目开发建设将结合项目类型采取有效的环境影响保护控制及减缓措施，积极采用从污染源头控制和治理、做好环境风险管控和各项生态环境保护等措施，避免对区域大气环境、土壤环境、水环境、声环境等产生破坏，减少对区域生态环境产生不良影响。</w:t>
      </w:r>
    </w:p>
    <w:p>
      <w:pPr>
        <w:pStyle w:val="2"/>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tabs>
          <w:tab w:val="left" w:pos="457"/>
        </w:tabs>
        <w:ind w:firstLine="560"/>
      </w:pPr>
      <w:r>
        <w:rPr>
          <w:rFonts w:hint="eastAsia"/>
        </w:rPr>
        <w:tab/>
      </w:r>
    </w:p>
    <w:p>
      <w:pPr>
        <w:ind w:firstLine="560"/>
      </w:pPr>
      <w:r>
        <w:rPr>
          <w:rFonts w:hint="eastAsia"/>
        </w:rPr>
        <w:br w:type="page"/>
      </w:r>
    </w:p>
    <w:p>
      <w:pPr>
        <w:pStyle w:val="3"/>
        <w:numPr>
          <w:ilvl w:val="0"/>
          <w:numId w:val="1"/>
        </w:numPr>
        <w:ind w:left="0" w:right="0" w:firstLine="0" w:firstLineChars="0"/>
      </w:pPr>
      <w:bookmarkStart w:id="30" w:name="_Toc13196"/>
      <w:r>
        <w:rPr>
          <w:rFonts w:hint="eastAsia"/>
        </w:rPr>
        <w:t>结论</w:t>
      </w:r>
      <w:bookmarkEnd w:id="30"/>
    </w:p>
    <w:p>
      <w:pPr>
        <w:numPr>
          <w:ilvl w:val="0"/>
          <w:numId w:val="18"/>
        </w:numPr>
        <w:ind w:left="0" w:firstLine="560"/>
        <w:jc w:val="both"/>
        <w:rPr>
          <w:rFonts w:cs="Times New Roman"/>
          <w:kern w:val="2"/>
          <w:szCs w:val="24"/>
          <w:lang w:bidi="ar"/>
        </w:rPr>
      </w:pPr>
      <w:r>
        <w:rPr>
          <w:rFonts w:hint="eastAsia" w:cs="Times New Roman"/>
          <w:kern w:val="2"/>
          <w:szCs w:val="24"/>
          <w:lang w:bidi="ar"/>
        </w:rPr>
        <w:t>《调整方案》坚持新发展理念，以人民为中心，注重维护农民合法权益，注重保护耕地，注重节约集约用地，注重生态环境保护，能够促进当地经济社会可持续发展。</w:t>
      </w:r>
    </w:p>
    <w:p>
      <w:pPr>
        <w:numPr>
          <w:ilvl w:val="0"/>
          <w:numId w:val="18"/>
        </w:numPr>
        <w:ind w:left="0" w:firstLine="560"/>
        <w:jc w:val="both"/>
        <w:rPr>
          <w:rFonts w:cs="Times New Roman"/>
          <w:kern w:val="2"/>
          <w:szCs w:val="24"/>
          <w:lang w:bidi="ar"/>
        </w:rPr>
      </w:pPr>
      <w:r>
        <w:rPr>
          <w:rFonts w:hint="eastAsia" w:cs="Times New Roman"/>
          <w:kern w:val="2"/>
          <w:szCs w:val="24"/>
          <w:lang w:bidi="ar"/>
        </w:rPr>
        <w:t>《调整方案》编制实施有利于源城区构建现代产业体系，建设城市发展新格局，促进“融湾”“融深”，完善区域公共配套设施，提升土地利用效益，维护生态平衡，《方案》编制是必要的、可行的。</w:t>
      </w:r>
    </w:p>
    <w:p>
      <w:pPr>
        <w:numPr>
          <w:ilvl w:val="0"/>
          <w:numId w:val="18"/>
        </w:numPr>
        <w:ind w:left="0" w:firstLine="560"/>
        <w:jc w:val="both"/>
        <w:rPr>
          <w:rFonts w:cs="Times New Roman"/>
          <w:kern w:val="2"/>
          <w:szCs w:val="24"/>
          <w:lang w:bidi="ar"/>
        </w:rPr>
      </w:pPr>
      <w:r>
        <w:rPr>
          <w:rFonts w:hint="eastAsia" w:cs="Times New Roman"/>
          <w:kern w:val="2"/>
          <w:szCs w:val="24"/>
          <w:lang w:bidi="ar"/>
        </w:rPr>
        <w:t>《调整方案》安排基础设施、公共服务设施以及其他公益性用地</w:t>
      </w:r>
      <w:r>
        <w:rPr>
          <w:rFonts w:hint="eastAsia" w:cs="Times New Roman"/>
          <w:kern w:val="2"/>
          <w:szCs w:val="24"/>
          <w:lang w:eastAsia="zh-CN" w:bidi="ar"/>
        </w:rPr>
        <w:t>89.5445</w:t>
      </w:r>
      <w:r>
        <w:rPr>
          <w:rFonts w:hint="eastAsia" w:cs="Times New Roman"/>
          <w:kern w:val="2"/>
          <w:szCs w:val="24"/>
          <w:lang w:bidi="ar"/>
        </w:rPr>
        <w:t>公顷，占总用地比例</w:t>
      </w:r>
      <w:r>
        <w:rPr>
          <w:rFonts w:hint="eastAsia" w:cs="Times New Roman"/>
          <w:kern w:val="2"/>
          <w:szCs w:val="24"/>
          <w:lang w:eastAsia="zh-CN" w:bidi="ar"/>
        </w:rPr>
        <w:t>53.45</w:t>
      </w:r>
      <w:r>
        <w:rPr>
          <w:rFonts w:cs="Times New Roman"/>
          <w:kern w:val="2"/>
          <w:szCs w:val="24"/>
          <w:lang w:bidi="ar"/>
        </w:rPr>
        <w:t>%</w:t>
      </w:r>
      <w:r>
        <w:rPr>
          <w:rFonts w:hint="eastAsia" w:cs="Times New Roman"/>
          <w:kern w:val="2"/>
          <w:szCs w:val="24"/>
          <w:lang w:bidi="ar"/>
        </w:rPr>
        <w:t>，且各项目公益性用地比例均大于</w:t>
      </w:r>
      <w:r>
        <w:rPr>
          <w:rFonts w:cs="Times New Roman"/>
          <w:kern w:val="2"/>
          <w:szCs w:val="24"/>
          <w:lang w:bidi="ar"/>
        </w:rPr>
        <w:t>40%</w:t>
      </w:r>
      <w:r>
        <w:rPr>
          <w:rFonts w:hint="eastAsia" w:cs="Times New Roman"/>
          <w:kern w:val="2"/>
          <w:szCs w:val="24"/>
          <w:lang w:bidi="ar"/>
        </w:rPr>
        <w:t>，符合基础设施、公共服务设施以及其他公益性用地比例一般不低于</w:t>
      </w:r>
      <w:r>
        <w:rPr>
          <w:rFonts w:cs="Times New Roman"/>
          <w:kern w:val="2"/>
          <w:szCs w:val="24"/>
          <w:lang w:bidi="ar"/>
        </w:rPr>
        <w:t>40%</w:t>
      </w:r>
      <w:r>
        <w:rPr>
          <w:rFonts w:hint="eastAsia" w:cs="Times New Roman"/>
          <w:kern w:val="2"/>
          <w:szCs w:val="24"/>
          <w:lang w:bidi="ar"/>
        </w:rPr>
        <w:t>的要求。</w:t>
      </w:r>
    </w:p>
    <w:p>
      <w:pPr>
        <w:numPr>
          <w:ilvl w:val="0"/>
          <w:numId w:val="18"/>
        </w:numPr>
        <w:ind w:left="0" w:firstLine="560"/>
        <w:jc w:val="both"/>
        <w:rPr>
          <w:rFonts w:cs="Times New Roman"/>
          <w:kern w:val="2"/>
          <w:szCs w:val="24"/>
          <w:lang w:bidi="ar"/>
        </w:rPr>
      </w:pPr>
      <w:r>
        <w:rPr>
          <w:rFonts w:hint="eastAsia" w:cs="Times New Roman"/>
          <w:kern w:val="2"/>
          <w:szCs w:val="24"/>
          <w:lang w:bidi="ar"/>
        </w:rPr>
        <w:t>《调整方案》拟征收地块面积136.3288公顷，占土地征收成片开发范围面积的</w:t>
      </w:r>
      <w:r>
        <w:rPr>
          <w:rFonts w:hint="eastAsia" w:cs="Times New Roman"/>
          <w:kern w:val="2"/>
          <w:szCs w:val="24"/>
          <w:lang w:eastAsia="zh-CN" w:bidi="ar"/>
        </w:rPr>
        <w:t>81.38</w:t>
      </w:r>
      <w:r>
        <w:rPr>
          <w:rFonts w:cs="Times New Roman"/>
          <w:kern w:val="2"/>
          <w:szCs w:val="24"/>
          <w:lang w:bidi="ar"/>
        </w:rPr>
        <w:t>%</w:t>
      </w:r>
      <w:r>
        <w:rPr>
          <w:rFonts w:hint="eastAsia" w:cs="Times New Roman"/>
          <w:kern w:val="2"/>
          <w:szCs w:val="24"/>
          <w:lang w:bidi="ar"/>
        </w:rPr>
        <w:t>，符合整个方案拟征收地块面积不低于土地征收成片开发范围面积的</w:t>
      </w:r>
      <w:r>
        <w:rPr>
          <w:rFonts w:cs="Times New Roman"/>
          <w:kern w:val="2"/>
          <w:szCs w:val="24"/>
          <w:lang w:bidi="ar"/>
        </w:rPr>
        <w:t>60%</w:t>
      </w:r>
      <w:r>
        <w:rPr>
          <w:rFonts w:hint="eastAsia" w:cs="Times New Roman"/>
          <w:kern w:val="2"/>
          <w:szCs w:val="24"/>
          <w:lang w:bidi="ar"/>
        </w:rPr>
        <w:t>的要求。</w:t>
      </w:r>
    </w:p>
    <w:p>
      <w:pPr>
        <w:numPr>
          <w:ilvl w:val="0"/>
          <w:numId w:val="18"/>
        </w:numPr>
        <w:ind w:left="0" w:firstLine="560"/>
        <w:jc w:val="both"/>
        <w:rPr>
          <w:rFonts w:cs="Times New Roman"/>
          <w:kern w:val="2"/>
          <w:szCs w:val="24"/>
          <w:lang w:bidi="ar"/>
        </w:rPr>
      </w:pPr>
      <w:r>
        <w:rPr>
          <w:rFonts w:hint="eastAsia" w:cs="Times New Roman"/>
          <w:kern w:val="2"/>
          <w:szCs w:val="24"/>
          <w:lang w:bidi="ar"/>
        </w:rPr>
        <w:t>《调整方案》符合国民经济和社会发展规划、土地利用总体规划、城乡规划和专项规划，已纳入国民经济和社会发展年度计划，并与在编国土空间规划进行了充分衔接，项目纳入了城镇开发边界集中建设区内，符合土地征收成片开发有关要求。</w:t>
      </w:r>
    </w:p>
    <w:p>
      <w:pPr>
        <w:numPr>
          <w:ilvl w:val="0"/>
          <w:numId w:val="18"/>
        </w:numPr>
        <w:ind w:left="0" w:firstLine="560"/>
        <w:jc w:val="both"/>
        <w:rPr>
          <w:rFonts w:cs="Times New Roman"/>
          <w:kern w:val="2"/>
          <w:szCs w:val="24"/>
          <w:lang w:bidi="ar"/>
        </w:rPr>
      </w:pPr>
      <w:r>
        <w:rPr>
          <w:rFonts w:hint="eastAsia" w:cs="Times New Roman"/>
          <w:kern w:val="2"/>
          <w:szCs w:val="24"/>
          <w:lang w:bidi="ar"/>
        </w:rPr>
        <w:t>《调整方案》不涉及占用永久基本农田和生态保护红线，源城区近五年平均供地率大于</w:t>
      </w:r>
      <w:r>
        <w:rPr>
          <w:rFonts w:cs="Times New Roman"/>
          <w:kern w:val="2"/>
          <w:szCs w:val="24"/>
          <w:lang w:bidi="ar"/>
        </w:rPr>
        <w:t>60%</w:t>
      </w:r>
      <w:r>
        <w:rPr>
          <w:rFonts w:hint="eastAsia" w:cs="Times New Roman"/>
          <w:kern w:val="2"/>
          <w:szCs w:val="24"/>
          <w:lang w:bidi="ar"/>
        </w:rPr>
        <w:t>、土地闲置率小于</w:t>
      </w:r>
      <w:r>
        <w:rPr>
          <w:rFonts w:cs="Times New Roman"/>
          <w:kern w:val="2"/>
          <w:szCs w:val="24"/>
          <w:lang w:bidi="ar"/>
        </w:rPr>
        <w:t>5%</w:t>
      </w:r>
      <w:r>
        <w:rPr>
          <w:rFonts w:hint="eastAsia" w:cs="Times New Roman"/>
          <w:kern w:val="2"/>
          <w:szCs w:val="24"/>
          <w:lang w:bidi="ar"/>
        </w:rPr>
        <w:t>，不存在大量批而未供土地或者闲置土地。辖区内的省级以上开发区不存在土地利用效率低下的情形，辖区内无国家级新区；源城区不存在已批准实施的土地征收成片开发连续两年未完成年度土地征收实施计划的情况，符合土地征收成片开发方案上报审查的要求。</w:t>
      </w:r>
    </w:p>
    <w:p>
      <w:pPr>
        <w:numPr>
          <w:ilvl w:val="0"/>
          <w:numId w:val="18"/>
        </w:numPr>
        <w:ind w:left="0" w:firstLine="560"/>
        <w:jc w:val="both"/>
        <w:rPr>
          <w:rFonts w:cs="Times New Roman"/>
          <w:kern w:val="2"/>
          <w:szCs w:val="24"/>
          <w:lang w:bidi="ar"/>
        </w:rPr>
      </w:pPr>
      <w:r>
        <w:rPr>
          <w:rFonts w:hint="eastAsia" w:cs="Times New Roman"/>
          <w:kern w:val="2"/>
          <w:szCs w:val="24"/>
          <w:lang w:bidi="ar"/>
        </w:rPr>
        <w:t>《调整方案》制定了合理实施计划，计划在</w:t>
      </w:r>
      <w:r>
        <w:rPr>
          <w:rFonts w:cs="Times New Roman"/>
          <w:kern w:val="2"/>
          <w:szCs w:val="24"/>
          <w:lang w:bidi="ar"/>
        </w:rPr>
        <w:t>202</w:t>
      </w:r>
      <w:r>
        <w:rPr>
          <w:rFonts w:hint="eastAsia" w:cs="Times New Roman"/>
          <w:kern w:val="2"/>
          <w:szCs w:val="24"/>
          <w:lang w:bidi="ar"/>
        </w:rPr>
        <w:t>1</w:t>
      </w:r>
      <w:r>
        <w:rPr>
          <w:rFonts w:cs="Times New Roman"/>
          <w:kern w:val="2"/>
          <w:szCs w:val="24"/>
          <w:lang w:bidi="ar"/>
        </w:rPr>
        <w:t>-2023</w:t>
      </w:r>
      <w:r>
        <w:rPr>
          <w:rFonts w:hint="eastAsia" w:cs="Times New Roman"/>
          <w:kern w:val="2"/>
          <w:szCs w:val="24"/>
          <w:lang w:bidi="ar"/>
        </w:rPr>
        <w:t>年期间完成土地征收，实施计划综合考虑规划建设计划、被征地单位意愿、征地资金等情况，实施计划切实可行。</w:t>
      </w:r>
    </w:p>
    <w:p>
      <w:pPr>
        <w:numPr>
          <w:ilvl w:val="0"/>
          <w:numId w:val="18"/>
        </w:numPr>
        <w:ind w:left="0" w:firstLine="560"/>
        <w:jc w:val="both"/>
        <w:rPr>
          <w:rFonts w:cs="Times New Roman"/>
          <w:kern w:val="2"/>
          <w:szCs w:val="24"/>
          <w:lang w:bidi="ar"/>
        </w:rPr>
      </w:pPr>
      <w:r>
        <w:rPr>
          <w:rFonts w:hint="eastAsia" w:cs="Times New Roman"/>
          <w:kern w:val="2"/>
          <w:szCs w:val="24"/>
          <w:lang w:bidi="ar"/>
        </w:rPr>
        <w:t>《调整方案》实施将进一步优化建设用地空间布局，提高建设用地集约利用水平和城市化建设水平，推进园区提质增效，推动产业项目集聚集约发展，推进工业转型升级，实现工业增量。同时，为当地居民提供更多公共、商业设施与就业机会，有利于吸引大量人才，有较大的经济与社会效益。同时，开发建设不涉及生态敏感、脆弱区域，将减少原先对粗放无序发展、对生态资源的低效利用与破坏，提高人民群众对生态环境的满意度和获得感，具有较好的生态效益。</w:t>
      </w:r>
    </w:p>
    <w:p>
      <w:pPr>
        <w:numPr>
          <w:ilvl w:val="0"/>
          <w:numId w:val="18"/>
        </w:numPr>
        <w:ind w:left="0" w:firstLine="560"/>
        <w:jc w:val="both"/>
      </w:pPr>
      <w:r>
        <w:rPr>
          <w:rFonts w:hint="eastAsia" w:cs="Times New Roman"/>
          <w:kern w:val="2"/>
          <w:szCs w:val="24"/>
          <w:lang w:bidi="ar"/>
        </w:rPr>
        <w:t>综上所述，《调整方案》符合政策要求、程序规范；土地征收实施计划安排合理、可行性高；成片开发能带来较大的经济、社会、生态效益。</w:t>
      </w:r>
    </w:p>
    <w:p>
      <w:pPr>
        <w:pStyle w:val="2"/>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pStyle w:val="3"/>
        <w:numPr>
          <w:ilvl w:val="0"/>
          <w:numId w:val="1"/>
        </w:numPr>
        <w:ind w:left="0" w:right="0" w:firstLine="0" w:firstLineChars="0"/>
      </w:pPr>
      <w:bookmarkStart w:id="31" w:name="_Toc22268"/>
      <w:r>
        <w:rPr>
          <w:rFonts w:hint="eastAsia"/>
        </w:rPr>
        <w:t>附图</w:t>
      </w:r>
      <w:bookmarkEnd w:id="31"/>
    </w:p>
    <w:p>
      <w:pPr>
        <w:pStyle w:val="2"/>
        <w:ind w:firstLine="0" w:firstLineChars="0"/>
        <w:rPr>
          <w:rFonts w:hint="eastAsia" w:eastAsia="仿宋_GB2312"/>
          <w:lang w:eastAsia="zh-CN"/>
        </w:rPr>
      </w:pPr>
      <w:r>
        <w:rPr>
          <w:rFonts w:hint="eastAsia" w:eastAsia="仿宋_GB2312"/>
          <w:lang w:eastAsia="zh-CN"/>
        </w:rPr>
        <w:drawing>
          <wp:inline distT="0" distB="0" distL="114300" distR="114300">
            <wp:extent cx="5273040" cy="7451725"/>
            <wp:effectExtent l="0" t="0" r="3810" b="15875"/>
            <wp:docPr id="4" name="图片 4" descr="河源市源城区2021年度调整土地征收成片开发范围影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河源市源城区2021年度调整土地征收成片开发范围影像图"/>
                    <pic:cNvPicPr>
                      <a:picLocks noChangeAspect="1"/>
                    </pic:cNvPicPr>
                  </pic:nvPicPr>
                  <pic:blipFill>
                    <a:blip r:embed="rId15"/>
                    <a:stretch>
                      <a:fillRect/>
                    </a:stretch>
                  </pic:blipFill>
                  <pic:spPr>
                    <a:xfrm>
                      <a:off x="0" y="0"/>
                      <a:ext cx="5273040" cy="7451725"/>
                    </a:xfrm>
                    <a:prstGeom prst="rect">
                      <a:avLst/>
                    </a:prstGeom>
                  </pic:spPr>
                </pic:pic>
              </a:graphicData>
            </a:graphic>
          </wp:inline>
        </w:drawing>
      </w:r>
    </w:p>
    <w:sectPr>
      <w:pgSz w:w="11906" w:h="16838"/>
      <w:pgMar w:top="1440" w:right="1800" w:bottom="1440" w:left="1800"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firstLine="36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1"/>
                      <w:ind w:firstLine="36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firstLine="36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1"/>
                      <w:ind w:firstLine="36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9657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9657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39.1pt;mso-position-horizontal:center;mso-position-horizontal-relative:margin;z-index:251660288;mso-width-relative:page;mso-height-relative:page;" filled="f" stroked="f" coordsize="21600,21600" o:gfxdata="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rlADt0wAAAAQBAAAPAAAAAAAAAAEAIAAAACIAAABkcnMvZG93bnJldi54bWxQSwEC&#10;FAAUAAAACACHTuJAeaWZIjICAABWBAAADgAAAAAAAAABACAAAAAiAQAAZHJzL2Uyb0RvYy54bWxQ&#10;SwUGAAAAAAYABgBZAQAAxgUAAAAA&#10;">
              <v:fill on="f" focussize="0,0"/>
              <v:stroke on="f" weight="0.5pt"/>
              <v:imagedata o:title=""/>
              <o:lock v:ext="edit" aspectratio="f"/>
              <v:textbox inset="0mm,0mm,0mm,0mm" style="mso-fit-shape-to-text:t;">
                <w:txbxContent>
                  <w:p>
                    <w:pPr>
                      <w:pStyle w:val="11"/>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firstLine="36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1"/>
                      <w:ind w:firstLine="36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ind w:firstLine="360"/>
    </w:pPr>
    <w:r>
      <w:pict>
        <v:shape id="PowerPlusWaterMarkObject30187" o:spid="_x0000_s3074" o:spt="136" type="#_x0000_t136" style="position:absolute;left:0pt;height:130.15pt;width:457.1pt;mso-position-horizontal:center;mso-position-horizontal-relative:margin;mso-position-vertical:center;mso-position-vertical-relative:margin;rotation:-2949120f;z-index:-251653120;mso-width-relative:page;mso-height-relative:page;" fillcolor="#C0C0C0" filled="t" stroked="f" coordsize="21600,21600">
          <v:path/>
          <v:fill on="t" opacity="32768f" focussize="0,0"/>
          <v:stroke on="f"/>
          <v:imagedata o:title=""/>
          <o:lock v:ext="edit" aspectratio="t"/>
          <v:textpath on="t" fitshape="t" fitpath="t" trim="t" xscale="f" string="公示草案" style="font-family:宋体;font-size:36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w:pict>
        <v:shape id="_x0000_s3073" o:spid="_x0000_s3073" o:spt="136" type="#_x0000_t136" style="position:absolute;left:0pt;height:130.15pt;width:457.1pt;mso-position-horizontal:center;mso-position-horizontal-relative:margin;mso-position-vertical:center;mso-position-vertical-relative:margin;rotation:-2949120f;z-index:-251652096;mso-width-relative:page;mso-height-relative:page;" fillcolor="#C0C0C0" filled="t" stroked="f" coordsize="21600,21600">
          <v:path/>
          <v:fill on="t" opacity="32768f" focussize="0,0"/>
          <v:stroke on="f"/>
          <v:imagedata o:title=""/>
          <o:lock v:ext="edit" aspectratio="t"/>
          <v:textpath on="t" fitshape="t" fitpath="t" trim="t" xscale="f" string="公示草案" style="font-family:宋体;font-size:36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27B49C"/>
    <w:multiLevelType w:val="singleLevel"/>
    <w:tmpl w:val="8C27B49C"/>
    <w:lvl w:ilvl="0" w:tentative="0">
      <w:start w:val="1"/>
      <w:numFmt w:val="chineseCounting"/>
      <w:suff w:val="nothing"/>
      <w:lvlText w:val="%1、"/>
      <w:lvlJc w:val="left"/>
      <w:rPr>
        <w:rFonts w:hint="eastAsia"/>
      </w:rPr>
    </w:lvl>
  </w:abstractNum>
  <w:abstractNum w:abstractNumId="1">
    <w:nsid w:val="8FAFC3F3"/>
    <w:multiLevelType w:val="singleLevel"/>
    <w:tmpl w:val="8FAFC3F3"/>
    <w:lvl w:ilvl="0" w:tentative="0">
      <w:start w:val="1"/>
      <w:numFmt w:val="decimal"/>
      <w:lvlText w:val="%1."/>
      <w:lvlJc w:val="left"/>
      <w:pPr>
        <w:ind w:left="425" w:hanging="425"/>
      </w:pPr>
      <w:rPr>
        <w:rFonts w:hint="default"/>
      </w:rPr>
    </w:lvl>
  </w:abstractNum>
  <w:abstractNum w:abstractNumId="2">
    <w:nsid w:val="96A407D5"/>
    <w:multiLevelType w:val="singleLevel"/>
    <w:tmpl w:val="96A407D5"/>
    <w:lvl w:ilvl="0" w:tentative="0">
      <w:start w:val="1"/>
      <w:numFmt w:val="chineseCounting"/>
      <w:suff w:val="nothing"/>
      <w:lvlText w:val="（%1）"/>
      <w:lvlJc w:val="left"/>
      <w:rPr>
        <w:rFonts w:hint="eastAsia"/>
      </w:rPr>
    </w:lvl>
  </w:abstractNum>
  <w:abstractNum w:abstractNumId="3">
    <w:nsid w:val="A126E3F7"/>
    <w:multiLevelType w:val="singleLevel"/>
    <w:tmpl w:val="A126E3F7"/>
    <w:lvl w:ilvl="0" w:tentative="0">
      <w:start w:val="1"/>
      <w:numFmt w:val="chineseCounting"/>
      <w:suff w:val="nothing"/>
      <w:lvlText w:val="%1、"/>
      <w:lvlJc w:val="left"/>
      <w:rPr>
        <w:rFonts w:hint="eastAsia"/>
      </w:rPr>
    </w:lvl>
  </w:abstractNum>
  <w:abstractNum w:abstractNumId="4">
    <w:nsid w:val="B3B36298"/>
    <w:multiLevelType w:val="singleLevel"/>
    <w:tmpl w:val="B3B36298"/>
    <w:lvl w:ilvl="0" w:tentative="0">
      <w:start w:val="1"/>
      <w:numFmt w:val="decimal"/>
      <w:lvlText w:val="%1."/>
      <w:lvlJc w:val="left"/>
      <w:pPr>
        <w:ind w:left="425" w:hanging="425"/>
      </w:pPr>
      <w:rPr>
        <w:rFonts w:hint="default"/>
      </w:rPr>
    </w:lvl>
  </w:abstractNum>
  <w:abstractNum w:abstractNumId="5">
    <w:nsid w:val="C5EFDF1D"/>
    <w:multiLevelType w:val="singleLevel"/>
    <w:tmpl w:val="C5EFDF1D"/>
    <w:lvl w:ilvl="0" w:tentative="0">
      <w:start w:val="1"/>
      <w:numFmt w:val="chineseCounting"/>
      <w:suff w:val="space"/>
      <w:lvlText w:val="第%1章"/>
      <w:lvlJc w:val="left"/>
      <w:rPr>
        <w:rFonts w:hint="eastAsia"/>
      </w:rPr>
    </w:lvl>
  </w:abstractNum>
  <w:abstractNum w:abstractNumId="6">
    <w:nsid w:val="CBE735F9"/>
    <w:multiLevelType w:val="singleLevel"/>
    <w:tmpl w:val="CBE735F9"/>
    <w:lvl w:ilvl="0" w:tentative="0">
      <w:start w:val="1"/>
      <w:numFmt w:val="chineseCounting"/>
      <w:suff w:val="nothing"/>
      <w:lvlText w:val="%1、"/>
      <w:lvlJc w:val="left"/>
      <w:rPr>
        <w:rFonts w:hint="eastAsia"/>
      </w:rPr>
    </w:lvl>
  </w:abstractNum>
  <w:abstractNum w:abstractNumId="7">
    <w:nsid w:val="D1E2D977"/>
    <w:multiLevelType w:val="singleLevel"/>
    <w:tmpl w:val="D1E2D977"/>
    <w:lvl w:ilvl="0" w:tentative="0">
      <w:start w:val="1"/>
      <w:numFmt w:val="decimal"/>
      <w:lvlText w:val="%1."/>
      <w:lvlJc w:val="left"/>
      <w:pPr>
        <w:ind w:left="425" w:hanging="425"/>
      </w:pPr>
      <w:rPr>
        <w:rFonts w:hint="default"/>
      </w:rPr>
    </w:lvl>
  </w:abstractNum>
  <w:abstractNum w:abstractNumId="8">
    <w:nsid w:val="DBED21A9"/>
    <w:multiLevelType w:val="singleLevel"/>
    <w:tmpl w:val="DBED21A9"/>
    <w:lvl w:ilvl="0" w:tentative="0">
      <w:start w:val="1"/>
      <w:numFmt w:val="chineseCounting"/>
      <w:suff w:val="nothing"/>
      <w:lvlText w:val="%1、"/>
      <w:lvlJc w:val="left"/>
      <w:rPr>
        <w:rFonts w:hint="eastAsia"/>
      </w:rPr>
    </w:lvl>
  </w:abstractNum>
  <w:abstractNum w:abstractNumId="9">
    <w:nsid w:val="E90E95BE"/>
    <w:multiLevelType w:val="singleLevel"/>
    <w:tmpl w:val="E90E95BE"/>
    <w:lvl w:ilvl="0" w:tentative="0">
      <w:start w:val="1"/>
      <w:numFmt w:val="chineseCounting"/>
      <w:suff w:val="nothing"/>
      <w:lvlText w:val="%1、"/>
      <w:lvlJc w:val="left"/>
      <w:rPr>
        <w:rFonts w:hint="eastAsia"/>
      </w:rPr>
    </w:lvl>
  </w:abstractNum>
  <w:abstractNum w:abstractNumId="10">
    <w:nsid w:val="F52ACC02"/>
    <w:multiLevelType w:val="singleLevel"/>
    <w:tmpl w:val="F52ACC02"/>
    <w:lvl w:ilvl="0" w:tentative="0">
      <w:start w:val="1"/>
      <w:numFmt w:val="decimal"/>
      <w:lvlText w:val="%1."/>
      <w:lvlJc w:val="left"/>
      <w:pPr>
        <w:ind w:left="425" w:hanging="425"/>
      </w:pPr>
      <w:rPr>
        <w:rFonts w:hint="default"/>
      </w:rPr>
    </w:lvl>
  </w:abstractNum>
  <w:abstractNum w:abstractNumId="11">
    <w:nsid w:val="F8369386"/>
    <w:multiLevelType w:val="singleLevel"/>
    <w:tmpl w:val="F8369386"/>
    <w:lvl w:ilvl="0" w:tentative="0">
      <w:start w:val="1"/>
      <w:numFmt w:val="chineseCounting"/>
      <w:suff w:val="nothing"/>
      <w:lvlText w:val="%1、"/>
      <w:lvlJc w:val="left"/>
      <w:rPr>
        <w:rFonts w:hint="eastAsia"/>
      </w:rPr>
    </w:lvl>
  </w:abstractNum>
  <w:abstractNum w:abstractNumId="12">
    <w:nsid w:val="F935ACA7"/>
    <w:multiLevelType w:val="singleLevel"/>
    <w:tmpl w:val="F935ACA7"/>
    <w:lvl w:ilvl="0" w:tentative="0">
      <w:start w:val="1"/>
      <w:numFmt w:val="chineseCounting"/>
      <w:suff w:val="nothing"/>
      <w:lvlText w:val="（%1）"/>
      <w:lvlJc w:val="left"/>
      <w:rPr>
        <w:rFonts w:hint="eastAsia"/>
      </w:rPr>
    </w:lvl>
  </w:abstractNum>
  <w:abstractNum w:abstractNumId="13">
    <w:nsid w:val="058B6466"/>
    <w:multiLevelType w:val="singleLevel"/>
    <w:tmpl w:val="058B6466"/>
    <w:lvl w:ilvl="0" w:tentative="0">
      <w:start w:val="1"/>
      <w:numFmt w:val="chineseCounting"/>
      <w:suff w:val="nothing"/>
      <w:lvlText w:val="（%1）"/>
      <w:lvlJc w:val="left"/>
      <w:rPr>
        <w:rFonts w:hint="eastAsia"/>
      </w:rPr>
    </w:lvl>
  </w:abstractNum>
  <w:abstractNum w:abstractNumId="14">
    <w:nsid w:val="1B26B743"/>
    <w:multiLevelType w:val="singleLevel"/>
    <w:tmpl w:val="1B26B743"/>
    <w:lvl w:ilvl="0" w:tentative="0">
      <w:start w:val="1"/>
      <w:numFmt w:val="chineseCounting"/>
      <w:suff w:val="nothing"/>
      <w:lvlText w:val="（%1）"/>
      <w:lvlJc w:val="left"/>
      <w:rPr>
        <w:rFonts w:hint="eastAsia"/>
      </w:rPr>
    </w:lvl>
  </w:abstractNum>
  <w:abstractNum w:abstractNumId="15">
    <w:nsid w:val="2A3EF7AC"/>
    <w:multiLevelType w:val="singleLevel"/>
    <w:tmpl w:val="2A3EF7AC"/>
    <w:lvl w:ilvl="0" w:tentative="0">
      <w:start w:val="1"/>
      <w:numFmt w:val="decimal"/>
      <w:lvlText w:val="%1."/>
      <w:lvlJc w:val="left"/>
      <w:pPr>
        <w:ind w:left="425" w:hanging="425"/>
      </w:pPr>
      <w:rPr>
        <w:rFonts w:hint="default"/>
      </w:rPr>
    </w:lvl>
  </w:abstractNum>
  <w:abstractNum w:abstractNumId="16">
    <w:nsid w:val="2EF06FD3"/>
    <w:multiLevelType w:val="singleLevel"/>
    <w:tmpl w:val="2EF06FD3"/>
    <w:lvl w:ilvl="0" w:tentative="0">
      <w:start w:val="1"/>
      <w:numFmt w:val="chineseCounting"/>
      <w:suff w:val="nothing"/>
      <w:lvlText w:val="（%1）"/>
      <w:lvlJc w:val="left"/>
      <w:rPr>
        <w:rFonts w:hint="eastAsia"/>
      </w:rPr>
    </w:lvl>
  </w:abstractNum>
  <w:abstractNum w:abstractNumId="17">
    <w:nsid w:val="65E8C599"/>
    <w:multiLevelType w:val="singleLevel"/>
    <w:tmpl w:val="65E8C599"/>
    <w:lvl w:ilvl="0" w:tentative="0">
      <w:start w:val="1"/>
      <w:numFmt w:val="chineseCounting"/>
      <w:suff w:val="nothing"/>
      <w:lvlText w:val="（%1）"/>
      <w:lvlJc w:val="left"/>
      <w:rPr>
        <w:rFonts w:hint="eastAsia"/>
      </w:rPr>
    </w:lvl>
  </w:abstractNum>
  <w:num w:numId="1">
    <w:abstractNumId w:val="5"/>
  </w:num>
  <w:num w:numId="2">
    <w:abstractNumId w:val="8"/>
  </w:num>
  <w:num w:numId="3">
    <w:abstractNumId w:val="2"/>
  </w:num>
  <w:num w:numId="4">
    <w:abstractNumId w:val="16"/>
  </w:num>
  <w:num w:numId="5">
    <w:abstractNumId w:val="7"/>
  </w:num>
  <w:num w:numId="6">
    <w:abstractNumId w:val="1"/>
  </w:num>
  <w:num w:numId="7">
    <w:abstractNumId w:val="10"/>
  </w:num>
  <w:num w:numId="8">
    <w:abstractNumId w:val="4"/>
  </w:num>
  <w:num w:numId="9">
    <w:abstractNumId w:val="11"/>
  </w:num>
  <w:num w:numId="10">
    <w:abstractNumId w:val="14"/>
  </w:num>
  <w:num w:numId="11">
    <w:abstractNumId w:val="17"/>
  </w:num>
  <w:num w:numId="12">
    <w:abstractNumId w:val="0"/>
  </w:num>
  <w:num w:numId="13">
    <w:abstractNumId w:val="3"/>
  </w:num>
  <w:num w:numId="14">
    <w:abstractNumId w:val="13"/>
  </w:num>
  <w:num w:numId="15">
    <w:abstractNumId w:val="12"/>
  </w:num>
  <w:num w:numId="16">
    <w:abstractNumId w:val="6"/>
  </w:num>
  <w:num w:numId="17">
    <w:abstractNumId w:val="9"/>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jN2E5NTlkMmQwZjcyNGJhNTRmZTU2N2ExYjc3MzkifQ=="/>
  </w:docVars>
  <w:rsids>
    <w:rsidRoot w:val="3D695A65"/>
    <w:rsid w:val="000B4A7E"/>
    <w:rsid w:val="002C0EF2"/>
    <w:rsid w:val="00366614"/>
    <w:rsid w:val="003A343C"/>
    <w:rsid w:val="004E7978"/>
    <w:rsid w:val="004F4F02"/>
    <w:rsid w:val="00685C4B"/>
    <w:rsid w:val="0075106E"/>
    <w:rsid w:val="008576E9"/>
    <w:rsid w:val="008D27B1"/>
    <w:rsid w:val="008E1B35"/>
    <w:rsid w:val="009410BD"/>
    <w:rsid w:val="00961EF6"/>
    <w:rsid w:val="009C24C9"/>
    <w:rsid w:val="00A77598"/>
    <w:rsid w:val="05320F8C"/>
    <w:rsid w:val="0C575F32"/>
    <w:rsid w:val="157738DE"/>
    <w:rsid w:val="204D3701"/>
    <w:rsid w:val="26C53DF0"/>
    <w:rsid w:val="2EC21951"/>
    <w:rsid w:val="398E6FFF"/>
    <w:rsid w:val="3C8F3DA6"/>
    <w:rsid w:val="3D695A65"/>
    <w:rsid w:val="40DF50AE"/>
    <w:rsid w:val="469A5290"/>
    <w:rsid w:val="4CDD407B"/>
    <w:rsid w:val="524B3FA8"/>
    <w:rsid w:val="568B77EF"/>
    <w:rsid w:val="5CA438C6"/>
    <w:rsid w:val="62182713"/>
    <w:rsid w:val="64124F53"/>
    <w:rsid w:val="715F5A7E"/>
    <w:rsid w:val="75691DF7"/>
    <w:rsid w:val="7BE765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N w:val="0"/>
      <w:spacing w:line="360" w:lineRule="auto"/>
      <w:ind w:firstLine="883" w:firstLineChars="200"/>
    </w:pPr>
    <w:rPr>
      <w:rFonts w:ascii="Times New Roman" w:hAnsi="Times New Roman" w:eastAsia="仿宋_GB2312" w:cs="仿宋"/>
      <w:sz w:val="28"/>
      <w:szCs w:val="22"/>
      <w:lang w:val="en-US" w:eastAsia="zh-CN" w:bidi="ar-SA"/>
    </w:rPr>
  </w:style>
  <w:style w:type="paragraph" w:styleId="3">
    <w:name w:val="heading 1"/>
    <w:basedOn w:val="1"/>
    <w:next w:val="1"/>
    <w:qFormat/>
    <w:uiPriority w:val="1"/>
    <w:pPr>
      <w:spacing w:before="55"/>
      <w:ind w:left="283" w:right="578"/>
      <w:jc w:val="center"/>
      <w:outlineLvl w:val="0"/>
    </w:pPr>
    <w:rPr>
      <w:b/>
      <w:bCs/>
      <w:sz w:val="44"/>
      <w:szCs w:val="32"/>
    </w:rPr>
  </w:style>
  <w:style w:type="paragraph" w:styleId="4">
    <w:name w:val="heading 2"/>
    <w:basedOn w:val="1"/>
    <w:next w:val="1"/>
    <w:qFormat/>
    <w:uiPriority w:val="1"/>
    <w:pPr>
      <w:spacing w:before="240" w:after="240"/>
      <w:ind w:left="102" w:firstLine="0" w:firstLineChars="0"/>
      <w:outlineLvl w:val="1"/>
    </w:pPr>
    <w:rPr>
      <w:b/>
      <w:bCs/>
      <w:sz w:val="32"/>
      <w:szCs w:val="30"/>
    </w:rPr>
  </w:style>
  <w:style w:type="paragraph" w:styleId="5">
    <w:name w:val="heading 3"/>
    <w:basedOn w:val="1"/>
    <w:next w:val="1"/>
    <w:link w:val="34"/>
    <w:qFormat/>
    <w:uiPriority w:val="1"/>
    <w:pPr>
      <w:ind w:left="329" w:firstLine="0" w:firstLineChars="0"/>
      <w:outlineLvl w:val="2"/>
    </w:pPr>
    <w:rPr>
      <w:b/>
      <w:bCs/>
      <w:szCs w:val="28"/>
    </w:rPr>
  </w:style>
  <w:style w:type="paragraph" w:styleId="6">
    <w:name w:val="heading 6"/>
    <w:basedOn w:val="1"/>
    <w:next w:val="1"/>
    <w:link w:val="30"/>
    <w:semiHidden/>
    <w:unhideWhenUsed/>
    <w:qFormat/>
    <w:uiPriority w:val="0"/>
    <w:pPr>
      <w:keepNext/>
      <w:keepLines/>
      <w:spacing w:before="240" w:after="64" w:line="317" w:lineRule="auto"/>
      <w:outlineLvl w:val="5"/>
    </w:pPr>
    <w:rPr>
      <w:rFonts w:ascii="Arial" w:hAnsi="Arial" w:eastAsia="黑体"/>
      <w:b/>
      <w:sz w:val="24"/>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29"/>
    <w:unhideWhenUsed/>
    <w:qFormat/>
    <w:uiPriority w:val="99"/>
  </w:style>
  <w:style w:type="paragraph" w:styleId="7">
    <w:name w:val="caption"/>
    <w:basedOn w:val="6"/>
    <w:next w:val="1"/>
    <w:link w:val="28"/>
    <w:semiHidden/>
    <w:unhideWhenUsed/>
    <w:qFormat/>
    <w:uiPriority w:val="0"/>
    <w:pPr>
      <w:spacing w:before="0" w:after="0" w:line="240" w:lineRule="auto"/>
      <w:ind w:firstLine="0" w:firstLineChars="0"/>
      <w:jc w:val="center"/>
    </w:pPr>
    <w:rPr>
      <w:rFonts w:ascii="Times New Roman" w:hAnsi="Times New Roman" w:eastAsia="宋体" w:cs="Times New Roman"/>
      <w:kern w:val="2"/>
      <w:szCs w:val="20"/>
    </w:rPr>
  </w:style>
  <w:style w:type="paragraph" w:styleId="8">
    <w:name w:val="annotation text"/>
    <w:basedOn w:val="1"/>
    <w:link w:val="39"/>
    <w:qFormat/>
    <w:uiPriority w:val="0"/>
  </w:style>
  <w:style w:type="paragraph" w:styleId="9">
    <w:name w:val="Body Text"/>
    <w:basedOn w:val="1"/>
    <w:qFormat/>
    <w:uiPriority w:val="1"/>
    <w:rPr>
      <w:rFonts w:ascii="仿宋" w:hAnsi="仿宋" w:eastAsia="仿宋"/>
      <w:szCs w:val="28"/>
    </w:rPr>
  </w:style>
  <w:style w:type="paragraph" w:styleId="10">
    <w:name w:val="Balloon Text"/>
    <w:basedOn w:val="1"/>
    <w:link w:val="33"/>
    <w:qFormat/>
    <w:uiPriority w:val="0"/>
    <w:pPr>
      <w:spacing w:line="240" w:lineRule="auto"/>
    </w:pPr>
    <w:rPr>
      <w:sz w:val="18"/>
      <w:szCs w:val="18"/>
    </w:rPr>
  </w:style>
  <w:style w:type="paragraph" w:styleId="11">
    <w:name w:val="footer"/>
    <w:basedOn w:val="1"/>
    <w:qFormat/>
    <w:uiPriority w:val="0"/>
    <w:pPr>
      <w:tabs>
        <w:tab w:val="center" w:pos="4153"/>
        <w:tab w:val="right" w:pos="8306"/>
      </w:tabs>
      <w:snapToGrid w:val="0"/>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rPr>
      <w:sz w:val="24"/>
    </w:rPr>
  </w:style>
  <w:style w:type="paragraph" w:styleId="16">
    <w:name w:val="Title"/>
    <w:basedOn w:val="1"/>
    <w:qFormat/>
    <w:uiPriority w:val="1"/>
    <w:pPr>
      <w:spacing w:before="51"/>
      <w:ind w:left="282" w:right="584"/>
      <w:jc w:val="center"/>
    </w:pPr>
    <w:rPr>
      <w:rFonts w:ascii="仿宋" w:hAnsi="仿宋" w:eastAsia="仿宋"/>
      <w:sz w:val="44"/>
      <w:szCs w:val="44"/>
    </w:rPr>
  </w:style>
  <w:style w:type="paragraph" w:styleId="17">
    <w:name w:val="annotation subject"/>
    <w:basedOn w:val="8"/>
    <w:next w:val="8"/>
    <w:link w:val="40"/>
    <w:qFormat/>
    <w:uiPriority w:val="0"/>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1">
    <w:name w:val="annotation reference"/>
    <w:basedOn w:val="20"/>
    <w:qFormat/>
    <w:uiPriority w:val="0"/>
    <w:rPr>
      <w:sz w:val="21"/>
      <w:szCs w:val="21"/>
    </w:rPr>
  </w:style>
  <w:style w:type="paragraph" w:styleId="22">
    <w:name w:val="List Paragraph"/>
    <w:basedOn w:val="1"/>
    <w:qFormat/>
    <w:uiPriority w:val="1"/>
    <w:pPr>
      <w:spacing w:before="2"/>
      <w:ind w:left="942" w:hanging="281"/>
    </w:pPr>
    <w:rPr>
      <w:rFonts w:ascii="仿宋" w:hAnsi="仿宋" w:eastAsia="仿宋"/>
    </w:rPr>
  </w:style>
  <w:style w:type="paragraph" w:customStyle="1" w:styleId="23">
    <w:name w:val="WPSOffice手动目录 1"/>
    <w:qFormat/>
    <w:uiPriority w:val="0"/>
    <w:rPr>
      <w:rFonts w:ascii="Times New Roman" w:hAnsi="Times New Roman" w:eastAsia="宋体" w:cs="Times New Roman"/>
      <w:lang w:val="en-US" w:eastAsia="zh-CN" w:bidi="ar-SA"/>
    </w:rPr>
  </w:style>
  <w:style w:type="paragraph" w:customStyle="1" w:styleId="2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5">
    <w:name w:val="Other|1"/>
    <w:basedOn w:val="1"/>
    <w:qFormat/>
    <w:uiPriority w:val="0"/>
    <w:pPr>
      <w:spacing w:after="600" w:line="314" w:lineRule="auto"/>
      <w:jc w:val="center"/>
    </w:pPr>
    <w:rPr>
      <w:rFonts w:ascii="宋体" w:hAnsi="宋体" w:eastAsia="宋体" w:cs="宋体"/>
      <w:sz w:val="42"/>
      <w:szCs w:val="42"/>
      <w:lang w:val="zh-TW" w:eastAsia="zh-TW" w:bidi="zh-TW"/>
    </w:rPr>
  </w:style>
  <w:style w:type="paragraph" w:customStyle="1" w:styleId="26">
    <w:name w:val="Table Text"/>
    <w:basedOn w:val="1"/>
    <w:hidden/>
    <w:qFormat/>
    <w:uiPriority w:val="0"/>
    <w:pPr>
      <w:widowControl/>
      <w:kinsoku w:val="0"/>
      <w:autoSpaceDE w:val="0"/>
      <w:adjustRightInd w:val="0"/>
      <w:snapToGrid w:val="0"/>
    </w:pPr>
    <w:rPr>
      <w:rFonts w:eastAsia="Times New Roman" w:cs="Times New Roman"/>
      <w:color w:val="000000"/>
      <w:sz w:val="21"/>
      <w:szCs w:val="21"/>
    </w:rPr>
  </w:style>
  <w:style w:type="table" w:customStyle="1" w:styleId="27">
    <w:name w:val="Table Normal"/>
    <w:basedOn w:val="18"/>
    <w:semiHidden/>
    <w:qFormat/>
    <w:uiPriority w:val="0"/>
    <w:tblPr>
      <w:tblCellMar>
        <w:left w:w="0" w:type="dxa"/>
        <w:right w:w="0" w:type="dxa"/>
      </w:tblCellMar>
    </w:tblPr>
  </w:style>
  <w:style w:type="character" w:customStyle="1" w:styleId="28">
    <w:name w:val="题注 字符"/>
    <w:basedOn w:val="20"/>
    <w:link w:val="7"/>
    <w:qFormat/>
    <w:uiPriority w:val="0"/>
    <w:rPr>
      <w:kern w:val="2"/>
      <w:sz w:val="24"/>
    </w:rPr>
  </w:style>
  <w:style w:type="character" w:customStyle="1" w:styleId="29">
    <w:name w:val="正文文本缩进 2 字符"/>
    <w:basedOn w:val="20"/>
    <w:link w:val="2"/>
    <w:qFormat/>
    <w:uiPriority w:val="0"/>
    <w:rPr>
      <w:rFonts w:hint="default" w:ascii="Times New Roman" w:hAnsi="Times New Roman" w:cs="Times New Roman"/>
      <w:kern w:val="2"/>
      <w:sz w:val="28"/>
      <w:szCs w:val="24"/>
    </w:rPr>
  </w:style>
  <w:style w:type="character" w:customStyle="1" w:styleId="30">
    <w:name w:val="标题 6 字符"/>
    <w:basedOn w:val="20"/>
    <w:link w:val="6"/>
    <w:qFormat/>
    <w:uiPriority w:val="0"/>
    <w:rPr>
      <w:rFonts w:ascii="Calibri Light" w:hAnsi="Calibri Light" w:eastAsia="宋体" w:cs="Times New Roman"/>
      <w:b/>
      <w:bCs/>
      <w:kern w:val="2"/>
      <w:sz w:val="24"/>
      <w:szCs w:val="24"/>
    </w:rPr>
  </w:style>
  <w:style w:type="paragraph" w:customStyle="1" w:styleId="31">
    <w:name w:val="Body text|1"/>
    <w:basedOn w:val="1"/>
    <w:qFormat/>
    <w:uiPriority w:val="0"/>
    <w:pPr>
      <w:spacing w:after="240" w:line="430" w:lineRule="auto"/>
      <w:ind w:firstLine="400"/>
    </w:pPr>
    <w:rPr>
      <w:rFonts w:ascii="宋体" w:hAnsi="宋体" w:eastAsia="宋体" w:cs="宋体"/>
      <w:szCs w:val="28"/>
      <w:lang w:val="zh-TW" w:eastAsia="zh-TW" w:bidi="zh-TW"/>
    </w:rPr>
  </w:style>
  <w:style w:type="paragraph" w:customStyle="1" w:styleId="32">
    <w:name w:val="Body text|2"/>
    <w:basedOn w:val="1"/>
    <w:qFormat/>
    <w:uiPriority w:val="0"/>
    <w:pPr>
      <w:spacing w:after="160"/>
      <w:jc w:val="center"/>
    </w:pPr>
    <w:rPr>
      <w:rFonts w:ascii="宋体" w:hAnsi="宋体" w:eastAsia="宋体" w:cs="宋体"/>
      <w:sz w:val="22"/>
      <w:lang w:val="zh-TW" w:eastAsia="zh-TW" w:bidi="zh-TW"/>
    </w:rPr>
  </w:style>
  <w:style w:type="character" w:customStyle="1" w:styleId="33">
    <w:name w:val="批注框文本 字符"/>
    <w:basedOn w:val="20"/>
    <w:link w:val="10"/>
    <w:qFormat/>
    <w:uiPriority w:val="0"/>
    <w:rPr>
      <w:rFonts w:ascii="Times New Roman" w:hAnsi="Times New Roman" w:eastAsia="仿宋_GB2312" w:cs="仿宋"/>
      <w:sz w:val="18"/>
      <w:szCs w:val="18"/>
    </w:rPr>
  </w:style>
  <w:style w:type="character" w:customStyle="1" w:styleId="34">
    <w:name w:val="标题 3 字符"/>
    <w:basedOn w:val="20"/>
    <w:link w:val="5"/>
    <w:qFormat/>
    <w:uiPriority w:val="1"/>
    <w:rPr>
      <w:rFonts w:ascii="Times New Roman" w:hAnsi="Times New Roman" w:eastAsia="仿宋_GB2312" w:cs="仿宋"/>
      <w:b/>
      <w:bCs/>
      <w:sz w:val="28"/>
      <w:szCs w:val="28"/>
    </w:rPr>
  </w:style>
  <w:style w:type="character" w:customStyle="1" w:styleId="35">
    <w:name w:val="font11"/>
    <w:basedOn w:val="20"/>
    <w:qFormat/>
    <w:uiPriority w:val="0"/>
    <w:rPr>
      <w:rFonts w:hint="eastAsia" w:ascii="仿宋_GB2312" w:eastAsia="仿宋_GB2312" w:cs="仿宋_GB2312"/>
      <w:b/>
      <w:bCs/>
      <w:color w:val="000000"/>
      <w:sz w:val="24"/>
      <w:szCs w:val="24"/>
      <w:u w:val="none"/>
    </w:rPr>
  </w:style>
  <w:style w:type="character" w:customStyle="1" w:styleId="36">
    <w:name w:val="font31"/>
    <w:basedOn w:val="20"/>
    <w:qFormat/>
    <w:uiPriority w:val="0"/>
    <w:rPr>
      <w:rFonts w:hint="eastAsia" w:ascii="仿宋_GB2312" w:eastAsia="仿宋_GB2312" w:cs="仿宋_GB2312"/>
      <w:color w:val="000000"/>
      <w:sz w:val="24"/>
      <w:szCs w:val="24"/>
      <w:u w:val="none"/>
    </w:rPr>
  </w:style>
  <w:style w:type="character" w:customStyle="1" w:styleId="37">
    <w:name w:val="font21"/>
    <w:basedOn w:val="20"/>
    <w:qFormat/>
    <w:uiPriority w:val="0"/>
    <w:rPr>
      <w:rFonts w:hint="default" w:ascii="Times New Roman" w:hAnsi="Times New Roman" w:cs="Times New Roman"/>
      <w:color w:val="000000"/>
      <w:sz w:val="24"/>
      <w:szCs w:val="24"/>
      <w:u w:val="none"/>
    </w:rPr>
  </w:style>
  <w:style w:type="paragraph" w:customStyle="1" w:styleId="38">
    <w:name w:val="修订1"/>
    <w:hidden/>
    <w:unhideWhenUsed/>
    <w:qFormat/>
    <w:uiPriority w:val="99"/>
    <w:rPr>
      <w:rFonts w:ascii="Times New Roman" w:hAnsi="Times New Roman" w:eastAsia="仿宋_GB2312" w:cs="仿宋"/>
      <w:sz w:val="28"/>
      <w:szCs w:val="22"/>
      <w:lang w:val="en-US" w:eastAsia="zh-CN" w:bidi="ar-SA"/>
    </w:rPr>
  </w:style>
  <w:style w:type="character" w:customStyle="1" w:styleId="39">
    <w:name w:val="批注文字 字符"/>
    <w:basedOn w:val="20"/>
    <w:link w:val="8"/>
    <w:qFormat/>
    <w:uiPriority w:val="0"/>
    <w:rPr>
      <w:rFonts w:ascii="Times New Roman" w:hAnsi="Times New Roman" w:eastAsia="仿宋_GB2312" w:cs="仿宋"/>
      <w:sz w:val="28"/>
      <w:szCs w:val="22"/>
    </w:rPr>
  </w:style>
  <w:style w:type="character" w:customStyle="1" w:styleId="40">
    <w:name w:val="批注主题 字符"/>
    <w:basedOn w:val="39"/>
    <w:link w:val="17"/>
    <w:qFormat/>
    <w:uiPriority w:val="0"/>
    <w:rPr>
      <w:rFonts w:ascii="Times New Roman" w:hAnsi="Times New Roman" w:eastAsia="仿宋_GB2312" w:cs="仿宋"/>
      <w:b/>
      <w:bCs/>
      <w:sz w:val="28"/>
      <w:szCs w:val="22"/>
    </w:rPr>
  </w:style>
  <w:style w:type="character" w:customStyle="1" w:styleId="41">
    <w:name w:val="font01"/>
    <w:basedOn w:val="20"/>
    <w:qFormat/>
    <w:uiPriority w:val="0"/>
    <w:rPr>
      <w:rFonts w:hint="default" w:ascii="Times New Roman" w:hAnsi="Times New Roman" w:cs="Times New Roman"/>
      <w:color w:val="000000"/>
      <w:sz w:val="24"/>
      <w:szCs w:val="24"/>
      <w:u w:val="none"/>
    </w:rPr>
  </w:style>
  <w:style w:type="character" w:customStyle="1" w:styleId="42">
    <w:name w:val="font41"/>
    <w:basedOn w:val="20"/>
    <w:qFormat/>
    <w:uiPriority w:val="0"/>
    <w:rPr>
      <w:rFonts w:hint="eastAsia" w:ascii="仿宋_GB2312" w:eastAsia="仿宋_GB2312" w:cs="仿宋_GB2312"/>
      <w:color w:val="000000"/>
      <w:sz w:val="24"/>
      <w:szCs w:val="24"/>
      <w:u w:val="none"/>
    </w:rPr>
  </w:style>
  <w:style w:type="character" w:customStyle="1" w:styleId="43">
    <w:name w:val="font51"/>
    <w:basedOn w:val="20"/>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4"/>
    <customShpInfo spid="_x0000_s3073"/>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12161</Words>
  <Characters>14007</Characters>
  <Lines>118</Lines>
  <Paragraphs>33</Paragraphs>
  <TotalTime>20</TotalTime>
  <ScaleCrop>false</ScaleCrop>
  <LinksUpToDate>false</LinksUpToDate>
  <CharactersWithSpaces>14194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2023-07-13T10:15:00Z</dcterms:created>
  <dc:creator>海梦</dc:creator>
  <cp:lastModifiedBy>邶</cp:lastModifiedBy>
  <dcterms:modified xsi:type="dcterms:W3CDTF">2023-07-18T08:06:13Z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1811392351D54596A242960FB1726252_13</vt:lpwstr>
  </property>
</Properties>
</file>