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autoSpaceDN/>
        <w:spacing w:before="0" w:beforeLines="0" w:beforeAutospacing="0" w:after="0" w:afterLines="0" w:afterAutospacing="0" w:line="600" w:lineRule="exact"/>
        <w:ind w:left="0" w:right="0"/>
        <w:jc w:val="center"/>
        <w:textAlignment w:val="baseline"/>
        <w:rPr>
          <w:rStyle w:val="11"/>
          <w:rFonts w:hint="eastAsia" w:ascii="方正小标宋_GBK" w:hAnsi="方正小标宋_GBK" w:eastAsia="方正小标宋_GBK" w:cs="方正小标宋_GBK"/>
          <w:b w:val="0"/>
          <w:i w:val="0"/>
          <w:caps w:val="0"/>
          <w:spacing w:val="0"/>
          <w:kern w:val="2"/>
          <w:sz w:val="44"/>
          <w:szCs w:val="44"/>
          <w:highlight w:val="none"/>
          <w:lang w:val="en-US" w:eastAsia="zh-CN" w:bidi="ar"/>
        </w:rPr>
      </w:pPr>
      <w:r>
        <w:rPr>
          <w:rStyle w:val="11"/>
          <w:rFonts w:hint="eastAsia" w:ascii="方正小标宋_GBK" w:hAnsi="方正小标宋_GBK" w:eastAsia="方正小标宋_GBK" w:cs="方正小标宋_GBK"/>
          <w:b w:val="0"/>
          <w:i w:val="0"/>
          <w:caps w:val="0"/>
          <w:spacing w:val="0"/>
          <w:kern w:val="2"/>
          <w:sz w:val="44"/>
          <w:szCs w:val="44"/>
          <w:highlight w:val="none"/>
          <w:vertAlign w:val="baseline"/>
          <w:lang w:val="en-US" w:eastAsia="zh-CN" w:bidi="ar"/>
        </w:rPr>
        <w:t>源城区长乐园公墓山四期安置区墓地建设项目</w:t>
      </w:r>
      <w:r>
        <w:rPr>
          <w:rStyle w:val="11"/>
          <w:rFonts w:hint="eastAsia" w:ascii="方正小标宋_GBK" w:hAnsi="方正小标宋_GBK" w:eastAsia="方正小标宋_GBK" w:cs="方正小标宋_GBK"/>
          <w:b w:val="0"/>
          <w:i w:val="0"/>
          <w:caps w:val="0"/>
          <w:spacing w:val="0"/>
          <w:kern w:val="2"/>
          <w:sz w:val="44"/>
          <w:szCs w:val="44"/>
          <w:highlight w:val="none"/>
          <w:lang w:val="en-US" w:eastAsia="zh-CN" w:bidi="ar"/>
        </w:rPr>
        <w:t>房屋征收补偿安置方案</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lang w:val="en-US" w:eastAsia="zh-CN"/>
        </w:rPr>
      </w:pPr>
    </w:p>
    <w:p>
      <w:pPr>
        <w:keepNext w:val="0"/>
        <w:keepLines w:val="0"/>
        <w:widowControl w:val="0"/>
        <w:suppressLineNumbers w:val="0"/>
        <w:autoSpaceDE/>
        <w:autoSpaceDN/>
        <w:spacing w:before="0" w:beforeLines="0" w:beforeAutospacing="0" w:after="0" w:afterLines="0" w:afterAutospacing="0" w:line="600" w:lineRule="exact"/>
        <w:ind w:left="0" w:right="0" w:firstLine="640" w:firstLineChars="200"/>
        <w:jc w:val="both"/>
        <w:textAlignment w:val="baseline"/>
        <w:rPr>
          <w:rFonts w:hint="eastAsia" w:ascii="宋体" w:hAnsi="宋体" w:eastAsia="方正仿宋_GBK" w:cs="方正仿宋_GBK"/>
          <w:kern w:val="2"/>
          <w:sz w:val="32"/>
          <w:szCs w:val="32"/>
          <w:highlight w:val="none"/>
        </w:rPr>
      </w:pPr>
      <w:r>
        <w:rPr>
          <w:rFonts w:hint="eastAsia" w:ascii="方正仿宋_GBK" w:hAnsi="方正仿宋_GBK" w:eastAsia="方正仿宋_GBK" w:cs="方正仿宋_GBK"/>
          <w:kern w:val="2"/>
          <w:sz w:val="32"/>
          <w:szCs w:val="32"/>
          <w:highlight w:val="none"/>
          <w:lang w:val="en-US" w:eastAsia="zh-CN" w:bidi="ar"/>
        </w:rPr>
        <w:t>根据《国有土地上房屋征收与补偿条例》（国务院令</w:t>
      </w:r>
      <w:r>
        <w:rPr>
          <w:rFonts w:hint="eastAsia" w:ascii="宋体" w:hAnsi="宋体" w:eastAsia="宋体" w:cs="宋体"/>
          <w:kern w:val="2"/>
          <w:sz w:val="32"/>
          <w:szCs w:val="32"/>
          <w:highlight w:val="none"/>
          <w:lang w:val="en-US" w:eastAsia="zh-CN" w:bidi="ar"/>
        </w:rPr>
        <w:t>2011</w:t>
      </w:r>
      <w:r>
        <w:rPr>
          <w:rFonts w:hint="eastAsia" w:ascii="方正仿宋_GBK" w:hAnsi="方正仿宋_GBK" w:eastAsia="方正仿宋_GBK" w:cs="方正仿宋_GBK"/>
          <w:kern w:val="2"/>
          <w:sz w:val="32"/>
          <w:szCs w:val="32"/>
          <w:highlight w:val="none"/>
          <w:lang w:val="en-US" w:eastAsia="zh-CN" w:bidi="ar"/>
        </w:rPr>
        <w:t>第</w:t>
      </w:r>
      <w:r>
        <w:rPr>
          <w:rFonts w:hint="eastAsia" w:ascii="宋体" w:hAnsi="宋体" w:eastAsia="宋体" w:cs="宋体"/>
          <w:kern w:val="2"/>
          <w:sz w:val="32"/>
          <w:szCs w:val="32"/>
          <w:highlight w:val="none"/>
          <w:lang w:val="en-US" w:eastAsia="zh-CN" w:bidi="ar"/>
        </w:rPr>
        <w:t>590</w:t>
      </w:r>
      <w:r>
        <w:rPr>
          <w:rFonts w:hint="eastAsia" w:ascii="方正仿宋_GBK" w:hAnsi="方正仿宋_GBK" w:eastAsia="方正仿宋_GBK" w:cs="方正仿宋_GBK"/>
          <w:kern w:val="2"/>
          <w:sz w:val="32"/>
          <w:szCs w:val="32"/>
          <w:highlight w:val="none"/>
          <w:lang w:val="en-US" w:eastAsia="zh-CN" w:bidi="ar"/>
        </w:rPr>
        <w:t>号）</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广东省土地管</w:t>
      </w:r>
      <w:r>
        <w:rPr>
          <w:rFonts w:hint="eastAsia" w:ascii="方正仿宋_GBK" w:hAnsi="方正仿宋_GBK" w:eastAsia="方正仿宋_GBK" w:cs="方正仿宋_GBK"/>
          <w:kern w:val="2"/>
          <w:sz w:val="32"/>
          <w:szCs w:val="32"/>
          <w:highlight w:val="none"/>
          <w:lang w:val="en-US" w:eastAsia="zh-CN" w:bidi="ar"/>
        </w:rPr>
        <w:t>理条例》</w:t>
      </w:r>
      <w:r>
        <w:rPr>
          <w:rFonts w:hint="eastAsia" w:ascii="方正仿宋_GBK" w:hAnsi="方正仿宋_GBK" w:eastAsia="方正仿宋_GBK" w:cs="方正仿宋_GBK"/>
          <w:color w:val="auto"/>
          <w:kern w:val="2"/>
          <w:sz w:val="32"/>
          <w:szCs w:val="32"/>
          <w:highlight w:val="none"/>
          <w:lang w:val="en-US" w:eastAsia="zh-CN" w:bidi="ar"/>
        </w:rPr>
        <w:t>等有关规定</w:t>
      </w:r>
      <w:r>
        <w:rPr>
          <w:rFonts w:hint="eastAsia" w:ascii="方正仿宋_GBK" w:hAnsi="方正仿宋_GBK" w:eastAsia="方正仿宋_GBK" w:cs="方正仿宋_GBK"/>
          <w:kern w:val="2"/>
          <w:sz w:val="32"/>
          <w:szCs w:val="32"/>
          <w:highlight w:val="none"/>
          <w:lang w:val="en-US" w:eastAsia="zh-CN" w:bidi="ar"/>
        </w:rPr>
        <w:t>，制定本方案。</w:t>
      </w:r>
    </w:p>
    <w:p>
      <w:pPr>
        <w:keepNext w:val="0"/>
        <w:keepLines w:val="0"/>
        <w:widowControl w:val="0"/>
        <w:suppressLineNumbers w:val="0"/>
        <w:autoSpaceDE/>
        <w:autoSpaceDN/>
        <w:spacing w:before="0" w:beforeLines="0" w:beforeAutospacing="0" w:after="0" w:afterLines="0" w:afterAutospacing="0" w:line="600" w:lineRule="exact"/>
        <w:ind w:left="0" w:right="0" w:firstLine="640" w:firstLineChars="200"/>
        <w:jc w:val="both"/>
        <w:textAlignment w:val="baseline"/>
        <w:rPr>
          <w:rFonts w:hint="eastAsia" w:ascii="黑体" w:hAnsi="宋体" w:eastAsia="黑体" w:cs="黑体"/>
          <w:b w:val="0"/>
          <w:i w:val="0"/>
          <w:caps w:val="0"/>
          <w:spacing w:val="0"/>
          <w:kern w:val="2"/>
          <w:sz w:val="32"/>
          <w:szCs w:val="32"/>
          <w:highlight w:val="none"/>
          <w:vertAlign w:val="baseline"/>
        </w:rPr>
      </w:pPr>
      <w:r>
        <w:rPr>
          <w:rFonts w:hint="eastAsia" w:ascii="黑体" w:hAnsi="宋体" w:eastAsia="黑体" w:cs="黑体"/>
          <w:b w:val="0"/>
          <w:i w:val="0"/>
          <w:caps w:val="0"/>
          <w:spacing w:val="0"/>
          <w:kern w:val="2"/>
          <w:sz w:val="32"/>
          <w:szCs w:val="32"/>
          <w:highlight w:val="none"/>
          <w:vertAlign w:val="baseline"/>
          <w:lang w:val="en-US" w:eastAsia="zh-CN" w:bidi="ar"/>
        </w:rPr>
        <w:t>一、房屋征收基本情况</w:t>
      </w:r>
    </w:p>
    <w:p>
      <w:pPr>
        <w:keepNext w:val="0"/>
        <w:keepLines w:val="0"/>
        <w:widowControl w:val="0"/>
        <w:suppressLineNumbers w:val="0"/>
        <w:autoSpaceDE/>
        <w:autoSpaceDN/>
        <w:spacing w:before="0" w:beforeLines="0" w:beforeAutospacing="0" w:after="0" w:afterLines="0" w:afterAutospacing="0" w:line="600" w:lineRule="exact"/>
        <w:ind w:left="0" w:right="0" w:firstLine="640" w:firstLineChars="200"/>
        <w:jc w:val="both"/>
        <w:textAlignment w:val="baseline"/>
        <w:rPr>
          <w:rFonts w:hint="eastAsia" w:ascii="方正仿宋_GBK" w:hAnsi="方正仿宋_GBK" w:eastAsia="方正仿宋_GBK" w:cs="方正仿宋_GBK"/>
          <w:kern w:val="2"/>
          <w:sz w:val="32"/>
          <w:szCs w:val="32"/>
          <w:highlight w:val="none"/>
          <w:lang w:val="en-US" w:eastAsia="zh-CN" w:bidi="ar"/>
        </w:rPr>
      </w:pPr>
      <w:r>
        <w:rPr>
          <w:rFonts w:hint="eastAsia" w:ascii="方正楷体_GBK" w:hAnsi="方正楷体_GBK" w:eastAsia="方正楷体_GBK" w:cs="方正楷体_GBK"/>
          <w:b w:val="0"/>
          <w:i w:val="0"/>
          <w:caps w:val="0"/>
          <w:spacing w:val="0"/>
          <w:kern w:val="2"/>
          <w:sz w:val="32"/>
          <w:szCs w:val="32"/>
          <w:highlight w:val="none"/>
          <w:lang w:val="en-US" w:eastAsia="zh-CN" w:bidi="ar"/>
        </w:rPr>
        <w:t>（一）房屋征收范围：</w:t>
      </w:r>
      <w:r>
        <w:rPr>
          <w:rFonts w:hint="eastAsia" w:ascii="方正仿宋_GBK" w:hAnsi="方正仿宋_GBK" w:eastAsia="方正仿宋_GBK" w:cs="方正仿宋_GBK"/>
          <w:kern w:val="2"/>
          <w:sz w:val="32"/>
          <w:szCs w:val="32"/>
          <w:highlight w:val="none"/>
          <w:lang w:val="en-US" w:eastAsia="zh-CN" w:bidi="ar"/>
        </w:rPr>
        <w:t>源城区长乐园公墓山四期安置区墓地建设项目房屋征收范围为源西街道黄子洞村、新塘村（具体位置以征收红线图为准）。</w:t>
      </w:r>
    </w:p>
    <w:p>
      <w:pPr>
        <w:keepNext w:val="0"/>
        <w:keepLines w:val="0"/>
        <w:widowControl w:val="0"/>
        <w:suppressLineNumbers w:val="0"/>
        <w:autoSpaceDE/>
        <w:autoSpaceDN/>
        <w:spacing w:before="0" w:beforeLines="0" w:beforeAutospacing="0" w:after="0" w:afterLines="0" w:afterAutospacing="0" w:line="600" w:lineRule="exact"/>
        <w:ind w:left="0" w:right="0" w:firstLine="640" w:firstLineChars="200"/>
        <w:jc w:val="both"/>
        <w:textAlignment w:val="baseline"/>
        <w:rPr>
          <w:rFonts w:hint="eastAsia" w:ascii="宋体" w:hAnsi="宋体" w:eastAsia="方正仿宋_GBK" w:cs="方正仿宋_GBK"/>
          <w:b w:val="0"/>
          <w:i w:val="0"/>
          <w:caps w:val="0"/>
          <w:spacing w:val="0"/>
          <w:kern w:val="2"/>
          <w:sz w:val="32"/>
          <w:szCs w:val="32"/>
          <w:highlight w:val="none"/>
          <w:vertAlign w:val="baseline"/>
        </w:rPr>
      </w:pPr>
      <w:r>
        <w:rPr>
          <w:rFonts w:hint="eastAsia" w:ascii="方正楷体_GBK" w:hAnsi="方正楷体_GBK" w:eastAsia="方正楷体_GBK" w:cs="方正楷体_GBK"/>
          <w:b w:val="0"/>
          <w:i w:val="0"/>
          <w:caps w:val="0"/>
          <w:spacing w:val="0"/>
          <w:kern w:val="2"/>
          <w:sz w:val="32"/>
          <w:szCs w:val="32"/>
          <w:highlight w:val="none"/>
          <w:vertAlign w:val="baseline"/>
          <w:lang w:val="en-US" w:eastAsia="zh-CN" w:bidi="ar"/>
        </w:rPr>
        <w:t>（二）房屋征收部门：</w:t>
      </w:r>
      <w:r>
        <w:rPr>
          <w:rFonts w:hint="eastAsia" w:ascii="方正仿宋_GBK" w:hAnsi="方正仿宋_GBK" w:eastAsia="方正仿宋_GBK" w:cs="方正仿宋_GBK"/>
          <w:kern w:val="2"/>
          <w:sz w:val="32"/>
          <w:szCs w:val="32"/>
          <w:highlight w:val="none"/>
          <w:vertAlign w:val="baseline"/>
          <w:lang w:val="en-US" w:eastAsia="zh-CN" w:bidi="ar"/>
        </w:rPr>
        <w:t>源城区房屋征收办公室。</w:t>
      </w:r>
    </w:p>
    <w:p>
      <w:pPr>
        <w:keepNext w:val="0"/>
        <w:keepLines w:val="0"/>
        <w:widowControl w:val="0"/>
        <w:suppressLineNumbers w:val="0"/>
        <w:autoSpaceDE/>
        <w:autoSpaceDN/>
        <w:spacing w:before="0" w:beforeLines="0" w:beforeAutospacing="0" w:after="0" w:afterLines="0" w:afterAutospacing="0" w:line="600" w:lineRule="exact"/>
        <w:ind w:left="0" w:right="0" w:firstLine="640" w:firstLineChars="200"/>
        <w:jc w:val="both"/>
        <w:textAlignment w:val="baseline"/>
        <w:rPr>
          <w:rFonts w:hint="eastAsia" w:ascii="宋体" w:hAnsi="宋体" w:eastAsia="方正仿宋_GBK" w:cs="方正仿宋_GBK"/>
          <w:b w:val="0"/>
          <w:i w:val="0"/>
          <w:caps w:val="0"/>
          <w:spacing w:val="0"/>
          <w:kern w:val="2"/>
          <w:sz w:val="32"/>
          <w:szCs w:val="32"/>
          <w:highlight w:val="none"/>
          <w:vertAlign w:val="baseline"/>
        </w:rPr>
      </w:pPr>
      <w:r>
        <w:rPr>
          <w:rFonts w:hint="eastAsia" w:ascii="方正楷体_GBK" w:hAnsi="方正楷体_GBK" w:eastAsia="方正楷体_GBK" w:cs="方正楷体_GBK"/>
          <w:b w:val="0"/>
          <w:i w:val="0"/>
          <w:caps w:val="0"/>
          <w:spacing w:val="0"/>
          <w:kern w:val="2"/>
          <w:sz w:val="32"/>
          <w:szCs w:val="32"/>
          <w:highlight w:val="none"/>
          <w:vertAlign w:val="baseline"/>
          <w:lang w:val="en-US" w:eastAsia="zh-CN" w:bidi="ar"/>
        </w:rPr>
        <w:t>（三）房屋征收实施单位：</w:t>
      </w:r>
      <w:r>
        <w:rPr>
          <w:rFonts w:hint="eastAsia" w:ascii="方正仿宋_GBK" w:hAnsi="方正仿宋_GBK" w:eastAsia="方正仿宋_GBK" w:cs="方正仿宋_GBK"/>
          <w:kern w:val="2"/>
          <w:sz w:val="32"/>
          <w:szCs w:val="32"/>
          <w:highlight w:val="none"/>
          <w:vertAlign w:val="baseline"/>
          <w:lang w:val="en-US" w:eastAsia="zh-CN" w:bidi="ar"/>
        </w:rPr>
        <w:t>源西街道办事处。</w:t>
      </w:r>
    </w:p>
    <w:p>
      <w:pPr>
        <w:keepNext w:val="0"/>
        <w:keepLines w:val="0"/>
        <w:widowControl w:val="0"/>
        <w:suppressLineNumbers w:val="0"/>
        <w:autoSpaceDE/>
        <w:autoSpaceDN/>
        <w:spacing w:before="0" w:beforeLines="0" w:beforeAutospacing="0" w:after="0" w:afterLines="0" w:afterAutospacing="0" w:line="600" w:lineRule="exact"/>
        <w:ind w:left="0" w:right="0" w:firstLine="640" w:firstLineChars="200"/>
        <w:jc w:val="both"/>
        <w:textAlignment w:val="baseline"/>
        <w:rPr>
          <w:rFonts w:hint="eastAsia" w:ascii="宋体" w:hAnsi="宋体" w:eastAsia="方正仿宋_GBK" w:cs="方正仿宋_GBK"/>
          <w:b w:val="0"/>
          <w:i w:val="0"/>
          <w:caps w:val="0"/>
          <w:spacing w:val="0"/>
          <w:kern w:val="2"/>
          <w:sz w:val="32"/>
          <w:szCs w:val="32"/>
          <w:highlight w:val="none"/>
          <w:vertAlign w:val="baseline"/>
        </w:rPr>
      </w:pPr>
      <w:r>
        <w:rPr>
          <w:rFonts w:hint="eastAsia" w:ascii="方正楷体_GBK" w:hAnsi="方正楷体_GBK" w:eastAsia="方正楷体_GBK" w:cs="方正楷体_GBK"/>
          <w:b w:val="0"/>
          <w:i w:val="0"/>
          <w:caps w:val="0"/>
          <w:spacing w:val="0"/>
          <w:kern w:val="2"/>
          <w:sz w:val="32"/>
          <w:szCs w:val="32"/>
          <w:highlight w:val="none"/>
          <w:vertAlign w:val="baseline"/>
          <w:lang w:val="en-US" w:eastAsia="zh-CN" w:bidi="ar"/>
        </w:rPr>
        <w:t>（四）被征收人：</w:t>
      </w:r>
      <w:r>
        <w:rPr>
          <w:rFonts w:hint="eastAsia" w:ascii="方正仿宋_GBK" w:hAnsi="方正仿宋_GBK" w:eastAsia="方正仿宋_GBK" w:cs="方正仿宋_GBK"/>
          <w:kern w:val="2"/>
          <w:sz w:val="32"/>
          <w:szCs w:val="32"/>
          <w:highlight w:val="none"/>
          <w:vertAlign w:val="baseline"/>
          <w:lang w:val="en-US" w:eastAsia="zh-CN" w:bidi="ar"/>
        </w:rPr>
        <w:t>房屋征收范围内的房屋所有权人。</w:t>
      </w:r>
    </w:p>
    <w:p>
      <w:pPr>
        <w:keepNext w:val="0"/>
        <w:keepLines w:val="0"/>
        <w:widowControl w:val="0"/>
        <w:suppressLineNumbers w:val="0"/>
        <w:autoSpaceDE/>
        <w:autoSpaceDN/>
        <w:spacing w:before="0" w:beforeLines="0" w:beforeAutospacing="0" w:after="0" w:afterLines="0" w:afterAutospacing="0" w:line="600" w:lineRule="exact"/>
        <w:ind w:left="0" w:right="0" w:firstLine="640" w:firstLineChars="200"/>
        <w:jc w:val="both"/>
        <w:textAlignment w:val="baseline"/>
        <w:rPr>
          <w:rFonts w:hint="eastAsia" w:ascii="方正仿宋_GBK" w:hAnsi="方正仿宋_GBK" w:eastAsia="方正仿宋_GBK" w:cs="方正仿宋_GBK"/>
          <w:b w:val="0"/>
          <w:i w:val="0"/>
          <w:caps w:val="0"/>
          <w:spacing w:val="0"/>
          <w:kern w:val="2"/>
          <w:sz w:val="32"/>
          <w:szCs w:val="32"/>
          <w:highlight w:val="none"/>
          <w:vertAlign w:val="baseline"/>
          <w:lang w:val="en-US" w:eastAsia="zh-CN" w:bidi="ar"/>
        </w:rPr>
      </w:pPr>
      <w:r>
        <w:rPr>
          <w:rFonts w:hint="eastAsia" w:ascii="方正楷体_GBK" w:hAnsi="方正楷体_GBK" w:eastAsia="方正楷体_GBK" w:cs="方正楷体_GBK"/>
          <w:b w:val="0"/>
          <w:i w:val="0"/>
          <w:caps w:val="0"/>
          <w:spacing w:val="0"/>
          <w:kern w:val="2"/>
          <w:sz w:val="32"/>
          <w:szCs w:val="32"/>
          <w:highlight w:val="none"/>
          <w:lang w:val="en-US" w:eastAsia="zh-CN" w:bidi="ar"/>
        </w:rPr>
        <w:t>（五</w:t>
      </w:r>
      <w:r>
        <w:rPr>
          <w:rFonts w:hint="eastAsia" w:ascii="方正楷体_GBK" w:hAnsi="方正楷体_GBK" w:eastAsia="方正楷体_GBK" w:cs="方正楷体_GBK"/>
          <w:b w:val="0"/>
          <w:i w:val="0"/>
          <w:caps w:val="0"/>
          <w:spacing w:val="0"/>
          <w:kern w:val="2"/>
          <w:sz w:val="32"/>
          <w:szCs w:val="32"/>
          <w:highlight w:val="none"/>
          <w:vertAlign w:val="baseline"/>
          <w:lang w:val="en-US" w:eastAsia="zh-CN" w:bidi="ar"/>
        </w:rPr>
        <w:t>）签订征收补偿协议期限：</w:t>
      </w:r>
      <w:r>
        <w:rPr>
          <w:rFonts w:hint="eastAsia" w:ascii="方正仿宋_GBK" w:hAnsi="方正仿宋_GBK" w:eastAsia="方正仿宋_GBK" w:cs="方正仿宋_GBK"/>
          <w:b w:val="0"/>
          <w:i w:val="0"/>
          <w:caps w:val="0"/>
          <w:spacing w:val="0"/>
          <w:kern w:val="2"/>
          <w:sz w:val="32"/>
          <w:szCs w:val="32"/>
          <w:highlight w:val="none"/>
          <w:vertAlign w:val="baseline"/>
          <w:lang w:val="en-US" w:eastAsia="zh-CN" w:bidi="ar"/>
        </w:rPr>
        <w:t>自土地房屋征收工作小组进场动员之日起2个月内。</w:t>
      </w:r>
    </w:p>
    <w:p>
      <w:pPr>
        <w:keepNext w:val="0"/>
        <w:keepLines w:val="0"/>
        <w:widowControl w:val="0"/>
        <w:suppressLineNumbers w:val="0"/>
        <w:autoSpaceDE/>
        <w:autoSpaceDN/>
        <w:spacing w:before="0" w:beforeLines="0" w:beforeAutospacing="0" w:after="0" w:afterLines="0" w:afterAutospacing="0" w:line="600" w:lineRule="exact"/>
        <w:ind w:left="0" w:right="0" w:firstLine="640" w:firstLineChars="200"/>
        <w:jc w:val="both"/>
        <w:textAlignment w:val="baseline"/>
        <w:rPr>
          <w:rFonts w:hint="eastAsia" w:ascii="方正仿宋_GBK" w:hAnsi="方正仿宋_GBK" w:eastAsia="方正仿宋_GBK" w:cs="方正仿宋_GBK"/>
          <w:b w:val="0"/>
          <w:i w:val="0"/>
          <w:caps w:val="0"/>
          <w:spacing w:val="0"/>
          <w:kern w:val="2"/>
          <w:sz w:val="32"/>
          <w:szCs w:val="32"/>
          <w:highlight w:val="none"/>
          <w:vertAlign w:val="baseline"/>
          <w:lang w:val="en-US" w:eastAsia="zh-CN" w:bidi="ar"/>
        </w:rPr>
      </w:pPr>
      <w:r>
        <w:rPr>
          <w:rFonts w:hint="eastAsia" w:ascii="方正楷体_GBK" w:hAnsi="方正楷体_GBK" w:eastAsia="方正楷体_GBK" w:cs="方正楷体_GBK"/>
          <w:b w:val="0"/>
          <w:i w:val="0"/>
          <w:caps w:val="0"/>
          <w:spacing w:val="0"/>
          <w:kern w:val="2"/>
          <w:sz w:val="32"/>
          <w:szCs w:val="32"/>
          <w:highlight w:val="none"/>
          <w:vertAlign w:val="baseline"/>
          <w:lang w:val="en-US" w:eastAsia="zh-CN" w:bidi="ar"/>
        </w:rPr>
        <w:t>（六）搬迁腾空房屋期限：</w:t>
      </w:r>
      <w:r>
        <w:rPr>
          <w:rFonts w:hint="eastAsia" w:ascii="方正仿宋_GBK" w:hAnsi="方正仿宋_GBK" w:eastAsia="方正仿宋_GBK" w:cs="方正仿宋_GBK"/>
          <w:b w:val="0"/>
          <w:i w:val="0"/>
          <w:caps w:val="0"/>
          <w:spacing w:val="0"/>
          <w:kern w:val="2"/>
          <w:sz w:val="32"/>
          <w:szCs w:val="32"/>
          <w:highlight w:val="none"/>
          <w:vertAlign w:val="baseline"/>
          <w:lang w:val="en-US" w:eastAsia="zh-CN" w:bidi="ar"/>
        </w:rPr>
        <w:t>签订协议之日起20天内。</w:t>
      </w:r>
    </w:p>
    <w:p>
      <w:pPr>
        <w:keepNext w:val="0"/>
        <w:keepLines w:val="0"/>
        <w:widowControl w:val="0"/>
        <w:suppressLineNumbers w:val="0"/>
        <w:autoSpaceDE/>
        <w:autoSpaceDN/>
        <w:spacing w:before="0" w:beforeLines="0" w:beforeAutospacing="0" w:after="0" w:afterLines="0" w:afterAutospacing="0" w:line="600" w:lineRule="exact"/>
        <w:ind w:left="0" w:right="0" w:firstLine="640" w:firstLineChars="200"/>
        <w:jc w:val="both"/>
        <w:textAlignment w:val="baseline"/>
        <w:rPr>
          <w:rFonts w:hint="eastAsia" w:ascii="方正仿宋_GBK" w:hAnsi="方正仿宋_GBK" w:eastAsia="方正仿宋_GBK" w:cs="方正仿宋_GBK"/>
          <w:b w:val="0"/>
          <w:i w:val="0"/>
          <w:caps w:val="0"/>
          <w:spacing w:val="0"/>
          <w:kern w:val="2"/>
          <w:sz w:val="32"/>
          <w:szCs w:val="32"/>
          <w:highlight w:val="none"/>
          <w:vertAlign w:val="baseline"/>
          <w:lang w:val="en-US" w:eastAsia="zh-CN" w:bidi="ar"/>
        </w:rPr>
      </w:pPr>
      <w:r>
        <w:rPr>
          <w:rFonts w:hint="eastAsia" w:ascii="方正楷体_GBK" w:hAnsi="方正楷体_GBK" w:eastAsia="方正楷体_GBK" w:cs="方正楷体_GBK"/>
          <w:b w:val="0"/>
          <w:i w:val="0"/>
          <w:caps w:val="0"/>
          <w:spacing w:val="0"/>
          <w:kern w:val="2"/>
          <w:sz w:val="32"/>
          <w:szCs w:val="32"/>
          <w:highlight w:val="none"/>
          <w:vertAlign w:val="baseline"/>
          <w:lang w:val="en-US" w:eastAsia="zh-CN" w:bidi="ar"/>
        </w:rPr>
        <w:t>（七）评估时点及办法：</w:t>
      </w:r>
      <w:r>
        <w:rPr>
          <w:rFonts w:hint="eastAsia" w:ascii="方正仿宋_GBK" w:hAnsi="方正仿宋_GBK" w:eastAsia="方正仿宋_GBK" w:cs="方正仿宋_GBK"/>
          <w:b w:val="0"/>
          <w:i w:val="0"/>
          <w:caps w:val="0"/>
          <w:spacing w:val="0"/>
          <w:kern w:val="2"/>
          <w:sz w:val="32"/>
          <w:szCs w:val="32"/>
          <w:highlight w:val="none"/>
          <w:vertAlign w:val="baseline"/>
          <w:lang w:val="en-US" w:eastAsia="zh-CN" w:bidi="ar"/>
        </w:rPr>
        <w:t>源城区人民政府发布土地征收预公告之日起，委托有资质的评估机构对本项目范围内的房屋实行分户评估。</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楷体_GBK" w:cs="方正楷体_GBK"/>
          <w:sz w:val="32"/>
          <w:szCs w:val="32"/>
          <w:highlight w:val="none"/>
          <w:lang w:val="en-US" w:eastAsia="zh-CN"/>
        </w:rPr>
      </w:pPr>
      <w:r>
        <w:rPr>
          <w:rFonts w:hint="eastAsia" w:ascii="宋体" w:hAnsi="宋体" w:eastAsia="方正楷体_GBK" w:cs="方正楷体_GBK"/>
          <w:sz w:val="32"/>
          <w:szCs w:val="32"/>
          <w:highlight w:val="none"/>
          <w:lang w:val="en-US" w:eastAsia="zh-CN"/>
        </w:rPr>
        <w:t>（八）候选房地产价格评估机构（以下简称评估机构）：</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default"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rPr>
        <w:t>1.</w:t>
      </w:r>
      <w:r>
        <w:rPr>
          <w:rFonts w:hint="eastAsia" w:ascii="宋体" w:hAnsi="宋体" w:eastAsia="方正仿宋_GBK" w:cs="方正仿宋_GBK"/>
          <w:color w:val="auto"/>
          <w:sz w:val="32"/>
          <w:szCs w:val="32"/>
          <w:highlight w:val="none"/>
          <w:lang w:val="en-US" w:eastAsia="zh-CN"/>
        </w:rPr>
        <w:t>广东博邦资产土地房地产评估有限公司河源分公司；</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val="en-US" w:eastAsia="zh-CN"/>
        </w:rPr>
        <w:t>2</w:t>
      </w:r>
      <w:r>
        <w:rPr>
          <w:rFonts w:hint="eastAsia" w:ascii="宋体" w:hAnsi="宋体" w:eastAsia="方正仿宋_GBK" w:cs="方正仿宋_GBK"/>
          <w:color w:val="auto"/>
          <w:sz w:val="32"/>
          <w:szCs w:val="32"/>
          <w:highlight w:val="none"/>
        </w:rPr>
        <w:t>.广东方圆土地房地产资产评估咨询有限公司河源分公司</w:t>
      </w:r>
      <w:r>
        <w:rPr>
          <w:rFonts w:hint="eastAsia" w:ascii="宋体" w:hAnsi="宋体"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val="en-US" w:eastAsia="zh-CN"/>
        </w:rPr>
        <w:t>3</w:t>
      </w:r>
      <w:r>
        <w:rPr>
          <w:rFonts w:hint="eastAsia" w:ascii="宋体" w:hAnsi="宋体" w:eastAsia="方正仿宋_GBK" w:cs="方正仿宋_GBK"/>
          <w:color w:val="auto"/>
          <w:sz w:val="32"/>
          <w:szCs w:val="32"/>
          <w:highlight w:val="none"/>
        </w:rPr>
        <w:t>.河源市德颐土地房地产</w:t>
      </w:r>
      <w:r>
        <w:rPr>
          <w:rFonts w:hint="eastAsia" w:ascii="宋体" w:hAnsi="宋体" w:eastAsia="方正仿宋_GBK" w:cs="方正仿宋_GBK"/>
          <w:color w:val="auto"/>
          <w:sz w:val="32"/>
          <w:szCs w:val="32"/>
          <w:highlight w:val="none"/>
          <w:lang w:val="en-US" w:eastAsia="zh-CN"/>
        </w:rPr>
        <w:t>资产</w:t>
      </w:r>
      <w:r>
        <w:rPr>
          <w:rFonts w:hint="eastAsia" w:ascii="宋体" w:hAnsi="宋体" w:eastAsia="方正仿宋_GBK" w:cs="方正仿宋_GBK"/>
          <w:color w:val="auto"/>
          <w:sz w:val="32"/>
          <w:szCs w:val="32"/>
          <w:highlight w:val="none"/>
        </w:rPr>
        <w:t>评估有限公司</w:t>
      </w:r>
      <w:r>
        <w:rPr>
          <w:rFonts w:hint="eastAsia" w:ascii="宋体" w:hAnsi="宋体"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val="en-US" w:eastAsia="zh-CN"/>
        </w:rPr>
        <w:t>4</w:t>
      </w:r>
      <w:r>
        <w:rPr>
          <w:rFonts w:hint="eastAsia" w:ascii="宋体" w:hAnsi="宋体" w:eastAsia="方正仿宋_GBK" w:cs="方正仿宋_GBK"/>
          <w:color w:val="auto"/>
          <w:sz w:val="32"/>
          <w:szCs w:val="32"/>
          <w:highlight w:val="none"/>
        </w:rPr>
        <w:t>.河源市久和土地房地产评估有限公司</w:t>
      </w:r>
      <w:r>
        <w:rPr>
          <w:rFonts w:hint="eastAsia" w:ascii="宋体" w:hAnsi="宋体"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val="en-US" w:eastAsia="zh-CN"/>
        </w:rPr>
        <w:t>5</w:t>
      </w:r>
      <w:r>
        <w:rPr>
          <w:rFonts w:hint="eastAsia" w:ascii="宋体" w:hAnsi="宋体" w:eastAsia="方正仿宋_GBK" w:cs="方正仿宋_GBK"/>
          <w:color w:val="auto"/>
          <w:sz w:val="32"/>
          <w:szCs w:val="32"/>
          <w:highlight w:val="none"/>
        </w:rPr>
        <w:t>.深圳市新峰土地房地产评估有限公司河源分公司</w:t>
      </w:r>
      <w:r>
        <w:rPr>
          <w:rFonts w:hint="eastAsia" w:ascii="宋体" w:hAnsi="宋体"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val="en-US" w:eastAsia="zh-CN"/>
        </w:rPr>
        <w:t>6</w:t>
      </w:r>
      <w:r>
        <w:rPr>
          <w:rFonts w:hint="eastAsia" w:ascii="宋体" w:hAnsi="宋体" w:eastAsia="方正仿宋_GBK" w:cs="方正仿宋_GBK"/>
          <w:color w:val="auto"/>
          <w:sz w:val="32"/>
          <w:szCs w:val="32"/>
          <w:highlight w:val="none"/>
        </w:rPr>
        <w:t>.广东信德资产评估与房地产土地估价有限公司</w:t>
      </w:r>
      <w:r>
        <w:rPr>
          <w:rFonts w:hint="eastAsia" w:ascii="宋体" w:hAnsi="宋体"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val="en-US" w:eastAsia="zh-CN"/>
        </w:rPr>
        <w:t>7.</w:t>
      </w:r>
      <w:r>
        <w:rPr>
          <w:rFonts w:hint="eastAsia" w:ascii="宋体" w:hAnsi="宋体" w:eastAsia="方正仿宋_GBK" w:cs="方正仿宋_GBK"/>
          <w:color w:val="auto"/>
          <w:sz w:val="32"/>
          <w:szCs w:val="32"/>
          <w:highlight w:val="none"/>
        </w:rPr>
        <w:t>深圳市国策房地产土地资产评估有限公司河源分公司</w:t>
      </w:r>
      <w:r>
        <w:rPr>
          <w:rFonts w:hint="eastAsia" w:ascii="宋体" w:hAnsi="宋体"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color w:val="auto"/>
          <w:spacing w:val="-6"/>
          <w:sz w:val="32"/>
          <w:szCs w:val="32"/>
          <w:highlight w:val="none"/>
          <w:lang w:eastAsia="zh-CN"/>
        </w:rPr>
      </w:pPr>
      <w:r>
        <w:rPr>
          <w:rFonts w:hint="eastAsia" w:ascii="宋体" w:hAnsi="宋体" w:eastAsia="方正仿宋_GBK" w:cs="方正仿宋_GBK"/>
          <w:color w:val="auto"/>
          <w:sz w:val="32"/>
          <w:szCs w:val="32"/>
          <w:highlight w:val="none"/>
          <w:lang w:val="en-US" w:eastAsia="zh-CN"/>
        </w:rPr>
        <w:t>8.</w:t>
      </w:r>
      <w:r>
        <w:rPr>
          <w:rFonts w:hint="eastAsia" w:ascii="宋体" w:hAnsi="宋体" w:eastAsia="方正仿宋_GBK" w:cs="方正仿宋_GBK"/>
          <w:color w:val="auto"/>
          <w:spacing w:val="-6"/>
          <w:sz w:val="32"/>
          <w:szCs w:val="32"/>
          <w:highlight w:val="none"/>
        </w:rPr>
        <w:t>深圳市国房土地房地产</w:t>
      </w:r>
      <w:r>
        <w:rPr>
          <w:rFonts w:hint="default" w:ascii="宋体" w:hAnsi="宋体" w:eastAsia="方正仿宋_GBK" w:cs="方正仿宋_GBK"/>
          <w:color w:val="auto"/>
          <w:spacing w:val="-6"/>
          <w:sz w:val="32"/>
          <w:szCs w:val="32"/>
          <w:highlight w:val="none"/>
        </w:rPr>
        <w:t>资产评估咨询有限公司河源分公司</w:t>
      </w:r>
      <w:r>
        <w:rPr>
          <w:rFonts w:hint="eastAsia" w:ascii="宋体" w:hAnsi="宋体" w:eastAsia="方正仿宋_GBK" w:cs="方正仿宋_GBK"/>
          <w:color w:val="auto"/>
          <w:spacing w:val="-6"/>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val="en-US" w:eastAsia="zh-CN"/>
        </w:rPr>
        <w:t>9</w:t>
      </w:r>
      <w:r>
        <w:rPr>
          <w:rFonts w:hint="eastAsia" w:ascii="宋体" w:hAnsi="宋体" w:eastAsia="方正仿宋_GBK" w:cs="方正仿宋_GBK"/>
          <w:color w:val="auto"/>
          <w:sz w:val="32"/>
          <w:szCs w:val="32"/>
          <w:highlight w:val="none"/>
        </w:rPr>
        <w:t>.河源市正大资产土地房地产估价顾问有限公司</w:t>
      </w:r>
      <w:r>
        <w:rPr>
          <w:rFonts w:hint="eastAsia" w:ascii="宋体" w:hAnsi="宋体"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color w:val="auto"/>
          <w:sz w:val="32"/>
          <w:szCs w:val="32"/>
          <w:highlight w:val="none"/>
          <w:lang w:eastAsia="zh-CN"/>
        </w:rPr>
      </w:pPr>
      <w:r>
        <w:rPr>
          <w:rFonts w:hint="eastAsia" w:ascii="宋体" w:hAnsi="宋体" w:eastAsia="方正仿宋_GBK" w:cs="方正仿宋_GBK"/>
          <w:color w:val="auto"/>
          <w:sz w:val="32"/>
          <w:szCs w:val="32"/>
          <w:highlight w:val="none"/>
          <w:lang w:val="en-US" w:eastAsia="zh-CN"/>
        </w:rPr>
        <w:t>10.</w:t>
      </w:r>
      <w:r>
        <w:rPr>
          <w:rFonts w:hint="eastAsia" w:ascii="宋体" w:hAnsi="宋体" w:eastAsia="方正仿宋_GBK" w:cs="方正仿宋_GBK"/>
          <w:color w:val="auto"/>
          <w:sz w:val="32"/>
          <w:szCs w:val="32"/>
          <w:highlight w:val="none"/>
        </w:rPr>
        <w:t>众源土地房地产资产评估有限公司</w:t>
      </w:r>
      <w:r>
        <w:rPr>
          <w:rFonts w:hint="eastAsia" w:ascii="宋体" w:hAnsi="宋体" w:eastAsia="方正仿宋_GBK" w:cs="方正仿宋_GBK"/>
          <w:color w:val="auto"/>
          <w:sz w:val="32"/>
          <w:szCs w:val="32"/>
          <w:highlight w:val="none"/>
          <w:lang w:eastAsia="zh-CN"/>
        </w:rPr>
        <w:t>；</w:t>
      </w:r>
    </w:p>
    <w:p>
      <w:pPr>
        <w:keepNext w:val="0"/>
        <w:keepLines w:val="0"/>
        <w:widowControl w:val="0"/>
        <w:suppressLineNumbers w:val="0"/>
        <w:autoSpaceDE/>
        <w:autoSpaceDN/>
        <w:spacing w:before="0" w:beforeLines="0" w:beforeAutospacing="0" w:after="0" w:afterLines="0" w:afterAutospacing="0" w:line="600" w:lineRule="exact"/>
        <w:ind w:left="0" w:right="0" w:firstLine="640" w:firstLineChars="200"/>
        <w:jc w:val="both"/>
        <w:textAlignment w:val="baseline"/>
        <w:rPr>
          <w:rFonts w:hint="eastAsia" w:ascii="宋体" w:hAnsi="宋体" w:eastAsia="方正仿宋_GBK" w:cs="方正仿宋_GBK"/>
          <w:color w:val="auto"/>
          <w:sz w:val="32"/>
          <w:szCs w:val="32"/>
          <w:highlight w:val="none"/>
          <w:lang w:val="en-US" w:eastAsia="zh-CN"/>
        </w:rPr>
      </w:pPr>
      <w:r>
        <w:rPr>
          <w:rFonts w:hint="eastAsia" w:ascii="宋体" w:hAnsi="宋体" w:eastAsia="方正仿宋_GBK" w:cs="方正仿宋_GBK"/>
          <w:color w:val="auto"/>
          <w:sz w:val="32"/>
          <w:szCs w:val="32"/>
          <w:highlight w:val="none"/>
          <w:lang w:val="en-US" w:eastAsia="zh-CN"/>
        </w:rPr>
        <w:t>11.河源市鑫安房地产土地评估咨询有限公司。</w:t>
      </w:r>
    </w:p>
    <w:p>
      <w:pPr>
        <w:keepNext w:val="0"/>
        <w:keepLines w:val="0"/>
        <w:widowControl w:val="0"/>
        <w:suppressLineNumbers w:val="0"/>
        <w:autoSpaceDE/>
        <w:autoSpaceDN/>
        <w:spacing w:before="0" w:beforeLines="0" w:beforeAutospacing="0" w:after="0" w:afterLines="0" w:afterAutospacing="0" w:line="600" w:lineRule="exact"/>
        <w:ind w:left="0" w:right="0" w:firstLine="640" w:firstLineChars="200"/>
        <w:jc w:val="both"/>
        <w:textAlignment w:val="baseline"/>
        <w:rPr>
          <w:rFonts w:hint="eastAsia" w:ascii="宋体" w:hAnsi="宋体" w:eastAsia="方正仿宋_GBK" w:cs="方正仿宋_GBK"/>
          <w:sz w:val="32"/>
          <w:szCs w:val="32"/>
          <w:highlight w:val="none"/>
          <w:lang w:eastAsia="zh-CN"/>
        </w:rPr>
      </w:pP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lang w:val="en-US" w:eastAsia="zh-CN"/>
        </w:rPr>
        <w:t>九</w:t>
      </w: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lang w:val="en-US" w:eastAsia="zh-CN"/>
        </w:rPr>
        <w:t>征收范围内房屋的基本情况：</w:t>
      </w:r>
      <w:r>
        <w:rPr>
          <w:rFonts w:hint="eastAsia" w:ascii="方正仿宋_GBK" w:hAnsi="方正仿宋_GBK" w:eastAsia="方正仿宋_GBK" w:cs="方正仿宋_GBK"/>
          <w:b w:val="0"/>
          <w:i w:val="0"/>
          <w:caps w:val="0"/>
          <w:spacing w:val="0"/>
          <w:kern w:val="2"/>
          <w:sz w:val="32"/>
          <w:szCs w:val="32"/>
          <w:highlight w:val="none"/>
          <w:vertAlign w:val="baseline"/>
          <w:lang w:val="en-US" w:eastAsia="zh-CN" w:bidi="ar"/>
        </w:rPr>
        <w:t>经调查摸底，项目共需征收房屋约51栋、建筑面积约3655平方米（未含附属设施）。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黑体_GBK" w:cs="方正黑体_GBK"/>
          <w:b w:val="0"/>
          <w:bCs w:val="0"/>
          <w:sz w:val="32"/>
          <w:szCs w:val="32"/>
          <w:highlight w:val="none"/>
          <w:lang w:val="en-US" w:eastAsia="zh-CN"/>
        </w:rPr>
      </w:pPr>
      <w:r>
        <w:rPr>
          <w:rFonts w:hint="eastAsia" w:ascii="宋体" w:hAnsi="宋体" w:eastAsia="方正黑体_GBK" w:cs="方正黑体_GBK"/>
          <w:b w:val="0"/>
          <w:bCs w:val="0"/>
          <w:sz w:val="32"/>
          <w:szCs w:val="32"/>
          <w:highlight w:val="none"/>
          <w:lang w:val="en-US" w:eastAsia="zh-CN"/>
        </w:rPr>
        <w:t>二、征收补偿</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lang w:val="en-US" w:eastAsia="zh-CN"/>
        </w:rPr>
        <w:t>一</w:t>
      </w: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rPr>
        <w:t>补偿原则与范围</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rPr>
        <w:t>1.对被征收人给予的补偿包括</w:t>
      </w:r>
      <w:r>
        <w:rPr>
          <w:rFonts w:hint="eastAsia" w:ascii="宋体" w:hAnsi="宋体" w:eastAsia="方正仿宋_GBK" w:cs="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1</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被征收房屋价值的补偿</w:t>
      </w:r>
      <w:r>
        <w:rPr>
          <w:rFonts w:hint="eastAsia" w:ascii="宋体" w:hAnsi="宋体" w:eastAsia="方正仿宋_GBK" w:cs="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2</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因征收房屋造成的搬迁、临时安置的补偿</w:t>
      </w:r>
      <w:r>
        <w:rPr>
          <w:rFonts w:hint="eastAsia" w:ascii="宋体" w:hAnsi="宋体" w:eastAsia="方正仿宋_GBK" w:cs="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3</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因征收房屋造成的停产停业损失的补偿。</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2.征收范围内建（构）筑物性质及合法性由</w:t>
      </w:r>
      <w:r>
        <w:rPr>
          <w:rFonts w:hint="eastAsia" w:ascii="宋体" w:hAnsi="宋体" w:eastAsia="方正仿宋_GBK" w:cs="方正仿宋_GBK"/>
          <w:sz w:val="32"/>
          <w:szCs w:val="32"/>
          <w:highlight w:val="none"/>
          <w:lang w:eastAsia="zh-CN"/>
        </w:rPr>
        <w:t>房屋</w:t>
      </w:r>
      <w:r>
        <w:rPr>
          <w:rFonts w:hint="eastAsia" w:ascii="宋体" w:hAnsi="宋体" w:eastAsia="方正仿宋_GBK" w:cs="方正仿宋_GBK"/>
          <w:sz w:val="32"/>
          <w:szCs w:val="32"/>
          <w:highlight w:val="none"/>
          <w:lang w:val="en-US" w:eastAsia="zh-CN"/>
        </w:rPr>
        <w:t>征收实施单位</w:t>
      </w:r>
      <w:r>
        <w:rPr>
          <w:rFonts w:hint="eastAsia" w:ascii="宋体" w:hAnsi="宋体" w:eastAsia="方正仿宋_GBK" w:cs="方正仿宋_GBK"/>
          <w:sz w:val="32"/>
          <w:szCs w:val="32"/>
          <w:highlight w:val="none"/>
        </w:rPr>
        <w:t>及相关职能部门</w:t>
      </w:r>
      <w:r>
        <w:rPr>
          <w:rFonts w:hint="eastAsia" w:ascii="宋体" w:hAnsi="宋体" w:eastAsia="方正仿宋_GBK" w:cs="方正仿宋_GBK"/>
          <w:sz w:val="32"/>
          <w:szCs w:val="32"/>
          <w:highlight w:val="none"/>
          <w:lang w:eastAsia="zh-CN"/>
        </w:rPr>
        <w:t>组成的房屋（建筑物）信息认定小组</w:t>
      </w:r>
      <w:r>
        <w:rPr>
          <w:rFonts w:hint="eastAsia" w:ascii="宋体" w:hAnsi="宋体" w:eastAsia="方正仿宋_GBK" w:cs="方正仿宋_GBK"/>
          <w:sz w:val="32"/>
          <w:szCs w:val="32"/>
          <w:highlight w:val="none"/>
        </w:rPr>
        <w:t>进行</w:t>
      </w:r>
      <w:r>
        <w:rPr>
          <w:rFonts w:hint="eastAsia" w:ascii="宋体" w:hAnsi="宋体" w:eastAsia="方正仿宋_GBK" w:cs="方正仿宋_GBK"/>
          <w:sz w:val="32"/>
          <w:szCs w:val="32"/>
          <w:highlight w:val="none"/>
          <w:lang w:eastAsia="zh-CN"/>
        </w:rPr>
        <w:t>认定</w:t>
      </w:r>
      <w:r>
        <w:rPr>
          <w:rFonts w:hint="eastAsia" w:ascii="宋体" w:hAnsi="宋体"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3.对认定为合法家庭住房及祖屋的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按照市场评估价给予货币补偿</w:t>
      </w:r>
      <w:r>
        <w:rPr>
          <w:rFonts w:hint="eastAsia" w:ascii="宋体" w:hAnsi="宋体" w:eastAsia="方正仿宋_GBK" w:cs="方正仿宋_GBK"/>
          <w:sz w:val="32"/>
          <w:szCs w:val="32"/>
          <w:highlight w:val="none"/>
          <w:lang w:eastAsia="zh-CN"/>
        </w:rPr>
        <w:t>或产权调换补偿；</w:t>
      </w:r>
      <w:r>
        <w:rPr>
          <w:rFonts w:hint="eastAsia" w:ascii="宋体" w:hAnsi="宋体" w:eastAsia="方正仿宋_GBK" w:cs="方正仿宋_GBK"/>
          <w:sz w:val="32"/>
          <w:szCs w:val="32"/>
          <w:highlight w:val="none"/>
        </w:rPr>
        <w:t>对认定为农业生产设施及其他建筑的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委托第三方有资质评估单位予以单户评估</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对认定为违法违章建筑和超过批准期限的临时建筑不予补偿。</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楷体_GBK" w:cs="方正楷体_GBK"/>
          <w:sz w:val="32"/>
          <w:szCs w:val="32"/>
          <w:highlight w:val="none"/>
        </w:rPr>
      </w:pP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lang w:val="en-US" w:eastAsia="zh-CN"/>
        </w:rPr>
        <w:t>二</w:t>
      </w: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rPr>
        <w:t>征收补偿方式</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被征收人的合法家庭住房可以选择货币补偿，也可以选择产权调换（即上楼安置）</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被征收人应承诺主动放弃在原籍申请宅基地的权利</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农业生产设施及其他建筑一律采取货币补偿方式</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被征收房屋的补偿金额由被征收人选定或随机抽取的房地产评估机构按照《国有土地上房屋征收评估办法》</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建房</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color w:val="auto"/>
          <w:sz w:val="32"/>
          <w:szCs w:val="32"/>
          <w:highlight w:val="none"/>
        </w:rPr>
        <w:t>2011</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77号</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评估确定。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b w:val="0"/>
          <w:bCs w:val="0"/>
          <w:sz w:val="32"/>
          <w:szCs w:val="32"/>
          <w:highlight w:val="none"/>
          <w:lang w:eastAsia="zh-CN"/>
        </w:rPr>
      </w:pPr>
      <w:r>
        <w:rPr>
          <w:rFonts w:hint="eastAsia" w:ascii="宋体" w:hAnsi="宋体" w:eastAsia="方正仿宋_GBK" w:cs="方正仿宋_GBK"/>
          <w:b w:val="0"/>
          <w:bCs w:val="0"/>
          <w:sz w:val="32"/>
          <w:szCs w:val="32"/>
          <w:highlight w:val="none"/>
        </w:rPr>
        <w:t>1</w:t>
      </w:r>
      <w:r>
        <w:rPr>
          <w:rFonts w:hint="eastAsia" w:ascii="宋体" w:hAnsi="宋体" w:eastAsia="方正仿宋_GBK" w:cs="方正仿宋_GBK"/>
          <w:b w:val="0"/>
          <w:bCs w:val="0"/>
          <w:sz w:val="32"/>
          <w:szCs w:val="32"/>
          <w:highlight w:val="none"/>
          <w:lang w:val="en-US" w:eastAsia="zh-CN"/>
        </w:rPr>
        <w:t>.</w:t>
      </w:r>
      <w:r>
        <w:rPr>
          <w:rFonts w:hint="eastAsia" w:ascii="宋体" w:hAnsi="宋体" w:eastAsia="方正仿宋_GBK" w:cs="方正仿宋_GBK"/>
          <w:b w:val="0"/>
          <w:bCs w:val="0"/>
          <w:sz w:val="32"/>
          <w:szCs w:val="32"/>
          <w:highlight w:val="none"/>
        </w:rPr>
        <w:t>货币补偿</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被征收人实行货币补偿的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被征收房屋的补偿金额由被征收人选定的房地产评估机构评估确定。</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b w:val="0"/>
          <w:bCs w:val="0"/>
          <w:sz w:val="32"/>
          <w:szCs w:val="32"/>
          <w:highlight w:val="none"/>
        </w:rPr>
        <w:t>2</w:t>
      </w:r>
      <w:r>
        <w:rPr>
          <w:rFonts w:hint="eastAsia" w:ascii="宋体" w:hAnsi="宋体" w:eastAsia="方正仿宋_GBK" w:cs="方正仿宋_GBK"/>
          <w:b w:val="0"/>
          <w:bCs w:val="0"/>
          <w:sz w:val="32"/>
          <w:szCs w:val="32"/>
          <w:highlight w:val="none"/>
          <w:lang w:val="en-US" w:eastAsia="zh-CN"/>
        </w:rPr>
        <w:t>.</w:t>
      </w:r>
      <w:r>
        <w:rPr>
          <w:rFonts w:hint="eastAsia" w:ascii="宋体" w:hAnsi="宋体" w:eastAsia="方正仿宋_GBK" w:cs="方正仿宋_GBK"/>
          <w:b w:val="0"/>
          <w:bCs w:val="0"/>
          <w:sz w:val="32"/>
          <w:szCs w:val="32"/>
          <w:highlight w:val="none"/>
        </w:rPr>
        <w:t>产权调换</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被征收人选择产权调换的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房屋征收实施单位应提供相应数量的产权调换房屋（以下简称安置房）供被征收人进行产权调换。</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1</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产权调换的原则与标准。</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征收单家独院房屋按建筑年限折算后的建筑面积（单层砼结构）按1:1.25的建筑面积进行调换</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砼结构两层以上（含二层）的第一层按1:1.15的建筑面积进行调换</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第二层以上（含第二层）按1:1.05的建筑面积进行调换；砖木、瓦结构的第一层按1:1.15的建筑面积进行调换，第二层以上（含第二层）按1:1的建筑面积进行调换。</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实行产权调换后的房屋建筑占地面积不另作补偿，附属设施实行货币补偿。</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征收房屋中的技术层（含夹层、阁楼）如属于原建筑物整体结构和布局或者经报建批准</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层高超过2.2米；楼底高度不少于2.4米（即自然层高不少于4.6米）的，可计算产权面积，按1:1的比例调换产权面积；层高不足2.2米的，不作产权调换，只按市场评估价格给予货币补偿。</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征收砖木瓦房屋第二层（含第二层）其檐高不足2.2米，墙高2.2米以上的，可当一层作产权调换或作货币补偿；墙高不足2.2米又超过1.6米的，按50%折算面积作产权调换或货币补偿</w:t>
      </w:r>
      <w:r>
        <w:rPr>
          <w:rFonts w:hint="eastAsia" w:ascii="宋体" w:hAnsi="宋体" w:eastAsia="方正仿宋_GBK" w:cs="方正仿宋_GBK"/>
          <w:sz w:val="32"/>
          <w:szCs w:val="32"/>
          <w:highlight w:val="none"/>
          <w:lang w:val="en-US" w:eastAsia="zh-CN"/>
        </w:rPr>
        <w:t>；</w:t>
      </w:r>
      <w:r>
        <w:rPr>
          <w:rFonts w:hint="eastAsia" w:ascii="宋体" w:hAnsi="宋体" w:eastAsia="方正仿宋_GBK" w:cs="方正仿宋_GBK"/>
          <w:sz w:val="32"/>
          <w:szCs w:val="32"/>
          <w:highlight w:val="none"/>
        </w:rPr>
        <w:t>墙高1.6米以下的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只作货币补偿。</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框架、混凝土结构房标准檐高为3米，红砖、泥砖瓦标准檐高为2.8米。阳台按1/2折算建筑面积，飘檐按1/4折算建筑面积进行补偿。</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实行产权调换的，被征收人按照“面积近似”原则选择安置房，安置房面积超过按比例调换面积的，超出面积一般不得超过按比例调换面积的20%。超出面积10平方米（含本数）以内的，按成本价结算差价；超过10平方米以外的部分，按市场评估价结算。安置房面积不足按比例调换面积的部分，按市场价补偿给被征收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安置房办证及费用由房屋征收实施单位负责。办证时间：安置房交付之日起18个月内办理好房产证。</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（2）安置房源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房源</w:t>
      </w:r>
      <w:r>
        <w:rPr>
          <w:rFonts w:hint="eastAsia" w:ascii="宋体" w:hAnsi="宋体" w:eastAsia="方正仿宋_GBK" w:cs="方正仿宋_GBK"/>
          <w:sz w:val="32"/>
          <w:szCs w:val="32"/>
          <w:highlight w:val="none"/>
          <w:lang w:eastAsia="zh-CN"/>
        </w:rPr>
        <w:t>安置点：</w:t>
      </w:r>
      <w:r>
        <w:rPr>
          <w:rFonts w:hint="eastAsia" w:ascii="宋体" w:hAnsi="宋体" w:eastAsia="方正仿宋_GBK" w:cs="方正仿宋_GBK"/>
          <w:sz w:val="32"/>
          <w:szCs w:val="32"/>
          <w:highlight w:val="none"/>
          <w:lang w:val="en-US" w:eastAsia="zh-CN"/>
        </w:rPr>
        <w:t>结合项目实际选购就近价值相当的房源进行安置，具体位置以协议约定为准。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楷体_GBK" w:cs="方正楷体_GBK"/>
          <w:sz w:val="32"/>
          <w:szCs w:val="32"/>
          <w:highlight w:val="none"/>
        </w:rPr>
      </w:pP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lang w:val="en-US" w:eastAsia="zh-CN"/>
        </w:rPr>
        <w:t>三</w:t>
      </w: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rPr>
        <w:t>停产停业损失、期限及条件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对因征收房屋造成被征收人停产停业损失的补偿</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由征收当事人根据房屋被征收前的效益</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停产停业期限等因素协商确定。协商不成的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可以委托房地产价格评估机构评估确定</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对评估结果有异议的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可以按照《国有土地上房屋征收评估办法》</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建房〔2011〕77号</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第二十条相关规定申请复核。</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b w:val="0"/>
          <w:bCs w:val="0"/>
          <w:sz w:val="32"/>
          <w:szCs w:val="32"/>
          <w:highlight w:val="none"/>
        </w:rPr>
      </w:pPr>
      <w:r>
        <w:rPr>
          <w:rFonts w:hint="eastAsia" w:ascii="宋体" w:hAnsi="宋体" w:eastAsia="方正仿宋_GBK" w:cs="方正仿宋_GBK"/>
          <w:b w:val="0"/>
          <w:bCs w:val="0"/>
          <w:sz w:val="32"/>
          <w:szCs w:val="32"/>
          <w:highlight w:val="none"/>
        </w:rPr>
        <w:t>1.房屋被征收前的效益</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1</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被征收人能提供税务部门出具的税后利润凭证的效益</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以房屋征收决定作出前1年内实际月平均税后利润为准。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2</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被征收人不能提供税务部门出具的税后利润凭证等证明</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含完税凭证不能反映停产停业损失</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或者无法核算税后利润的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效益按上年度本地区同行业平均税后利润额或者同类房屋市场租金计算</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对于营业面积在100平方米</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含本数</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以内的小型商铺</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不含农家乐</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工厂</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洗车场等</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按照建筑内营业面积</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厨房、卫生间、仓库除外</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以不超过每月每平方米200元给与补偿。</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b w:val="0"/>
          <w:bCs w:val="0"/>
          <w:sz w:val="32"/>
          <w:szCs w:val="32"/>
          <w:highlight w:val="none"/>
        </w:rPr>
        <w:t>2.停产停业期限及条件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方正仿宋简体" w:hAnsi="方正仿宋简体" w:eastAsia="方正仿宋简体" w:cs="方正仿宋简体"/>
          <w:color w:val="000000"/>
          <w:kern w:val="0"/>
          <w:sz w:val="32"/>
          <w:szCs w:val="32"/>
          <w:highlight w:val="none"/>
        </w:rPr>
        <w:t>停产停业期限的确定，选择货币补偿的按6个月计算；选择产权调换的，停产停业期限自被征收人实际搬迁之日起至产权调换房屋通知交付之日止。</w:t>
      </w:r>
      <w:r>
        <w:rPr>
          <w:rFonts w:hint="eastAsia" w:ascii="宋体" w:hAnsi="宋体" w:eastAsia="方正仿宋_GBK" w:cs="方正仿宋_GBK"/>
          <w:sz w:val="32"/>
          <w:szCs w:val="32"/>
          <w:highlight w:val="none"/>
        </w:rPr>
        <w:t>给予停产停业损失补偿应当同时符合以下条件</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一是</w:t>
      </w:r>
      <w:r>
        <w:rPr>
          <w:rFonts w:hint="eastAsia" w:ascii="宋体" w:hAnsi="宋体" w:eastAsia="方正仿宋_GBK" w:cs="方正仿宋_GBK"/>
          <w:sz w:val="32"/>
          <w:szCs w:val="32"/>
          <w:highlight w:val="none"/>
        </w:rPr>
        <w:t>经认定为合法的建筑</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认定为违法建筑和超过批准期限的临时建筑不</w:t>
      </w:r>
      <w:r>
        <w:rPr>
          <w:rFonts w:hint="eastAsia" w:ascii="宋体" w:hAnsi="宋体" w:eastAsia="方正仿宋_GBK" w:cs="方正仿宋_GBK"/>
          <w:sz w:val="32"/>
          <w:szCs w:val="32"/>
          <w:highlight w:val="none"/>
          <w:lang w:val="en-US" w:eastAsia="zh-CN"/>
        </w:rPr>
        <w:t>给</w:t>
      </w:r>
      <w:r>
        <w:rPr>
          <w:rFonts w:hint="eastAsia" w:ascii="宋体" w:hAnsi="宋体" w:eastAsia="方正仿宋_GBK" w:cs="方正仿宋_GBK"/>
          <w:sz w:val="32"/>
          <w:szCs w:val="32"/>
          <w:highlight w:val="none"/>
        </w:rPr>
        <w:t>予停产停业损失补偿</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二是</w:t>
      </w:r>
      <w:r>
        <w:rPr>
          <w:rFonts w:hint="eastAsia" w:ascii="宋体" w:hAnsi="宋体" w:eastAsia="方正仿宋_GBK" w:cs="方正仿宋_GBK"/>
          <w:sz w:val="32"/>
          <w:szCs w:val="32"/>
          <w:highlight w:val="none"/>
        </w:rPr>
        <w:t>具有合法、有效的工商营业执照、税务登记证以及其他有关许可证件</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三是</w:t>
      </w:r>
      <w:r>
        <w:rPr>
          <w:rFonts w:hint="eastAsia" w:ascii="宋体" w:hAnsi="宋体" w:eastAsia="方正仿宋_GBK" w:cs="方正仿宋_GBK"/>
          <w:sz w:val="32"/>
          <w:szCs w:val="32"/>
          <w:highlight w:val="none"/>
        </w:rPr>
        <w:t>作出房屋征收决定前实际正在经营</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因征收房屋造成了停产停业损失。</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lang w:val="en-US" w:eastAsia="zh-CN"/>
        </w:rPr>
        <w:t>四</w:t>
      </w: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rPr>
        <w:t>临时过渡方式及其他补偿</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1.临时过渡方式一律采取发放临时安置补偿费</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由被征收人自行解决过渡期住房问题。</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2.征收项目范围内的原有公共硬底化道路政府投入部分不予补偿。</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3.因征收房屋造成搬迁的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给予被征收人按房屋建筑面积一次性支付每平方米20元的搬迁费。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4.被征收人选择货币补偿</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给予被征收人一次性支付3个月每人每月200元的临时安置补偿费。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5.对因征收房屋造成被征收人停产停业损失的补偿</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由征收当事人根据房屋被征收前的效益、停产停业期限等因素协商确定。协商不成的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可以委托房地产价格评估机构评估确定。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6.经批准开办的养殖场及其它生产性用房按市场建筑成本实行货币补偿</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造成停业停产损失的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按每平方米100元进行补偿。</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7.对个别经营免税产业</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不能提供纳税证明的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可实行评估</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然后根据评估的结果予以补偿。</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8.房屋外没有土地使用权证的空地按自然资源部门规定的征地标准进行补偿</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房屋内的天井</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房屋外有土地使用权证的空地按标准予以补偿</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老宅基础按建筑成本只作货币补偿。</w:t>
      </w:r>
    </w:p>
    <w:p>
      <w:pPr>
        <w:spacing w:beforeLines="0" w:afterLines="0" w:line="600" w:lineRule="exact"/>
        <w:ind w:firstLine="640" w:firstLineChars="200"/>
        <w:textAlignment w:val="baseline"/>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rPr>
        <w:t>9.</w:t>
      </w:r>
      <w:r>
        <w:rPr>
          <w:rFonts w:hint="eastAsia" w:ascii="宋体" w:hAnsi="宋体" w:eastAsia="方正仿宋_GBK" w:cs="方正仿宋_GBK"/>
          <w:sz w:val="32"/>
          <w:szCs w:val="32"/>
          <w:highlight w:val="none"/>
          <w:lang w:eastAsia="zh-CN"/>
        </w:rPr>
        <w:t>被征收房屋的建筑面积和用途，以房屋所有权证书或建（构）筑物类别认定的结果为准。被征收人有证据证明房屋所有权证书和建（构）筑物类别认定结果记载的建筑面积和用途有误的，应当在建（构）筑物类别认定结果之日起15日内向房屋征收实施单位提出申请，由房屋征收实施单位委托具有相应资质的房产测绘机构对房屋的实际合法建筑面积进行测量，并出具测量结果报告，房屋建筑面积以测量结果报告为准；土地房屋信息认定组应对被征收人提供用途有误的相关证据证明进行核查，并将复核结果在被征收人向房屋征收实施单位提出申请之日起15天内回复。</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10.征收涉有抵押权、被查封及扣押的房屋</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按照国家有关的法律、法规执行。</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11.被征收人自费安装的固定电话、有线电视、信息网、空调、太阳能设备等</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按照价格主管部门规定的移动安装费用或者市场价格给予补偿</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被征收人自费开户的管道燃气、自来水</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按照价格主管部门规定的开户费用给予补偿。</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lang w:eastAsia="zh-CN"/>
        </w:rPr>
      </w:pPr>
      <w:r>
        <w:rPr>
          <w:rFonts w:hint="eastAsia" w:ascii="宋体" w:hAnsi="宋体" w:eastAsia="方正仿宋_GBK" w:cs="方正仿宋_GBK"/>
          <w:sz w:val="32"/>
          <w:szCs w:val="32"/>
          <w:highlight w:val="none"/>
        </w:rPr>
        <w:t>12.收到补偿款后</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被征收人应当在补偿协议约定的搬迁期限内完成搬迁。已作补偿的建</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筑物及附属物归政府所有</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被征收人不得毁坏和自行拆除</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房屋征收实施单位同意的除外</w:t>
      </w:r>
      <w:r>
        <w:rPr>
          <w:rFonts w:hint="eastAsia" w:ascii="宋体" w:hAnsi="宋体" w:eastAsia="方正仿宋_GBK" w:cs="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楷体_GBK" w:cs="方正楷体_GBK"/>
          <w:sz w:val="32"/>
          <w:szCs w:val="32"/>
          <w:highlight w:val="none"/>
        </w:rPr>
      </w:pP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lang w:val="en-US" w:eastAsia="zh-CN"/>
        </w:rPr>
        <w:t>五</w:t>
      </w:r>
      <w:r>
        <w:rPr>
          <w:rFonts w:hint="eastAsia" w:ascii="宋体" w:hAnsi="宋体" w:eastAsia="方正楷体_GBK" w:cs="方正楷体_GBK"/>
          <w:sz w:val="32"/>
          <w:szCs w:val="32"/>
          <w:highlight w:val="none"/>
          <w:lang w:eastAsia="zh-CN"/>
        </w:rPr>
        <w:t>）</w:t>
      </w:r>
      <w:r>
        <w:rPr>
          <w:rFonts w:hint="eastAsia" w:ascii="宋体" w:hAnsi="宋体" w:eastAsia="方正楷体_GBK" w:cs="方正楷体_GBK"/>
          <w:sz w:val="32"/>
          <w:szCs w:val="32"/>
          <w:highlight w:val="none"/>
        </w:rPr>
        <w:t>补助和奖励</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lang w:val="en-US" w:eastAsia="zh-CN"/>
        </w:rPr>
      </w:pPr>
      <w:r>
        <w:rPr>
          <w:rFonts w:hint="eastAsia" w:ascii="宋体" w:hAnsi="宋体" w:eastAsia="方正仿宋_GBK" w:cs="方正仿宋_GBK"/>
          <w:sz w:val="32"/>
          <w:szCs w:val="32"/>
          <w:highlight w:val="none"/>
          <w:lang w:val="en-US" w:eastAsia="zh-CN"/>
        </w:rPr>
        <w:t>1.村民住宅权属人在规定期限内签订村民住宅补偿安置协议书的，给予一次性限时签约奖励。每平方米奖励不超过300元，计算奖励的建筑面积最高不超过320平方米。</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lang w:val="en-US" w:eastAsia="zh-CN"/>
        </w:rPr>
      </w:pPr>
      <w:r>
        <w:rPr>
          <w:rFonts w:hint="eastAsia" w:ascii="宋体" w:hAnsi="宋体" w:eastAsia="方正仿宋_GBK" w:cs="方正仿宋_GBK"/>
          <w:sz w:val="32"/>
          <w:szCs w:val="32"/>
          <w:highlight w:val="none"/>
        </w:rPr>
        <w:t>2.</w:t>
      </w:r>
      <w:r>
        <w:rPr>
          <w:rFonts w:hint="eastAsia" w:ascii="宋体" w:hAnsi="宋体" w:eastAsia="方正仿宋_GBK" w:cs="方正仿宋_GBK"/>
          <w:sz w:val="32"/>
          <w:szCs w:val="32"/>
          <w:highlight w:val="none"/>
          <w:lang w:val="en-US" w:eastAsia="zh-CN"/>
        </w:rPr>
        <w:t>鼓励村民住宅权属人选择一次性货币补偿。对村民住宅权属人自愿放弃重新安排宅基地建房和安置房，全部选择货币补偿的，给予一次性奖励。奖励金额不得高于被征收村民住宅房屋价值的20%。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黑体_GBK" w:cs="方正黑体_GBK"/>
          <w:b w:val="0"/>
          <w:bCs w:val="0"/>
          <w:sz w:val="32"/>
          <w:szCs w:val="32"/>
          <w:highlight w:val="none"/>
          <w:lang w:val="en-US" w:eastAsia="zh-CN"/>
        </w:rPr>
      </w:pPr>
      <w:r>
        <w:rPr>
          <w:rFonts w:hint="eastAsia" w:ascii="宋体" w:hAnsi="宋体" w:eastAsia="方正黑体_GBK" w:cs="方正黑体_GBK"/>
          <w:b w:val="0"/>
          <w:bCs w:val="0"/>
          <w:sz w:val="32"/>
          <w:szCs w:val="32"/>
          <w:highlight w:val="none"/>
          <w:lang w:val="en-US" w:eastAsia="zh-CN"/>
        </w:rPr>
        <w:t>三、征收实施步骤</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按照以下程序开展房屋征收工作:</w:t>
      </w:r>
    </w:p>
    <w:p>
      <w:pPr>
        <w:keepNext w:val="0"/>
        <w:keepLines w:val="0"/>
        <w:widowControl w:val="0"/>
        <w:suppressLineNumbers w:val="0"/>
        <w:spacing w:before="0" w:beforeLines="0" w:beforeAutospacing="0" w:after="0" w:afterLines="0" w:afterAutospacing="0" w:line="600" w:lineRule="exact"/>
        <w:ind w:left="0" w:right="0" w:firstLine="640" w:firstLineChars="200"/>
        <w:jc w:val="both"/>
        <w:textAlignment w:val="center"/>
        <w:rPr>
          <w:rFonts w:hint="eastAsia" w:ascii="宋体" w:hAnsi="宋体" w:eastAsia="方正仿宋_GBK" w:cs="方正仿宋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一</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现场公示</w:t>
      </w:r>
      <w:r>
        <w:rPr>
          <w:rFonts w:hint="eastAsia" w:ascii="方正楷体_GBK" w:hAnsi="方正楷体_GBK" w:eastAsia="方正楷体_GBK" w:cs="方正楷体_GBK"/>
          <w:sz w:val="32"/>
          <w:szCs w:val="32"/>
          <w:highlight w:val="none"/>
          <w:lang w:eastAsia="zh-CN"/>
        </w:rPr>
        <w:t>。</w:t>
      </w:r>
      <w:r>
        <w:rPr>
          <w:rFonts w:hint="eastAsia" w:ascii="宋体" w:hAnsi="宋体" w:eastAsia="方正仿宋_GBK" w:cs="方正仿宋_GBK"/>
          <w:sz w:val="32"/>
          <w:szCs w:val="32"/>
          <w:highlight w:val="none"/>
          <w:lang w:val="en-US" w:eastAsia="zh-CN"/>
        </w:rPr>
        <w:t>公示内容为</w:t>
      </w:r>
      <w:r>
        <w:rPr>
          <w:rFonts w:hint="eastAsia" w:ascii="宋体" w:hAnsi="宋体" w:eastAsia="方正仿宋_GBK" w:cs="方正仿宋_GBK"/>
          <w:sz w:val="32"/>
          <w:szCs w:val="32"/>
          <w:highlight w:val="none"/>
        </w:rPr>
        <w:t>国家、省、市房屋征收与补偿有关的法规、规章、规范性文件</w:t>
      </w:r>
      <w:r>
        <w:rPr>
          <w:rFonts w:hint="eastAsia" w:ascii="宋体" w:hAnsi="宋体" w:eastAsia="方正仿宋_GBK" w:cs="方正仿宋_GBK"/>
          <w:sz w:val="32"/>
          <w:szCs w:val="32"/>
          <w:highlight w:val="none"/>
          <w:lang w:val="en-US" w:eastAsia="zh-CN"/>
        </w:rPr>
        <w:t>和《源城区长乐园公墓山四期安置区墓地建设项目房屋征收补偿安置方案》</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征收实施单位名称、征收工作人员名单。</w:t>
      </w:r>
    </w:p>
    <w:p>
      <w:pPr>
        <w:keepNext w:val="0"/>
        <w:keepLines w:val="0"/>
        <w:widowControl w:val="0"/>
        <w:suppressLineNumbers w:val="0"/>
        <w:spacing w:before="0" w:beforeLines="0" w:beforeAutospacing="0" w:after="0" w:afterLines="0" w:afterAutospacing="0" w:line="600" w:lineRule="exact"/>
        <w:ind w:left="0" w:right="0" w:firstLine="640" w:firstLineChars="200"/>
        <w:jc w:val="both"/>
        <w:textAlignment w:val="baseline"/>
        <w:rPr>
          <w:rFonts w:hint="eastAsia" w:ascii="宋体" w:hAnsi="宋体" w:eastAsia="方正仿宋_GBK" w:cs="方正仿宋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二</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发放补偿方案。</w:t>
      </w:r>
      <w:r>
        <w:rPr>
          <w:rFonts w:hint="eastAsia" w:ascii="宋体" w:hAnsi="宋体" w:eastAsia="方正仿宋_GBK" w:cs="方正仿宋_GBK"/>
          <w:sz w:val="32"/>
          <w:szCs w:val="32"/>
          <w:highlight w:val="none"/>
        </w:rPr>
        <w:t>房屋征收实施单位应将《</w:t>
      </w:r>
      <w:r>
        <w:rPr>
          <w:rFonts w:hint="eastAsia" w:ascii="方正仿宋_GBK" w:hAnsi="方正仿宋_GBK" w:eastAsia="方正仿宋_GBK" w:cs="方正仿宋_GBK"/>
          <w:kern w:val="2"/>
          <w:sz w:val="32"/>
          <w:szCs w:val="32"/>
          <w:highlight w:val="none"/>
          <w:lang w:val="en-US" w:eastAsia="zh-CN" w:bidi="ar"/>
        </w:rPr>
        <w:t>源城区长乐园公墓山四期安置区墓地建设项目</w:t>
      </w:r>
      <w:r>
        <w:rPr>
          <w:rFonts w:hint="eastAsia" w:ascii="宋体" w:hAnsi="宋体" w:eastAsia="方正仿宋_GBK" w:cs="方正仿宋_GBK"/>
          <w:sz w:val="32"/>
          <w:szCs w:val="32"/>
          <w:highlight w:val="none"/>
        </w:rPr>
        <w:t>房屋征收补偿安置方案》发放给被征收人。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三</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确定房地产评估机构。</w:t>
      </w:r>
      <w:r>
        <w:rPr>
          <w:rFonts w:hint="eastAsia" w:ascii="宋体" w:hAnsi="宋体" w:eastAsia="方正仿宋_GBK" w:cs="方正仿宋_GBK"/>
          <w:sz w:val="32"/>
          <w:szCs w:val="32"/>
          <w:highlight w:val="none"/>
        </w:rPr>
        <w:t>评估机构由被征收人协商选定</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协商不成的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通过多数决定、随机选定等方式确定。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四</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评估机构对被征收范围内房屋进行评估。</w:t>
      </w:r>
      <w:r>
        <w:rPr>
          <w:rFonts w:hint="eastAsia" w:ascii="宋体" w:hAnsi="宋体" w:eastAsia="方正仿宋_GBK" w:cs="方正仿宋_GBK"/>
          <w:sz w:val="32"/>
          <w:szCs w:val="32"/>
          <w:highlight w:val="none"/>
        </w:rPr>
        <w:t>被征收人应当协助注册房地产估价师对被征收房屋进行实地查勘</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提供或者协助搜集被征收房屋价值评估所必需的情况和资料。</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五</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公示初步评估结果。</w:t>
      </w:r>
      <w:r>
        <w:rPr>
          <w:rFonts w:hint="eastAsia" w:ascii="宋体" w:hAnsi="宋体" w:eastAsia="方正仿宋_GBK" w:cs="方正仿宋_GBK"/>
          <w:sz w:val="32"/>
          <w:szCs w:val="32"/>
          <w:highlight w:val="none"/>
        </w:rPr>
        <w:t>房屋征收实施单位应当将初步评估结果在征收范围内向被征收人公示。公示期间</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评估机构应当安排注册房地产估价师对初步评估结果进行现场说明解释。对评估结果有异议的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可以向房地产价格评估机构申请复核评估。对复核结果有异议的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可以向房地产价格评估专家委员会申请鉴定。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六</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签订房屋征收补偿安置协议</w:t>
      </w:r>
      <w:r>
        <w:rPr>
          <w:rFonts w:hint="eastAsia" w:ascii="方正楷体_GBK" w:hAnsi="方正楷体_GBK" w:eastAsia="方正楷体_GBK" w:cs="方正楷体_GBK"/>
          <w:sz w:val="32"/>
          <w:szCs w:val="32"/>
          <w:highlight w:val="none"/>
          <w:lang w:val="en-US" w:eastAsia="zh-CN"/>
        </w:rPr>
        <w:t>。</w:t>
      </w:r>
      <w:r>
        <w:rPr>
          <w:rFonts w:hint="eastAsia" w:ascii="方正仿宋_GBK" w:hAnsi="方正仿宋_GBK" w:eastAsia="方正仿宋_GBK" w:cs="方正仿宋_GBK"/>
          <w:sz w:val="32"/>
          <w:szCs w:val="32"/>
          <w:highlight w:val="none"/>
        </w:rPr>
        <w:t>签约期限内</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由征收实施单位与被征收人签订征收补偿协议</w:t>
      </w:r>
      <w:r>
        <w:rPr>
          <w:rFonts w:hint="eastAsia" w:ascii="方正仿宋_GBK" w:hAnsi="方正仿宋_GBK" w:eastAsia="方正仿宋_GBK" w:cs="方正仿宋_GBK"/>
          <w:sz w:val="32"/>
          <w:szCs w:val="32"/>
          <w:highlight w:val="none"/>
          <w:lang w:eastAsia="zh-CN"/>
        </w:rPr>
        <w:t>。</w:t>
      </w:r>
      <w:r>
        <w:rPr>
          <w:rFonts w:hint="eastAsia" w:ascii="宋体" w:hAnsi="宋体" w:eastAsia="方正仿宋_GBK" w:cs="方正仿宋_GBK"/>
          <w:sz w:val="32"/>
          <w:szCs w:val="32"/>
          <w:highlight w:val="none"/>
        </w:rPr>
        <w:t>签订补偿协议时被征收人需带房屋所有权证、国有</w:t>
      </w:r>
      <w:r>
        <w:rPr>
          <w:rFonts w:hint="eastAsia" w:ascii="宋体" w:hAnsi="宋体" w:eastAsia="方正仿宋_GBK" w:cs="方正仿宋_GBK"/>
          <w:sz w:val="32"/>
          <w:szCs w:val="32"/>
          <w:highlight w:val="none"/>
          <w:lang w:eastAsia="zh-CN"/>
        </w:rPr>
        <w:t>或集体建设用地</w:t>
      </w:r>
      <w:r>
        <w:rPr>
          <w:rFonts w:hint="eastAsia" w:ascii="宋体" w:hAnsi="宋体" w:eastAsia="方正仿宋_GBK" w:cs="方正仿宋_GBK"/>
          <w:sz w:val="32"/>
          <w:szCs w:val="32"/>
          <w:highlight w:val="none"/>
        </w:rPr>
        <w:t>土地使用证、户口簿、身份证、营业执照、税务登记证等原件和复印件</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房屋征收实施单位应收回房屋所有权证、国有</w:t>
      </w:r>
      <w:r>
        <w:rPr>
          <w:rFonts w:hint="eastAsia" w:ascii="宋体" w:hAnsi="宋体" w:eastAsia="方正仿宋_GBK" w:cs="方正仿宋_GBK"/>
          <w:sz w:val="32"/>
          <w:szCs w:val="32"/>
          <w:highlight w:val="none"/>
          <w:lang w:eastAsia="zh-CN"/>
        </w:rPr>
        <w:t>或集体建设用地</w:t>
      </w:r>
      <w:r>
        <w:rPr>
          <w:rFonts w:hint="eastAsia" w:ascii="宋体" w:hAnsi="宋体" w:eastAsia="方正仿宋_GBK" w:cs="方正仿宋_GBK"/>
          <w:sz w:val="32"/>
          <w:szCs w:val="32"/>
          <w:highlight w:val="none"/>
        </w:rPr>
        <w:t>土地使用证等证件材料。</w:t>
      </w:r>
    </w:p>
    <w:p>
      <w:pPr>
        <w:pStyle w:val="7"/>
        <w:keepNext w:val="0"/>
        <w:keepLines w:val="0"/>
        <w:pageBreakBefore w:val="0"/>
        <w:widowControl w:val="0"/>
        <w:suppressLineNumbers w:val="0"/>
        <w:kinsoku/>
        <w:wordWrap/>
        <w:overflowPunct/>
        <w:topLinePunct w:val="0"/>
        <w:autoSpaceDE/>
        <w:autoSpaceDN/>
        <w:bidi w:val="0"/>
        <w:adjustRightInd/>
        <w:spacing w:before="0" w:beforeLines="0" w:beforeAutospacing="0" w:after="0" w:afterLines="0" w:afterAutospacing="0" w:line="600" w:lineRule="exact"/>
        <w:ind w:left="0" w:right="0"/>
        <w:jc w:val="both"/>
        <w:textAlignment w:val="center"/>
        <w:rPr>
          <w:rFonts w:hint="eastAsia" w:ascii="宋体" w:hAnsi="宋体" w:eastAsia="方正仿宋_GBK" w:cs="方正仿宋_GBK"/>
          <w:kern w:val="2"/>
          <w:sz w:val="32"/>
          <w:szCs w:val="32"/>
          <w:highlight w:val="none"/>
          <w:lang w:val="en-US" w:eastAsia="zh-CN" w:bidi="ar-SA"/>
        </w:rPr>
      </w:pPr>
      <w:r>
        <w:rPr>
          <w:rFonts w:hint="eastAsia" w:ascii="宋体" w:hAnsi="宋体" w:eastAsia="方正仿宋_GBK" w:cs="方正仿宋_GBK"/>
          <w:sz w:val="32"/>
          <w:szCs w:val="32"/>
          <w:highlight w:val="none"/>
          <w:lang w:val="en-US" w:eastAsia="zh-CN"/>
        </w:rPr>
        <w:t xml:space="preserve">   </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七</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行政复议与强制执行。</w:t>
      </w:r>
      <w:r>
        <w:rPr>
          <w:rFonts w:hint="eastAsia" w:ascii="方正仿宋_GBK" w:hAnsi="方正仿宋_GBK" w:eastAsia="方正仿宋_GBK" w:cs="方正仿宋_GBK"/>
          <w:sz w:val="32"/>
          <w:szCs w:val="32"/>
          <w:highlight w:val="none"/>
        </w:rPr>
        <w:t>签约期限届满</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kern w:val="2"/>
          <w:sz w:val="32"/>
          <w:szCs w:val="32"/>
          <w:highlight w:val="none"/>
          <w:lang w:val="en-US" w:eastAsia="zh-CN" w:bidi="ar-SA"/>
        </w:rPr>
        <w:t>被征收人未能达成补偿协议的，参照《河源市土地房屋征收强制执行操作办法》（河府办〔2014〕47号）规定，由房屋征收实施单位报请源城区人民政府，依照有关规定作出补偿决定。</w:t>
      </w:r>
      <w:r>
        <w:rPr>
          <w:rFonts w:hint="eastAsia" w:ascii="宋体" w:hAnsi="宋体" w:eastAsia="方正仿宋_GBK" w:cs="方正仿宋_GBK"/>
          <w:kern w:val="2"/>
          <w:sz w:val="32"/>
          <w:szCs w:val="32"/>
          <w:highlight w:val="none"/>
          <w:lang w:val="en-US" w:eastAsia="zh-CN" w:bidi="ar-SA"/>
        </w:rPr>
        <w:t>被征收人在法定期限内不申请行政复议或者不提起行政诉讼，在补偿决定规定的期限内又不搬迁的，由房屋征收实施单位向被征收人发出催告书，催告履行补偿决定。被征收人在收到催告书10日内提出陈述和申辩。房屋征收实施单位应当充分听取被征收人意见，并进行记录和复核。事实、理由或证据成立的，应当采纳。催告书送达10日后被征收人不申请行政复议或者提起行政诉讼，又不履行行政决定，且无正当理由的，由房屋征收实施单位提请源城区人民政府自被征收人的法定起诉期限届满之日起3个月内依法向房屋所在地的源城区人民法院申请强制执行。</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方正楷体_GBK" w:hAnsi="方正楷体_GBK" w:eastAsia="方正楷体_GBK" w:cs="方正楷体_GBK"/>
          <w:kern w:val="2"/>
          <w:sz w:val="32"/>
          <w:szCs w:val="32"/>
          <w:highlight w:val="none"/>
          <w:lang w:val="en-US" w:eastAsia="zh-CN" w:bidi="ar-SA"/>
        </w:rPr>
        <w:t>（八）补偿事项。</w:t>
      </w:r>
      <w:r>
        <w:rPr>
          <w:rFonts w:hint="eastAsia" w:ascii="宋体" w:hAnsi="宋体" w:eastAsia="方正仿宋_GBK" w:cs="方正仿宋_GBK"/>
          <w:sz w:val="32"/>
          <w:szCs w:val="32"/>
          <w:highlight w:val="none"/>
        </w:rPr>
        <w:t>选择货币补偿的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在签订补偿协议并领取补偿款后</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在约定时间内搬迁完毕</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经征收工作人员验收后</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补偿工作结束。</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黑体_GBK" w:cs="方正黑体_GBK"/>
          <w:b w:val="0"/>
          <w:bCs w:val="0"/>
          <w:sz w:val="32"/>
          <w:szCs w:val="32"/>
          <w:highlight w:val="none"/>
          <w:lang w:val="en-US" w:eastAsia="zh-CN"/>
        </w:rPr>
      </w:pPr>
      <w:r>
        <w:rPr>
          <w:rFonts w:hint="eastAsia" w:ascii="宋体" w:hAnsi="宋体" w:eastAsia="方正黑体_GBK" w:cs="方正黑体_GBK"/>
          <w:b w:val="0"/>
          <w:bCs w:val="0"/>
          <w:sz w:val="32"/>
          <w:szCs w:val="32"/>
          <w:highlight w:val="none"/>
          <w:lang w:val="en-US" w:eastAsia="zh-CN"/>
        </w:rPr>
        <w:t>四、其他事项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一</w:t>
      </w:r>
      <w:r>
        <w:rPr>
          <w:rFonts w:hint="eastAsia" w:ascii="宋体" w:hAnsi="宋体" w:eastAsia="方正仿宋_GBK" w:cs="方正仿宋_GBK"/>
          <w:sz w:val="32"/>
          <w:szCs w:val="32"/>
          <w:highlight w:val="none"/>
          <w:lang w:eastAsia="zh-CN"/>
        </w:rPr>
        <w:t>）水电迁移。</w:t>
      </w:r>
      <w:r>
        <w:rPr>
          <w:rFonts w:hint="eastAsia" w:ascii="宋体" w:hAnsi="宋体" w:eastAsia="方正仿宋_GBK" w:cs="方正仿宋_GBK"/>
          <w:sz w:val="32"/>
          <w:szCs w:val="32"/>
          <w:highlight w:val="none"/>
        </w:rPr>
        <w:t>被征收房屋的水、电、固定电话、有线电视、信息网、管道燃气等迁移、转户、销户手续</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由</w:t>
      </w:r>
      <w:bookmarkStart w:id="0" w:name="_GoBack"/>
      <w:bookmarkEnd w:id="0"/>
      <w:r>
        <w:rPr>
          <w:rFonts w:hint="eastAsia" w:ascii="宋体" w:hAnsi="宋体" w:eastAsia="方正仿宋_GBK" w:cs="方正仿宋_GBK"/>
          <w:sz w:val="32"/>
          <w:szCs w:val="32"/>
          <w:highlight w:val="none"/>
        </w:rPr>
        <w:t>被征收人自行到有关部门申请办理</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并负责结清已使用的水、电、燃气等费用。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二</w:t>
      </w:r>
      <w:r>
        <w:rPr>
          <w:rFonts w:hint="eastAsia" w:ascii="宋体" w:hAnsi="宋体" w:eastAsia="方正仿宋_GBK" w:cs="方正仿宋_GBK"/>
          <w:sz w:val="32"/>
          <w:szCs w:val="32"/>
          <w:highlight w:val="none"/>
          <w:lang w:eastAsia="zh-CN"/>
        </w:rPr>
        <w:t>）学生就学。</w:t>
      </w:r>
      <w:r>
        <w:rPr>
          <w:rFonts w:hint="eastAsia" w:ascii="宋体" w:hAnsi="宋体" w:eastAsia="方正仿宋_GBK" w:cs="方正仿宋_GBK"/>
          <w:sz w:val="32"/>
          <w:szCs w:val="32"/>
          <w:highlight w:val="none"/>
        </w:rPr>
        <w:t>征收房屋涉及的中学生、小学生</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需要异地就学的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可以在现居住地</w:t>
      </w:r>
      <w:r>
        <w:rPr>
          <w:rFonts w:hint="eastAsia" w:ascii="宋体" w:hAnsi="宋体" w:eastAsia="方正仿宋_GBK" w:cs="方正仿宋_GBK"/>
          <w:sz w:val="32"/>
          <w:szCs w:val="32"/>
          <w:highlight w:val="none"/>
          <w:lang w:eastAsia="zh-CN"/>
        </w:rPr>
        <w:t>中学</w:t>
      </w:r>
      <w:r>
        <w:rPr>
          <w:rFonts w:hint="eastAsia" w:ascii="宋体" w:hAnsi="宋体" w:eastAsia="方正仿宋_GBK" w:cs="方正仿宋_GBK"/>
          <w:sz w:val="32"/>
          <w:szCs w:val="32"/>
          <w:highlight w:val="none"/>
        </w:rPr>
        <w:t>就读</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需要过渡临时就学的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可以在临时居住地</w:t>
      </w:r>
      <w:r>
        <w:rPr>
          <w:rFonts w:hint="eastAsia" w:ascii="宋体" w:hAnsi="宋体" w:eastAsia="方正仿宋_GBK" w:cs="方正仿宋_GBK"/>
          <w:sz w:val="32"/>
          <w:szCs w:val="32"/>
          <w:highlight w:val="none"/>
          <w:lang w:eastAsia="zh-CN"/>
        </w:rPr>
        <w:t>中学</w:t>
      </w:r>
      <w:r>
        <w:rPr>
          <w:rFonts w:hint="eastAsia" w:ascii="宋体" w:hAnsi="宋体" w:eastAsia="方正仿宋_GBK" w:cs="方正仿宋_GBK"/>
          <w:sz w:val="32"/>
          <w:szCs w:val="32"/>
          <w:highlight w:val="none"/>
        </w:rPr>
        <w:t>就读</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需要回迁就学的</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可以在回迁居住地</w:t>
      </w:r>
      <w:r>
        <w:rPr>
          <w:rFonts w:hint="eastAsia" w:ascii="宋体" w:hAnsi="宋体" w:eastAsia="方正仿宋_GBK" w:cs="方正仿宋_GBK"/>
          <w:sz w:val="32"/>
          <w:szCs w:val="32"/>
          <w:highlight w:val="none"/>
          <w:lang w:eastAsia="zh-CN"/>
        </w:rPr>
        <w:t>中学</w:t>
      </w:r>
      <w:r>
        <w:rPr>
          <w:rFonts w:hint="eastAsia" w:ascii="宋体" w:hAnsi="宋体" w:eastAsia="方正仿宋_GBK" w:cs="方正仿宋_GBK"/>
          <w:sz w:val="32"/>
          <w:szCs w:val="32"/>
          <w:highlight w:val="none"/>
        </w:rPr>
        <w:t>就读。</w:t>
      </w:r>
      <w:r>
        <w:rPr>
          <w:rFonts w:hint="eastAsia" w:ascii="宋体" w:hAnsi="宋体" w:eastAsia="方正仿宋_GBK" w:cs="方正仿宋_GBK"/>
          <w:sz w:val="32"/>
          <w:szCs w:val="32"/>
          <w:highlight w:val="none"/>
          <w:lang w:val="en-US" w:eastAsia="zh-CN"/>
        </w:rPr>
        <w:t>学生居住地教育行政主管部门负</w:t>
      </w:r>
      <w:r>
        <w:rPr>
          <w:rFonts w:hint="eastAsia" w:ascii="宋体" w:hAnsi="宋体" w:eastAsia="方正仿宋_GBK" w:cs="方正仿宋_GBK"/>
          <w:sz w:val="32"/>
          <w:szCs w:val="32"/>
          <w:highlight w:val="none"/>
        </w:rPr>
        <w:t>责安排办理已在校学生的转学工作</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所在</w:t>
      </w:r>
      <w:r>
        <w:rPr>
          <w:rFonts w:hint="eastAsia" w:ascii="宋体" w:hAnsi="宋体" w:eastAsia="方正仿宋_GBK" w:cs="方正仿宋_GBK"/>
          <w:sz w:val="32"/>
          <w:szCs w:val="32"/>
          <w:highlight w:val="none"/>
          <w:lang w:eastAsia="zh-CN"/>
        </w:rPr>
        <w:t>中学</w:t>
      </w:r>
      <w:r>
        <w:rPr>
          <w:rFonts w:hint="eastAsia" w:ascii="宋体" w:hAnsi="宋体" w:eastAsia="方正仿宋_GBK" w:cs="方正仿宋_GBK"/>
          <w:sz w:val="32"/>
          <w:szCs w:val="32"/>
          <w:highlight w:val="none"/>
        </w:rPr>
        <w:t>不得收取择校费或者以非本学区学生为由拒绝学生入学和收取其他费用。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三</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被征收房屋的注销登记</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房屋征收实施单位应</w:t>
      </w:r>
      <w:r>
        <w:rPr>
          <w:rFonts w:hint="eastAsia" w:ascii="宋体" w:hAnsi="宋体" w:eastAsia="方正仿宋_GBK" w:cs="方正仿宋_GBK"/>
          <w:sz w:val="32"/>
          <w:szCs w:val="32"/>
          <w:highlight w:val="none"/>
        </w:rPr>
        <w:t>当在被征收房屋拆除后30日内</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持房屋征收决定、补偿协议、房屋所有权证书、国有</w:t>
      </w:r>
      <w:r>
        <w:rPr>
          <w:rFonts w:hint="eastAsia" w:ascii="宋体" w:hAnsi="宋体" w:eastAsia="方正仿宋_GBK" w:cs="方正仿宋_GBK"/>
          <w:sz w:val="32"/>
          <w:szCs w:val="32"/>
          <w:highlight w:val="none"/>
          <w:lang w:eastAsia="zh-CN"/>
        </w:rPr>
        <w:t>或集体建设用地</w:t>
      </w:r>
      <w:r>
        <w:rPr>
          <w:rFonts w:hint="eastAsia" w:ascii="宋体" w:hAnsi="宋体" w:eastAsia="方正仿宋_GBK" w:cs="方正仿宋_GBK"/>
          <w:sz w:val="32"/>
          <w:szCs w:val="32"/>
          <w:highlight w:val="none"/>
        </w:rPr>
        <w:t>土地使用权证书办理房屋所有权、土地使用权注销登记手续。</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四</w:t>
      </w:r>
      <w:r>
        <w:rPr>
          <w:rFonts w:hint="eastAsia" w:ascii="宋体" w:hAnsi="宋体" w:eastAsia="方正仿宋_GBK" w:cs="方正仿宋_GBK"/>
          <w:sz w:val="32"/>
          <w:szCs w:val="32"/>
          <w:highlight w:val="none"/>
          <w:lang w:eastAsia="zh-CN"/>
        </w:rPr>
        <w:t>）产权不明确房屋的处理。</w:t>
      </w:r>
      <w:r>
        <w:rPr>
          <w:rFonts w:hint="eastAsia" w:ascii="宋体" w:hAnsi="宋体" w:eastAsia="方正仿宋_GBK" w:cs="方正仿宋_GBK"/>
          <w:sz w:val="32"/>
          <w:szCs w:val="32"/>
          <w:highlight w:val="none"/>
        </w:rPr>
        <w:t>征收产权不明确的房屋</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由房屋征收实施单位提出补偿安置方案</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报</w:t>
      </w:r>
      <w:r>
        <w:rPr>
          <w:rFonts w:hint="eastAsia" w:ascii="宋体" w:hAnsi="宋体" w:eastAsia="方正仿宋_GBK" w:cs="方正仿宋_GBK"/>
          <w:sz w:val="32"/>
          <w:szCs w:val="32"/>
          <w:highlight w:val="none"/>
          <w:lang w:eastAsia="zh-CN"/>
        </w:rPr>
        <w:t>源城</w:t>
      </w:r>
      <w:r>
        <w:rPr>
          <w:rFonts w:hint="eastAsia" w:ascii="宋体" w:hAnsi="宋体" w:eastAsia="方正仿宋_GBK" w:cs="方正仿宋_GBK"/>
          <w:sz w:val="32"/>
          <w:szCs w:val="32"/>
          <w:highlight w:val="none"/>
        </w:rPr>
        <w:t>区人民政府同意</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并向公证机关办理证据保全后实施征收</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待产权明确后再补偿给产权所有人。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五</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本方案未列明事项按《国有土地上房屋征收与补偿条例》</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国务院令〔2011〕590号</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广东省土地管理条例</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及区人民政府相关文件执行。</w:t>
      </w:r>
    </w:p>
    <w:p>
      <w:pPr>
        <w:spacing w:beforeLines="0" w:afterLines="0" w:line="600" w:lineRule="exact"/>
        <w:rPr>
          <w:highlight w:val="none"/>
        </w:rPr>
      </w:pPr>
    </w:p>
    <w:sectPr>
      <w:pgSz w:w="11906" w:h="16838"/>
      <w:pgMar w:top="198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ZTQyZjE1NTJiMjU4NmMyNjZiNTM4ZDZhYzM1YjQifQ=="/>
  </w:docVars>
  <w:rsids>
    <w:rsidRoot w:val="52410A98"/>
    <w:rsid w:val="070506AD"/>
    <w:rsid w:val="0B8C7172"/>
    <w:rsid w:val="0DB85AC4"/>
    <w:rsid w:val="0EBB6626"/>
    <w:rsid w:val="0F930B35"/>
    <w:rsid w:val="1D594632"/>
    <w:rsid w:val="1E4F2151"/>
    <w:rsid w:val="1EBF62A8"/>
    <w:rsid w:val="262F651F"/>
    <w:rsid w:val="2638382A"/>
    <w:rsid w:val="28653B46"/>
    <w:rsid w:val="2BD664CD"/>
    <w:rsid w:val="33CE7C87"/>
    <w:rsid w:val="356C3F32"/>
    <w:rsid w:val="38283A12"/>
    <w:rsid w:val="3AAD6451"/>
    <w:rsid w:val="3ADD4157"/>
    <w:rsid w:val="403D6541"/>
    <w:rsid w:val="41383BC5"/>
    <w:rsid w:val="42E04E03"/>
    <w:rsid w:val="465C4EC7"/>
    <w:rsid w:val="47B52FB9"/>
    <w:rsid w:val="48125FD9"/>
    <w:rsid w:val="50991263"/>
    <w:rsid w:val="51C51AAA"/>
    <w:rsid w:val="52410A98"/>
    <w:rsid w:val="52851EC4"/>
    <w:rsid w:val="55A10E5C"/>
    <w:rsid w:val="5A9701ED"/>
    <w:rsid w:val="5D4C2E17"/>
    <w:rsid w:val="63807445"/>
    <w:rsid w:val="64F36EA7"/>
    <w:rsid w:val="654D0BF1"/>
    <w:rsid w:val="66AE0CB9"/>
    <w:rsid w:val="693E3CEF"/>
    <w:rsid w:val="69CE4F3F"/>
    <w:rsid w:val="6A09055C"/>
    <w:rsid w:val="6A3C22FD"/>
    <w:rsid w:val="6AD23CB8"/>
    <w:rsid w:val="72480FD8"/>
    <w:rsid w:val="77FC131E"/>
    <w:rsid w:val="7A2829FB"/>
    <w:rsid w:val="7DA63EE4"/>
    <w:rsid w:val="7FD46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6">
    <w:name w:val="heading 3"/>
    <w:basedOn w:val="1"/>
    <w:next w:val="1"/>
    <w:unhideWhenUsed/>
    <w:qFormat/>
    <w:uiPriority w:val="0"/>
    <w:pPr>
      <w:keepNext/>
      <w:keepLines/>
      <w:spacing w:line="413" w:lineRule="auto"/>
      <w:outlineLvl w:val="2"/>
    </w:pPr>
    <w:rPr>
      <w:rFonts w:ascii="Times New Roman" w:hAnsi="Times New Roman" w:eastAsia="方正楷体_GBK"/>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hint="eastAsia" w:eastAsia="宋体"/>
      <w:sz w:val="28"/>
      <w:szCs w:val="20"/>
    </w:rPr>
  </w:style>
  <w:style w:type="paragraph" w:styleId="3">
    <w:name w:val="toc 5"/>
    <w:basedOn w:val="4"/>
    <w:next w:val="1"/>
    <w:qFormat/>
    <w:uiPriority w:val="0"/>
  </w:style>
  <w:style w:type="paragraph" w:styleId="4">
    <w:name w:val="toc 4"/>
    <w:basedOn w:val="5"/>
    <w:next w:val="1"/>
    <w:qFormat/>
    <w:uiPriority w:val="0"/>
  </w:style>
  <w:style w:type="paragraph" w:styleId="5">
    <w:name w:val="toc 3"/>
    <w:basedOn w:val="1"/>
    <w:next w:val="1"/>
    <w:qFormat/>
    <w:uiPriority w:val="0"/>
  </w:style>
  <w:style w:type="paragraph" w:styleId="7">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customStyle="1" w:styleId="10">
    <w:name w:val="NormalCharacter"/>
    <w:qFormat/>
    <w:uiPriority w:val="0"/>
  </w:style>
  <w:style w:type="character" w:customStyle="1" w:styleId="11">
    <w:name w:val="16"/>
    <w:basedOn w:val="9"/>
    <w:qFormat/>
    <w:uiPriority w:val="0"/>
    <w:rPr>
      <w:rFonts w:hint="default" w:ascii="Times New Roman" w:hAnsi="Times New Roman" w:cs="Times New Roman"/>
    </w:rPr>
  </w:style>
  <w:style w:type="character" w:customStyle="1" w:styleId="12">
    <w:name w:val="15"/>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4948</Words>
  <Characters>5087</Characters>
  <Lines>0</Lines>
  <Paragraphs>0</Paragraphs>
  <TotalTime>86</TotalTime>
  <ScaleCrop>false</ScaleCrop>
  <LinksUpToDate>false</LinksUpToDate>
  <CharactersWithSpaces>5090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2022-08-01T03:40:00Z</dcterms:created>
  <dc:creator>紫枪</dc:creator>
  <cp:lastModifiedBy>紫枪</cp:lastModifiedBy>
  <dcterms:modified xsi:type="dcterms:W3CDTF">2023-07-19T07:16:02Z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AD1316B1F28E49FE87619656EF55343E_13</vt:lpwstr>
  </property>
</Properties>
</file>