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黑体" w:cs="黑体"/>
          <w:color w:val="000000"/>
          <w:sz w:val="28"/>
          <w:szCs w:val="28"/>
          <w:lang w:val="en-US" w:eastAsia="zh-CN"/>
        </w:rPr>
        <w:t>附件2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211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766"/>
        <w:gridCol w:w="936"/>
        <w:gridCol w:w="961"/>
        <w:gridCol w:w="766"/>
        <w:gridCol w:w="766"/>
        <w:gridCol w:w="1003"/>
        <w:gridCol w:w="961"/>
        <w:gridCol w:w="961"/>
        <w:gridCol w:w="876"/>
        <w:gridCol w:w="876"/>
        <w:gridCol w:w="876"/>
        <w:gridCol w:w="936"/>
        <w:gridCol w:w="936"/>
        <w:gridCol w:w="936"/>
        <w:gridCol w:w="936"/>
        <w:gridCol w:w="876"/>
        <w:gridCol w:w="8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601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源城区清淤工作进展情况统计表（周报）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6010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1.（3）（4）栏需清淤水塘包括农村水塘、房前屋后小微水体，由乡村振兴部门填写；（5）栏由农业农村部门填写；（6）栏水务部门填写；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2.（7）栏需清淤河道包括城乡内河涌、河道，城市黑臭水体清淤由住建部门填写；农村黑臭水体由生态环境部门填写，其他河道清淤由水务部门填写；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3.（9）-（16）栏统计省委十三届第85次常委会会议（2023年10月17日）召开以来累计情况；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4.（17）栏填写包括是否已开会动员、是否已制定本级工作方案，以及其他进展情况，事项内容较多在表格中填写不下时，可另附页文字说明。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需清淤水塘个数（个）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需清淤水塘面积（m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需清淤农田灌排沟渠长度（km）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需清淤河道长度（km）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预计清淤总量（m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已清淤总量（m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已清淤水塘个数（个）</w:t>
            </w:r>
          </w:p>
        </w:tc>
        <w:tc>
          <w:tcPr>
            <w:tcW w:w="1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已清淤农田灌排沟渠长度（km）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已清淤河道长度（km）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投入人员（人）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投入工日（天）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出动机械台班（次）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进展情况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农田灌排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中型灌区</w:t>
            </w:r>
          </w:p>
        </w:tc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（7）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（8）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（9）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（10）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农田灌排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中型灌区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（13）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（14）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（15）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（16）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（17）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（18）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（5）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（6）</w:t>
            </w: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（11）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（12）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1531" w:right="1531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NjAwZjBkNjk1MWUxMGQ4YzM0M2RiZjJiMzc3YTAifQ=="/>
  </w:docVars>
  <w:rsids>
    <w:rsidRoot w:val="00000000"/>
    <w:rsid w:val="5F88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2024-01-05T12:21:12Z</dcterms:created>
  <dc:creator>ahao</dc:creator>
  <cp:lastModifiedBy>啊豪</cp:lastModifiedBy>
  <dcterms:modified xsi:type="dcterms:W3CDTF">2024-01-05T12:21:40Z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2D1282EA68964CC4A5CAA02670F1FF12_12</vt:lpwstr>
  </property>
</Properties>
</file>