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20" w:lineRule="exact"/>
        <w:ind w:left="0" w:leftChars="0" w:right="0" w:firstLine="0" w:firstLineChars="0"/>
        <w:jc w:val="both"/>
        <w:textAlignment w:val="auto"/>
        <w:outlineLvl w:val="9"/>
        <w:rPr>
          <w:rFonts w:hint="eastAsia"/>
          <w:lang w:val="en-US" w:eastAsia="zh-CN"/>
        </w:rPr>
      </w:pPr>
      <w:bookmarkStart w:id="0" w:name="_GoBack"/>
      <w:bookmarkEnd w:id="0"/>
    </w:p>
    <w:tbl>
      <w:tblPr>
        <w:tblStyle w:val="21"/>
        <w:tblW w:w="14106" w:type="dxa"/>
        <w:tblInd w:w="-10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8"/>
        <w:gridCol w:w="635"/>
        <w:gridCol w:w="2266"/>
        <w:gridCol w:w="417"/>
        <w:gridCol w:w="988"/>
        <w:gridCol w:w="597"/>
        <w:gridCol w:w="810"/>
        <w:gridCol w:w="1000"/>
        <w:gridCol w:w="287"/>
        <w:gridCol w:w="796"/>
        <w:gridCol w:w="490"/>
        <w:gridCol w:w="1"/>
        <w:gridCol w:w="744"/>
        <w:gridCol w:w="544"/>
        <w:gridCol w:w="743"/>
        <w:gridCol w:w="544"/>
        <w:gridCol w:w="745"/>
        <w:gridCol w:w="542"/>
        <w:gridCol w:w="1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69" w:type="dxa"/>
            <w:gridSpan w:val="3"/>
            <w:tcBorders>
              <w:top w:val="nil"/>
              <w:left w:val="nil"/>
              <w:bottom w:val="nil"/>
              <w:right w:val="nil"/>
            </w:tcBorders>
            <w:vAlign w:val="bottom"/>
          </w:tcPr>
          <w:p>
            <w:pPr>
              <w:widowControl/>
              <w:jc w:val="left"/>
              <w:textAlignment w:val="bottom"/>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rPr>
              <w:t>附表1</w:t>
            </w:r>
          </w:p>
        </w:tc>
        <w:tc>
          <w:tcPr>
            <w:tcW w:w="2002" w:type="dxa"/>
            <w:gridSpan w:val="3"/>
            <w:tcBorders>
              <w:top w:val="nil"/>
              <w:left w:val="nil"/>
              <w:bottom w:val="nil"/>
              <w:right w:val="nil"/>
            </w:tcBorders>
            <w:vAlign w:val="bottom"/>
          </w:tcPr>
          <w:p>
            <w:pPr>
              <w:rPr>
                <w:rFonts w:hint="eastAsia" w:ascii="宋体" w:hAnsi="宋体" w:eastAsia="宋体" w:cs="宋体"/>
                <w:i w:val="0"/>
                <w:iCs w:val="0"/>
                <w:color w:val="000000"/>
                <w:sz w:val="24"/>
                <w:szCs w:val="24"/>
                <w:u w:val="none"/>
              </w:rPr>
            </w:pPr>
          </w:p>
        </w:tc>
        <w:tc>
          <w:tcPr>
            <w:tcW w:w="810" w:type="dxa"/>
            <w:tcBorders>
              <w:top w:val="nil"/>
              <w:left w:val="nil"/>
              <w:bottom w:val="nil"/>
              <w:right w:val="nil"/>
            </w:tcBorders>
            <w:vAlign w:val="bottom"/>
          </w:tcPr>
          <w:p>
            <w:pPr>
              <w:rPr>
                <w:rFonts w:hint="eastAsia" w:ascii="宋体" w:hAnsi="宋体" w:eastAsia="宋体" w:cs="宋体"/>
                <w:i w:val="0"/>
                <w:iCs w:val="0"/>
                <w:color w:val="000000"/>
                <w:sz w:val="24"/>
                <w:szCs w:val="24"/>
                <w:u w:val="none"/>
              </w:rPr>
            </w:pPr>
          </w:p>
        </w:tc>
        <w:tc>
          <w:tcPr>
            <w:tcW w:w="1000" w:type="dxa"/>
            <w:tcBorders>
              <w:top w:val="nil"/>
              <w:left w:val="nil"/>
              <w:bottom w:val="nil"/>
              <w:right w:val="nil"/>
            </w:tcBorders>
            <w:vAlign w:val="bottom"/>
          </w:tcPr>
          <w:p>
            <w:pPr>
              <w:rPr>
                <w:rFonts w:hint="eastAsia" w:ascii="宋体" w:hAnsi="宋体" w:eastAsia="宋体" w:cs="宋体"/>
                <w:i w:val="0"/>
                <w:iCs w:val="0"/>
                <w:color w:val="000000"/>
                <w:sz w:val="24"/>
                <w:szCs w:val="24"/>
                <w:u w:val="none"/>
              </w:rPr>
            </w:pPr>
          </w:p>
        </w:tc>
        <w:tc>
          <w:tcPr>
            <w:tcW w:w="1083" w:type="dxa"/>
            <w:gridSpan w:val="2"/>
            <w:tcBorders>
              <w:top w:val="nil"/>
              <w:left w:val="nil"/>
              <w:bottom w:val="nil"/>
              <w:right w:val="nil"/>
            </w:tcBorders>
            <w:vAlign w:val="bottom"/>
          </w:tcPr>
          <w:p>
            <w:pPr>
              <w:rPr>
                <w:rFonts w:hint="eastAsia" w:ascii="宋体" w:hAnsi="宋体" w:eastAsia="宋体" w:cs="宋体"/>
                <w:i w:val="0"/>
                <w:iCs w:val="0"/>
                <w:color w:val="000000"/>
                <w:sz w:val="24"/>
                <w:szCs w:val="24"/>
                <w:u w:val="none"/>
              </w:rPr>
            </w:pPr>
          </w:p>
        </w:tc>
        <w:tc>
          <w:tcPr>
            <w:tcW w:w="1235" w:type="dxa"/>
            <w:gridSpan w:val="3"/>
            <w:tcBorders>
              <w:top w:val="nil"/>
              <w:left w:val="nil"/>
              <w:bottom w:val="nil"/>
              <w:right w:val="nil"/>
            </w:tcBorders>
            <w:vAlign w:val="bottom"/>
          </w:tcPr>
          <w:p>
            <w:pPr>
              <w:rPr>
                <w:rFonts w:hint="eastAsia" w:ascii="宋体" w:hAnsi="宋体" w:eastAsia="宋体" w:cs="宋体"/>
                <w:i w:val="0"/>
                <w:iCs w:val="0"/>
                <w:color w:val="000000"/>
                <w:sz w:val="24"/>
                <w:szCs w:val="24"/>
                <w:u w:val="none"/>
              </w:rPr>
            </w:pPr>
          </w:p>
        </w:tc>
        <w:tc>
          <w:tcPr>
            <w:tcW w:w="1287" w:type="dxa"/>
            <w:gridSpan w:val="2"/>
            <w:tcBorders>
              <w:top w:val="nil"/>
              <w:left w:val="nil"/>
              <w:bottom w:val="nil"/>
              <w:right w:val="nil"/>
            </w:tcBorders>
            <w:vAlign w:val="bottom"/>
          </w:tcPr>
          <w:p>
            <w:pPr>
              <w:rPr>
                <w:rFonts w:hint="eastAsia" w:ascii="宋体" w:hAnsi="宋体" w:eastAsia="宋体" w:cs="宋体"/>
                <w:i w:val="0"/>
                <w:iCs w:val="0"/>
                <w:color w:val="000000"/>
                <w:sz w:val="24"/>
                <w:szCs w:val="24"/>
                <w:u w:val="none"/>
              </w:rPr>
            </w:pPr>
          </w:p>
        </w:tc>
        <w:tc>
          <w:tcPr>
            <w:tcW w:w="1289" w:type="dxa"/>
            <w:gridSpan w:val="2"/>
            <w:tcBorders>
              <w:top w:val="nil"/>
              <w:left w:val="nil"/>
              <w:bottom w:val="nil"/>
              <w:right w:val="nil"/>
            </w:tcBorders>
            <w:vAlign w:val="bottom"/>
          </w:tcPr>
          <w:p>
            <w:pPr>
              <w:rPr>
                <w:rFonts w:hint="eastAsia" w:ascii="宋体" w:hAnsi="宋体" w:eastAsia="宋体" w:cs="宋体"/>
                <w:i w:val="0"/>
                <w:iCs w:val="0"/>
                <w:color w:val="000000"/>
                <w:sz w:val="24"/>
                <w:szCs w:val="24"/>
                <w:u w:val="none"/>
              </w:rPr>
            </w:pPr>
          </w:p>
        </w:tc>
        <w:tc>
          <w:tcPr>
            <w:tcW w:w="1831" w:type="dxa"/>
            <w:gridSpan w:val="2"/>
            <w:tcBorders>
              <w:top w:val="nil"/>
              <w:left w:val="nil"/>
              <w:bottom w:val="nil"/>
              <w:right w:val="nil"/>
            </w:tcBorders>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4106" w:type="dxa"/>
            <w:gridSpan w:val="19"/>
            <w:tcBorders>
              <w:top w:val="nil"/>
              <w:left w:val="nil"/>
              <w:bottom w:val="nil"/>
              <w:right w:val="nil"/>
            </w:tcBorders>
            <w:vAlign w:val="center"/>
          </w:tcPr>
          <w:p>
            <w:pPr>
              <w:widowControl/>
              <w:jc w:val="center"/>
              <w:textAlignment w:val="center"/>
              <w:rPr>
                <w:rFonts w:ascii="宋体" w:hAnsi="宋体" w:eastAsia="方正小标宋简体" w:cs="方正小标宋简体"/>
                <w:i w:val="0"/>
                <w:iCs w:val="0"/>
                <w:color w:val="000000"/>
                <w:sz w:val="44"/>
                <w:szCs w:val="44"/>
                <w:u w:val="none"/>
              </w:rPr>
            </w:pPr>
            <w:r>
              <w:rPr>
                <w:rFonts w:hint="eastAsia" w:ascii="宋体" w:hAnsi="宋体" w:eastAsia="方正小标宋简体" w:cs="方正小标宋简体"/>
                <w:i w:val="0"/>
                <w:iCs w:val="0"/>
                <w:color w:val="000000"/>
                <w:kern w:val="0"/>
                <w:sz w:val="44"/>
                <w:szCs w:val="44"/>
                <w:u w:val="none"/>
                <w:lang w:val="en-US" w:eastAsia="zh-CN"/>
              </w:rPr>
              <w:t>河源市源城区2024年国民经济和社会发展计划主要指标表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类别</w:t>
            </w:r>
          </w:p>
        </w:tc>
        <w:tc>
          <w:tcPr>
            <w:tcW w:w="6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序号</w:t>
            </w:r>
          </w:p>
        </w:tc>
        <w:tc>
          <w:tcPr>
            <w:tcW w:w="268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b/>
                <w:bCs/>
                <w:i w:val="0"/>
                <w:iCs w:val="0"/>
                <w:color w:val="000000"/>
                <w:sz w:val="24"/>
                <w:szCs w:val="24"/>
                <w:u w:val="none"/>
              </w:rPr>
            </w:pPr>
            <w:r>
              <w:rPr>
                <w:rFonts w:hint="default" w:ascii="宋体" w:hAnsi="宋体" w:eastAsia="宋体" w:cs="Times New Roman"/>
                <w:b/>
                <w:bCs/>
                <w:i w:val="0"/>
                <w:iCs w:val="0"/>
                <w:color w:val="000000"/>
                <w:kern w:val="0"/>
                <w:sz w:val="24"/>
                <w:szCs w:val="24"/>
                <w:u w:val="none"/>
                <w:lang w:val="en-US" w:eastAsia="zh-CN"/>
              </w:rPr>
              <w:t>指标名称</w:t>
            </w:r>
          </w:p>
        </w:tc>
        <w:tc>
          <w:tcPr>
            <w:tcW w:w="239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b/>
                <w:bCs/>
                <w:i w:val="0"/>
                <w:iCs w:val="0"/>
                <w:color w:val="000000"/>
                <w:sz w:val="24"/>
                <w:szCs w:val="24"/>
                <w:u w:val="none"/>
              </w:rPr>
            </w:pPr>
            <w:r>
              <w:rPr>
                <w:rFonts w:hint="default" w:ascii="宋体" w:hAnsi="宋体" w:eastAsia="宋体" w:cs="Times New Roman"/>
                <w:b/>
                <w:bCs/>
                <w:i w:val="0"/>
                <w:iCs w:val="0"/>
                <w:color w:val="000000"/>
                <w:kern w:val="0"/>
                <w:sz w:val="24"/>
                <w:szCs w:val="24"/>
                <w:u w:val="none"/>
                <w:lang w:val="en-US" w:eastAsia="zh-CN"/>
              </w:rPr>
              <w:t>绝对值计算单位</w:t>
            </w:r>
          </w:p>
        </w:tc>
        <w:tc>
          <w:tcPr>
            <w:tcW w:w="2574"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b/>
                <w:bCs/>
                <w:i w:val="0"/>
                <w:iCs w:val="0"/>
                <w:color w:val="000000"/>
                <w:sz w:val="24"/>
                <w:szCs w:val="24"/>
                <w:u w:val="none"/>
              </w:rPr>
            </w:pPr>
            <w:r>
              <w:rPr>
                <w:rStyle w:val="34"/>
                <w:rFonts w:ascii="宋体" w:hAnsi="宋体" w:eastAsia="宋体"/>
                <w:lang w:val="en-US" w:eastAsia="zh-CN"/>
              </w:rPr>
              <w:t>2022</w:t>
            </w:r>
            <w:r>
              <w:rPr>
                <w:rStyle w:val="35"/>
                <w:rFonts w:ascii="宋体" w:hAnsi="宋体"/>
                <w:lang w:val="en-US" w:eastAsia="zh-CN"/>
              </w:rPr>
              <w:t>年实绩</w:t>
            </w:r>
          </w:p>
        </w:tc>
        <w:tc>
          <w:tcPr>
            <w:tcW w:w="257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b/>
                <w:bCs/>
                <w:i w:val="0"/>
                <w:iCs w:val="0"/>
                <w:color w:val="000000"/>
                <w:sz w:val="24"/>
                <w:szCs w:val="24"/>
                <w:u w:val="none"/>
              </w:rPr>
            </w:pPr>
            <w:r>
              <w:rPr>
                <w:rFonts w:hint="default" w:ascii="宋体" w:hAnsi="宋体" w:eastAsia="宋体" w:cs="Times New Roman"/>
                <w:b/>
                <w:bCs/>
                <w:i w:val="0"/>
                <w:iCs w:val="0"/>
                <w:color w:val="000000"/>
                <w:kern w:val="0"/>
                <w:sz w:val="24"/>
                <w:szCs w:val="24"/>
                <w:u w:val="none"/>
                <w:lang w:val="en-US" w:eastAsia="zh-CN"/>
              </w:rPr>
              <w:t>2023</w:t>
            </w:r>
            <w:r>
              <w:rPr>
                <w:rStyle w:val="35"/>
                <w:rFonts w:ascii="宋体" w:hAnsi="宋体"/>
                <w:lang w:val="en-US" w:eastAsia="zh-CN"/>
              </w:rPr>
              <w:t>年完成数</w:t>
            </w:r>
          </w:p>
        </w:tc>
        <w:tc>
          <w:tcPr>
            <w:tcW w:w="25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b/>
                <w:bCs/>
                <w:i w:val="0"/>
                <w:iCs w:val="0"/>
                <w:color w:val="000000"/>
                <w:sz w:val="24"/>
                <w:szCs w:val="24"/>
                <w:u w:val="none"/>
              </w:rPr>
            </w:pPr>
            <w:r>
              <w:rPr>
                <w:rStyle w:val="34"/>
                <w:rFonts w:ascii="宋体" w:hAnsi="宋体" w:eastAsia="宋体"/>
                <w:lang w:val="en-US" w:eastAsia="zh-CN"/>
              </w:rPr>
              <w:t>2024</w:t>
            </w:r>
            <w:r>
              <w:rPr>
                <w:rStyle w:val="35"/>
                <w:rFonts w:ascii="宋体" w:hAnsi="宋体"/>
                <w:lang w:val="en-US" w:eastAsia="zh-CN"/>
              </w:rPr>
              <w:t>年计划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4"/>
                <w:szCs w:val="24"/>
                <w:u w:val="none"/>
              </w:rPr>
            </w:pPr>
          </w:p>
        </w:tc>
        <w:tc>
          <w:tcPr>
            <w:tcW w:w="6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4"/>
                <w:szCs w:val="24"/>
                <w:u w:val="none"/>
              </w:rPr>
            </w:pPr>
          </w:p>
        </w:tc>
        <w:tc>
          <w:tcPr>
            <w:tcW w:w="268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4"/>
                <w:szCs w:val="24"/>
                <w:u w:val="none"/>
              </w:rPr>
            </w:pPr>
          </w:p>
        </w:tc>
        <w:tc>
          <w:tcPr>
            <w:tcW w:w="239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4"/>
                <w:szCs w:val="24"/>
                <w:u w:val="none"/>
              </w:rPr>
            </w:pP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绝对数</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Style w:val="36"/>
                <w:rFonts w:ascii="宋体" w:hAnsi="宋体"/>
                <w:lang w:val="en-US" w:eastAsia="zh-CN"/>
              </w:rPr>
              <w:t>增长（%）</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绝对数</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Style w:val="36"/>
                <w:rFonts w:ascii="宋体" w:hAnsi="宋体"/>
                <w:lang w:val="en-US" w:eastAsia="zh-CN"/>
              </w:rPr>
              <w:t>增长（%）</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绝对数</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Style w:val="36"/>
                <w:rFonts w:ascii="宋体" w:hAnsi="宋体"/>
                <w:lang w:val="en-US" w:eastAsia="zh-CN"/>
              </w:rPr>
              <w:t>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b/>
                <w:bCs/>
                <w:i w:val="0"/>
                <w:iCs w:val="0"/>
                <w:color w:val="000000"/>
                <w:sz w:val="26"/>
                <w:szCs w:val="26"/>
                <w:u w:val="none"/>
              </w:rPr>
            </w:pPr>
            <w:r>
              <w:rPr>
                <w:rFonts w:hint="default" w:ascii="宋体" w:hAnsi="宋体" w:eastAsia="宋体" w:cs="Times New Roman"/>
                <w:b/>
                <w:bCs/>
                <w:i w:val="0"/>
                <w:iCs w:val="0"/>
                <w:color w:val="000000"/>
                <w:kern w:val="0"/>
                <w:sz w:val="26"/>
                <w:szCs w:val="26"/>
                <w:u w:val="none"/>
                <w:lang w:val="en-US" w:eastAsia="zh-CN"/>
              </w:rPr>
              <w:t>综合质效</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1</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地区生产总值</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亿元</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307.24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 </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311.52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2.1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2</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农林牧渔业总产值</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亿元</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6.38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4.4 </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5.75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-8.8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3</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规模以上工业增加值</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亿元</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73.93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10.1 </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71.67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-2.8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4</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建筑业总产值</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亿元</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50.32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-5.4 </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49.92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5.5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5</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人均地区生产总值</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元</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75062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0.8 </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76789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2.2 </w:t>
            </w:r>
          </w:p>
        </w:tc>
        <w:tc>
          <w:tcPr>
            <w:tcW w:w="25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与经济发展水平相适应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6</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固定资产投资</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亿元</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98.96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-47.2 </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112.73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13.9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119.49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7</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其中：重点项目投资</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亿元</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57.58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58.2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42.0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8</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社会消费品零售总额</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亿元</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130.49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-4 </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127.75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-2.4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9</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进出口总额</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亿元</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70.3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-8.3 </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66.2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-5.8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正增长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10</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一般公共预算收入</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亿元</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10.71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-6.6 </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8.26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-22.9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8.5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11</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居民消费价格指数</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101.8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99.8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103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12</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接待旅游者人数</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万人次</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202.16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-20.1 </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242.6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20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274.1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13</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旅游总收入</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亿元</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16.55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-24.6 </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19.9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20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21.7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14</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先进制造业增加值占规上制造业增加值比重</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61.6 </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257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待市反馈</w:t>
            </w:r>
          </w:p>
        </w:tc>
        <w:tc>
          <w:tcPr>
            <w:tcW w:w="25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略有提高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15</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常住人口城镇化率</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95.81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97.17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25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略有增长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rPr>
              <w:t>创新发展</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16</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研发经费投入增长</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50.8 </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257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待市反馈</w:t>
            </w:r>
          </w:p>
        </w:tc>
        <w:tc>
          <w:tcPr>
            <w:tcW w:w="25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略有增长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17</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每万人发明专利拥有量</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件</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2.7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3.2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3.29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18</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5G用户普及率</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户/百人</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47.3</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62.7</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78.4</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19</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千兆宽带用户普及率</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户/百人</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18.6</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22</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25.4</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20</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高新技术企业数</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家</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68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8 </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68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持平</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69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21</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高技术制造业增加值占规上制造业增加值比重</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63.9 </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257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待市反馈</w:t>
            </w:r>
          </w:p>
        </w:tc>
        <w:tc>
          <w:tcPr>
            <w:tcW w:w="25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略有提高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6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rPr>
              <w:t>共享发展</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22</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高中阶段教育毛入学率</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98.36</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98.43</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25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持平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6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23</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每千人口拥有3岁以下婴幼儿托位数</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位</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4.65</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4.3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4.5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24</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城乡居民人均可支配收入</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元</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35950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2.4 </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38184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5.0 </w:t>
            </w:r>
          </w:p>
        </w:tc>
        <w:tc>
          <w:tcPr>
            <w:tcW w:w="25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与经济增长基本同步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25</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农村居民人均可支配收入</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元</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27832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5.2 </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30016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7.8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32464</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26</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城镇新增就业人数</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人</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3658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3698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3775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27</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参加城镇职工基本养老保险人数</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万人</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8.50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8.72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8.75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28</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参加城乡居民基本养老保险人数</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万人</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6.97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6.98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6.87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29</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参加基本医疗保险人数</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万人</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29.1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26.6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27.5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30</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城乡居民最低生活保障人数</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万人</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0.32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0.3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0.3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31</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每千人口执业（助理）医师数</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人</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1.98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2.1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2.3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6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b/>
                <w:bCs/>
                <w:i w:val="0"/>
                <w:iCs w:val="0"/>
                <w:color w:val="000000"/>
                <w:sz w:val="26"/>
                <w:szCs w:val="26"/>
                <w:u w:val="none"/>
              </w:rPr>
            </w:pPr>
            <w:r>
              <w:rPr>
                <w:rFonts w:hint="default" w:ascii="宋体" w:hAnsi="宋体" w:eastAsia="宋体" w:cs="Times New Roman"/>
                <w:b/>
                <w:bCs/>
                <w:i w:val="0"/>
                <w:iCs w:val="0"/>
                <w:color w:val="000000"/>
                <w:kern w:val="0"/>
                <w:sz w:val="26"/>
                <w:szCs w:val="26"/>
                <w:u w:val="none"/>
                <w:lang w:val="en-US" w:eastAsia="zh-CN"/>
              </w:rPr>
              <w:t>绿色发展</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32</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单位地区生产总值能耗降低</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约束性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0.7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1.5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25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完成市下达任务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33</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单位地区生产总值二氧化碳排放量降低</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约束性</w:t>
            </w:r>
          </w:p>
        </w:tc>
        <w:tc>
          <w:tcPr>
            <w:tcW w:w="2574"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以省、市核定为准</w:t>
            </w:r>
          </w:p>
        </w:tc>
        <w:tc>
          <w:tcPr>
            <w:tcW w:w="257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以省、市核定为准</w:t>
            </w:r>
          </w:p>
        </w:tc>
        <w:tc>
          <w:tcPr>
            <w:tcW w:w="25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99.20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34</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非化石能源占一次能源消费比重</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约束性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18.93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18.95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18.97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35</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万元地区生产总值用水量下降</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约束性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27.9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27.6</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26.8</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36</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森林覆盖率</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约束性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47.2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51.68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51.68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37</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城市空气质量优良天数比率</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约束性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96.7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99.2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25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完成市下达任务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38</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城市细颗粒物（PM2.5）浓度</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微克/每立方米</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约束性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17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20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25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完成市下达任务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39</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地表水水质优良率</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约束性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100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100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100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40</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城市污水处理率</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96.7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97.2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97.5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b/>
                <w:bCs/>
                <w:i w:val="0"/>
                <w:iCs w:val="0"/>
                <w:color w:val="000000"/>
                <w:sz w:val="26"/>
                <w:szCs w:val="26"/>
                <w:u w:val="none"/>
              </w:rPr>
            </w:pPr>
            <w:r>
              <w:rPr>
                <w:rFonts w:hint="default" w:ascii="宋体" w:hAnsi="宋体" w:eastAsia="宋体" w:cs="Times New Roman"/>
                <w:b/>
                <w:bCs/>
                <w:i w:val="0"/>
                <w:iCs w:val="0"/>
                <w:color w:val="000000"/>
                <w:kern w:val="0"/>
                <w:sz w:val="26"/>
                <w:szCs w:val="26"/>
                <w:u w:val="none"/>
                <w:lang w:val="en-US" w:eastAsia="zh-CN"/>
              </w:rPr>
              <w:t>安全保障</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41</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粮食综合生产能力</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万吨</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1.137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1.14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1.14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
                <w:bCs/>
                <w:i w:val="0"/>
                <w:iCs w:val="0"/>
                <w:color w:val="000000"/>
                <w:sz w:val="26"/>
                <w:szCs w:val="26"/>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42</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能源综合生产能力</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万吨标准煤</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预期性</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7.8 </w:t>
            </w:r>
          </w:p>
        </w:tc>
        <w:tc>
          <w:tcPr>
            <w:tcW w:w="12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6.8 </w:t>
            </w:r>
          </w:p>
        </w:tc>
        <w:tc>
          <w:tcPr>
            <w:tcW w:w="12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8.9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14.1 </w:t>
            </w:r>
          </w:p>
        </w:tc>
        <w:tc>
          <w:tcPr>
            <w:tcW w:w="12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9.5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Times New Roman"/>
                <w:i w:val="0"/>
                <w:iCs w:val="0"/>
                <w:color w:val="000000"/>
                <w:sz w:val="24"/>
                <w:szCs w:val="24"/>
                <w:u w:val="none"/>
              </w:rPr>
            </w:pPr>
            <w:r>
              <w:rPr>
                <w:rFonts w:hint="default" w:ascii="宋体" w:hAnsi="宋体" w:eastAsia="宋体" w:cs="Times New Roman"/>
                <w:i w:val="0"/>
                <w:iCs w:val="0"/>
                <w:color w:val="000000"/>
                <w:kern w:val="0"/>
                <w:sz w:val="24"/>
                <w:szCs w:val="24"/>
                <w:u w:val="none"/>
                <w:lang w:val="en-US" w:eastAsia="zh-CN"/>
              </w:rPr>
              <w:t xml:space="preserve">6.7 </w:t>
            </w:r>
          </w:p>
        </w:tc>
      </w:tr>
    </w:tbl>
    <w:p>
      <w:pPr>
        <w:pStyle w:val="10"/>
        <w:widowControl w:val="0"/>
        <w:wordWrap/>
        <w:overflowPunct w:val="0"/>
        <w:spacing w:line="600" w:lineRule="exact"/>
        <w:ind w:left="0" w:leftChars="0" w:firstLine="0" w:firstLineChars="0"/>
        <w:rPr>
          <w:rFonts w:ascii="宋体" w:hAnsi="宋体" w:eastAsia="方正仿宋_GBK" w:cs="Times New Roman"/>
          <w:spacing w:val="-6"/>
          <w:sz w:val="32"/>
          <w:szCs w:val="32"/>
        </w:rPr>
        <w:sectPr>
          <w:footerReference r:id="rId3" w:type="default"/>
          <w:pgSz w:w="16838" w:h="11906" w:orient="landscape"/>
          <w:pgMar w:top="1474" w:right="1474" w:bottom="1474" w:left="1474" w:header="851" w:footer="992" w:gutter="0"/>
          <w:paperSrc/>
          <w:cols w:space="720" w:num="1"/>
          <w:rtlGutter w:val="0"/>
          <w:docGrid w:type="lines" w:linePitch="319" w:charSpace="0"/>
        </w:sectPr>
      </w:pPr>
    </w:p>
    <w:tbl>
      <w:tblPr>
        <w:tblStyle w:val="21"/>
        <w:tblW w:w="147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4"/>
        <w:gridCol w:w="1202"/>
        <w:gridCol w:w="480"/>
        <w:gridCol w:w="2214"/>
        <w:gridCol w:w="1239"/>
        <w:gridCol w:w="1006"/>
        <w:gridCol w:w="1102"/>
        <w:gridCol w:w="950"/>
        <w:gridCol w:w="2114"/>
        <w:gridCol w:w="968"/>
        <w:gridCol w:w="858"/>
        <w:gridCol w:w="562"/>
        <w:gridCol w:w="526"/>
        <w:gridCol w:w="560"/>
        <w:gridCol w:w="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686" w:type="dxa"/>
            <w:gridSpan w:val="2"/>
            <w:tcBorders>
              <w:top w:val="nil"/>
              <w:left w:val="nil"/>
              <w:bottom w:val="nil"/>
              <w:right w:val="nil"/>
            </w:tcBorders>
            <w:vAlign w:val="center"/>
          </w:tcPr>
          <w:p>
            <w:pPr>
              <w:widowControl/>
              <w:wordWrap/>
              <w:adjustRightInd/>
              <w:snapToGrid/>
              <w:spacing w:line="500" w:lineRule="exact"/>
              <w:ind w:left="0" w:leftChars="0" w:right="0" w:firstLine="0" w:firstLineChars="0"/>
              <w:jc w:val="left"/>
              <w:textAlignment w:val="center"/>
              <w:outlineLvl w:val="9"/>
              <w:rPr>
                <w:rFonts w:hint="eastAsia" w:ascii="宋体" w:hAnsi="宋体" w:eastAsia="宋体" w:cs="宋体"/>
                <w:i w:val="0"/>
                <w:iCs w:val="0"/>
                <w:color w:val="000000"/>
                <w:sz w:val="24"/>
                <w:szCs w:val="24"/>
                <w:u w:val="none"/>
              </w:rPr>
            </w:pPr>
            <w:r>
              <w:rPr>
                <w:rFonts w:hint="eastAsia" w:ascii="黑体" w:hAnsi="黑体" w:eastAsia="黑体" w:cs="黑体"/>
                <w:i w:val="0"/>
                <w:iCs w:val="0"/>
                <w:color w:val="000000"/>
                <w:kern w:val="0"/>
                <w:sz w:val="28"/>
                <w:szCs w:val="28"/>
                <w:u w:val="none"/>
                <w:lang w:val="en-US" w:eastAsia="zh-CN"/>
              </w:rPr>
              <w:t>附表2</w:t>
            </w:r>
          </w:p>
        </w:tc>
        <w:tc>
          <w:tcPr>
            <w:tcW w:w="2694" w:type="dxa"/>
            <w:gridSpan w:val="2"/>
            <w:tcBorders>
              <w:top w:val="nil"/>
              <w:left w:val="nil"/>
              <w:bottom w:val="nil"/>
              <w:right w:val="nil"/>
            </w:tcBorders>
            <w:vAlign w:val="center"/>
          </w:tcPr>
          <w:p>
            <w:pPr>
              <w:wordWrap/>
              <w:adjustRightInd/>
              <w:snapToGrid/>
              <w:spacing w:line="500" w:lineRule="exact"/>
              <w:ind w:left="0" w:leftChars="0" w:right="0" w:firstLine="0" w:firstLineChars="0"/>
              <w:jc w:val="left"/>
              <w:outlineLvl w:val="9"/>
              <w:rPr>
                <w:rFonts w:hint="eastAsia" w:ascii="宋体" w:hAnsi="宋体" w:eastAsia="宋体" w:cs="宋体"/>
                <w:i w:val="0"/>
                <w:iCs w:val="0"/>
                <w:color w:val="000000"/>
                <w:sz w:val="18"/>
                <w:szCs w:val="18"/>
                <w:u w:val="none"/>
              </w:rPr>
            </w:pPr>
          </w:p>
        </w:tc>
        <w:tc>
          <w:tcPr>
            <w:tcW w:w="1239" w:type="dxa"/>
            <w:tcBorders>
              <w:top w:val="nil"/>
              <w:left w:val="nil"/>
              <w:bottom w:val="nil"/>
              <w:right w:val="nil"/>
            </w:tcBorders>
            <w:vAlign w:val="center"/>
          </w:tcPr>
          <w:p>
            <w:pPr>
              <w:wordWrap/>
              <w:adjustRightInd/>
              <w:snapToGrid/>
              <w:spacing w:line="500" w:lineRule="exact"/>
              <w:ind w:left="0" w:leftChars="0" w:right="0" w:firstLine="0" w:firstLineChars="0"/>
              <w:jc w:val="center"/>
              <w:outlineLvl w:val="9"/>
              <w:rPr>
                <w:rFonts w:hint="eastAsia" w:ascii="宋体" w:hAnsi="宋体" w:eastAsia="宋体" w:cs="宋体"/>
                <w:i w:val="0"/>
                <w:iCs w:val="0"/>
                <w:color w:val="000000"/>
                <w:sz w:val="18"/>
                <w:szCs w:val="18"/>
                <w:u w:val="none"/>
              </w:rPr>
            </w:pPr>
          </w:p>
        </w:tc>
        <w:tc>
          <w:tcPr>
            <w:tcW w:w="1006" w:type="dxa"/>
            <w:tcBorders>
              <w:top w:val="nil"/>
              <w:left w:val="nil"/>
              <w:bottom w:val="nil"/>
              <w:right w:val="nil"/>
            </w:tcBorders>
            <w:vAlign w:val="center"/>
          </w:tcPr>
          <w:p>
            <w:pPr>
              <w:wordWrap/>
              <w:adjustRightInd/>
              <w:snapToGrid/>
              <w:spacing w:line="500" w:lineRule="exact"/>
              <w:ind w:left="0" w:leftChars="0" w:right="0" w:firstLine="0" w:firstLineChars="0"/>
              <w:jc w:val="center"/>
              <w:outlineLvl w:val="9"/>
              <w:rPr>
                <w:rFonts w:hint="eastAsia" w:ascii="宋体" w:hAnsi="宋体" w:eastAsia="宋体" w:cs="宋体"/>
                <w:i w:val="0"/>
                <w:iCs w:val="0"/>
                <w:color w:val="000000"/>
                <w:sz w:val="18"/>
                <w:szCs w:val="18"/>
                <w:u w:val="none"/>
              </w:rPr>
            </w:pPr>
          </w:p>
        </w:tc>
        <w:tc>
          <w:tcPr>
            <w:tcW w:w="1102" w:type="dxa"/>
            <w:tcBorders>
              <w:top w:val="nil"/>
              <w:left w:val="nil"/>
              <w:bottom w:val="nil"/>
              <w:right w:val="nil"/>
            </w:tcBorders>
            <w:vAlign w:val="center"/>
          </w:tcPr>
          <w:p>
            <w:pPr>
              <w:wordWrap/>
              <w:adjustRightInd/>
              <w:snapToGrid/>
              <w:spacing w:line="500" w:lineRule="exact"/>
              <w:ind w:left="0" w:leftChars="0" w:right="0" w:firstLine="0" w:firstLineChars="0"/>
              <w:jc w:val="center"/>
              <w:outlineLvl w:val="9"/>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vAlign w:val="center"/>
          </w:tcPr>
          <w:p>
            <w:pPr>
              <w:wordWrap/>
              <w:adjustRightInd/>
              <w:snapToGrid/>
              <w:spacing w:line="500" w:lineRule="exact"/>
              <w:ind w:left="0" w:leftChars="0" w:right="0" w:firstLine="0" w:firstLineChars="0"/>
              <w:jc w:val="center"/>
              <w:outlineLvl w:val="9"/>
              <w:rPr>
                <w:rFonts w:hint="eastAsia" w:ascii="宋体" w:hAnsi="宋体" w:eastAsia="宋体" w:cs="宋体"/>
                <w:i w:val="0"/>
                <w:iCs w:val="0"/>
                <w:color w:val="000000"/>
                <w:sz w:val="18"/>
                <w:szCs w:val="18"/>
                <w:u w:val="none"/>
              </w:rPr>
            </w:pPr>
          </w:p>
        </w:tc>
        <w:tc>
          <w:tcPr>
            <w:tcW w:w="2114" w:type="dxa"/>
            <w:tcBorders>
              <w:top w:val="nil"/>
              <w:left w:val="nil"/>
              <w:bottom w:val="nil"/>
              <w:right w:val="nil"/>
            </w:tcBorders>
            <w:vAlign w:val="center"/>
          </w:tcPr>
          <w:p>
            <w:pPr>
              <w:wordWrap/>
              <w:adjustRightInd/>
              <w:snapToGrid/>
              <w:spacing w:line="500" w:lineRule="exact"/>
              <w:ind w:left="0" w:leftChars="0" w:right="0" w:firstLine="0" w:firstLineChars="0"/>
              <w:jc w:val="left"/>
              <w:outlineLvl w:val="9"/>
              <w:rPr>
                <w:rFonts w:hint="eastAsia" w:ascii="宋体" w:hAnsi="宋体" w:eastAsia="宋体" w:cs="宋体"/>
                <w:i w:val="0"/>
                <w:iCs w:val="0"/>
                <w:color w:val="000000"/>
                <w:sz w:val="18"/>
                <w:szCs w:val="18"/>
                <w:u w:val="none"/>
              </w:rPr>
            </w:pPr>
          </w:p>
        </w:tc>
        <w:tc>
          <w:tcPr>
            <w:tcW w:w="968" w:type="dxa"/>
            <w:tcBorders>
              <w:top w:val="nil"/>
              <w:left w:val="nil"/>
              <w:bottom w:val="nil"/>
              <w:right w:val="nil"/>
            </w:tcBorders>
            <w:vAlign w:val="center"/>
          </w:tcPr>
          <w:p>
            <w:pPr>
              <w:wordWrap/>
              <w:adjustRightInd/>
              <w:snapToGrid/>
              <w:spacing w:line="500" w:lineRule="exact"/>
              <w:ind w:left="0" w:leftChars="0" w:right="0" w:firstLine="0" w:firstLineChars="0"/>
              <w:jc w:val="center"/>
              <w:outlineLvl w:val="9"/>
              <w:rPr>
                <w:rFonts w:hint="eastAsia" w:ascii="宋体" w:hAnsi="宋体" w:eastAsia="宋体" w:cs="宋体"/>
                <w:i w:val="0"/>
                <w:iCs w:val="0"/>
                <w:color w:val="000000"/>
                <w:sz w:val="18"/>
                <w:szCs w:val="18"/>
                <w:u w:val="none"/>
              </w:rPr>
            </w:pPr>
          </w:p>
        </w:tc>
        <w:tc>
          <w:tcPr>
            <w:tcW w:w="858" w:type="dxa"/>
            <w:tcBorders>
              <w:top w:val="nil"/>
              <w:left w:val="nil"/>
              <w:bottom w:val="nil"/>
              <w:right w:val="nil"/>
            </w:tcBorders>
            <w:vAlign w:val="center"/>
          </w:tcPr>
          <w:p>
            <w:pPr>
              <w:wordWrap/>
              <w:adjustRightInd/>
              <w:snapToGrid/>
              <w:spacing w:line="500" w:lineRule="exact"/>
              <w:ind w:left="0" w:leftChars="0" w:right="0" w:firstLine="0" w:firstLineChars="0"/>
              <w:jc w:val="center"/>
              <w:outlineLvl w:val="9"/>
              <w:rPr>
                <w:rFonts w:hint="eastAsia" w:ascii="宋体" w:hAnsi="宋体" w:eastAsia="宋体" w:cs="宋体"/>
                <w:i w:val="0"/>
                <w:iCs w:val="0"/>
                <w:color w:val="000000"/>
                <w:sz w:val="18"/>
                <w:szCs w:val="18"/>
                <w:u w:val="none"/>
              </w:rPr>
            </w:pPr>
          </w:p>
        </w:tc>
        <w:tc>
          <w:tcPr>
            <w:tcW w:w="562" w:type="dxa"/>
            <w:tcBorders>
              <w:top w:val="nil"/>
              <w:left w:val="nil"/>
              <w:bottom w:val="nil"/>
              <w:right w:val="nil"/>
            </w:tcBorders>
            <w:vAlign w:val="center"/>
          </w:tcPr>
          <w:p>
            <w:pPr>
              <w:wordWrap/>
              <w:adjustRightInd/>
              <w:snapToGrid/>
              <w:spacing w:line="500" w:lineRule="exact"/>
              <w:ind w:left="0" w:leftChars="0" w:right="0" w:firstLine="0" w:firstLineChars="0"/>
              <w:jc w:val="center"/>
              <w:outlineLvl w:val="9"/>
              <w:rPr>
                <w:rFonts w:hint="eastAsia" w:ascii="宋体" w:hAnsi="宋体" w:eastAsia="宋体" w:cs="宋体"/>
                <w:i w:val="0"/>
                <w:iCs w:val="0"/>
                <w:color w:val="000000"/>
                <w:sz w:val="18"/>
                <w:szCs w:val="18"/>
                <w:u w:val="none"/>
              </w:rPr>
            </w:pPr>
          </w:p>
        </w:tc>
        <w:tc>
          <w:tcPr>
            <w:tcW w:w="526" w:type="dxa"/>
            <w:tcBorders>
              <w:top w:val="nil"/>
              <w:left w:val="nil"/>
              <w:bottom w:val="nil"/>
              <w:right w:val="nil"/>
            </w:tcBorders>
            <w:vAlign w:val="center"/>
          </w:tcPr>
          <w:p>
            <w:pPr>
              <w:wordWrap/>
              <w:adjustRightInd/>
              <w:snapToGrid/>
              <w:spacing w:line="500" w:lineRule="exact"/>
              <w:ind w:left="0" w:leftChars="0" w:right="0" w:firstLine="0" w:firstLineChars="0"/>
              <w:jc w:val="center"/>
              <w:outlineLvl w:val="9"/>
              <w:rPr>
                <w:rFonts w:hint="eastAsia" w:ascii="宋体" w:hAnsi="宋体" w:eastAsia="宋体" w:cs="宋体"/>
                <w:i w:val="0"/>
                <w:iCs w:val="0"/>
                <w:color w:val="000000"/>
                <w:sz w:val="18"/>
                <w:szCs w:val="18"/>
                <w:u w:val="none"/>
              </w:rPr>
            </w:pPr>
          </w:p>
        </w:tc>
        <w:tc>
          <w:tcPr>
            <w:tcW w:w="560" w:type="dxa"/>
            <w:tcBorders>
              <w:top w:val="nil"/>
              <w:left w:val="nil"/>
              <w:bottom w:val="nil"/>
              <w:right w:val="nil"/>
            </w:tcBorders>
            <w:vAlign w:val="center"/>
          </w:tcPr>
          <w:p>
            <w:pPr>
              <w:wordWrap/>
              <w:adjustRightInd/>
              <w:snapToGrid/>
              <w:spacing w:line="500" w:lineRule="exact"/>
              <w:ind w:left="0" w:leftChars="0" w:right="0" w:firstLine="0" w:firstLineChars="0"/>
              <w:jc w:val="center"/>
              <w:outlineLvl w:val="9"/>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vAlign w:val="center"/>
          </w:tcPr>
          <w:p>
            <w:pPr>
              <w:wordWrap/>
              <w:adjustRightInd/>
              <w:snapToGrid/>
              <w:spacing w:line="500" w:lineRule="exact"/>
              <w:ind w:left="0" w:leftChars="0" w:right="0" w:firstLine="0" w:firstLineChars="0"/>
              <w:outlineLvl w:val="9"/>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265" w:type="dxa"/>
            <w:gridSpan w:val="14"/>
            <w:tcBorders>
              <w:top w:val="nil"/>
              <w:left w:val="nil"/>
              <w:bottom w:val="nil"/>
              <w:right w:val="nil"/>
            </w:tcBorders>
            <w:vAlign w:val="center"/>
          </w:tcPr>
          <w:p>
            <w:pPr>
              <w:widowControl/>
              <w:wordWrap/>
              <w:adjustRightInd/>
              <w:snapToGrid/>
              <w:spacing w:line="500" w:lineRule="auto"/>
              <w:ind w:left="0" w:leftChars="0" w:right="0" w:firstLine="0" w:firstLineChars="0"/>
              <w:jc w:val="center"/>
              <w:textAlignment w:val="center"/>
              <w:outlineLvl w:val="9"/>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rPr>
              <w:t>源城区2024年省、市、区本级重点建设项目计划表</w:t>
            </w:r>
          </w:p>
        </w:tc>
        <w:tc>
          <w:tcPr>
            <w:tcW w:w="521" w:type="dxa"/>
            <w:tcBorders>
              <w:top w:val="nil"/>
              <w:left w:val="nil"/>
              <w:bottom w:val="nil"/>
              <w:right w:val="nil"/>
            </w:tcBorders>
            <w:vAlign w:val="center"/>
          </w:tcPr>
          <w:p>
            <w:pPr>
              <w:wordWrap/>
              <w:adjustRightInd/>
              <w:snapToGrid/>
              <w:spacing w:line="500" w:lineRule="auto"/>
              <w:ind w:left="0" w:leftChars="0" w:right="0" w:firstLine="0" w:firstLineChars="0"/>
              <w:outlineLvl w:val="9"/>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序号</w:t>
            </w:r>
          </w:p>
        </w:tc>
        <w:tc>
          <w:tcPr>
            <w:tcW w:w="168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项目名称</w:t>
            </w:r>
          </w:p>
        </w:tc>
        <w:tc>
          <w:tcPr>
            <w:tcW w:w="22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建设内容及规模</w:t>
            </w:r>
          </w:p>
        </w:tc>
        <w:tc>
          <w:tcPr>
            <w:tcW w:w="12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建设起止年限</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总投资</w:t>
            </w:r>
          </w:p>
        </w:tc>
        <w:tc>
          <w:tcPr>
            <w:tcW w:w="11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预计到2023年底累计完成投资</w:t>
            </w:r>
          </w:p>
        </w:tc>
        <w:tc>
          <w:tcPr>
            <w:tcW w:w="306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2024年投资计划</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（拟）开工时间</w:t>
            </w: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业主单位</w:t>
            </w:r>
          </w:p>
        </w:tc>
        <w:tc>
          <w:tcPr>
            <w:tcW w:w="5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责任单位</w:t>
            </w:r>
          </w:p>
        </w:tc>
        <w:tc>
          <w:tcPr>
            <w:tcW w:w="52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申报项目类型</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行业</w:t>
            </w:r>
            <w:r>
              <w:rPr>
                <w:rFonts w:hint="eastAsia" w:ascii="宋体" w:hAnsi="宋体" w:eastAsia="宋体" w:cs="宋体"/>
                <w:b/>
                <w:bCs/>
                <w:i w:val="0"/>
                <w:iCs w:val="0"/>
                <w:color w:val="000000"/>
                <w:kern w:val="0"/>
                <w:sz w:val="22"/>
                <w:szCs w:val="22"/>
                <w:u w:val="none"/>
                <w:lang w:val="en-US" w:eastAsia="zh-CN"/>
              </w:rPr>
              <w:br w:type="textWrapping"/>
            </w:r>
            <w:r>
              <w:rPr>
                <w:rFonts w:hint="eastAsia" w:ascii="宋体" w:hAnsi="宋体" w:eastAsia="宋体" w:cs="宋体"/>
                <w:b/>
                <w:bCs/>
                <w:i w:val="0"/>
                <w:iCs w:val="0"/>
                <w:color w:val="000000"/>
                <w:kern w:val="0"/>
                <w:sz w:val="22"/>
                <w:szCs w:val="22"/>
                <w:u w:val="none"/>
                <w:lang w:val="en-US" w:eastAsia="zh-CN"/>
              </w:rPr>
              <w:t>细类</w:t>
            </w:r>
          </w:p>
        </w:tc>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行业大类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168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22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306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5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168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22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95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2024年计划投资额</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2024年主要建设内容</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5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合计（52项）</w:t>
            </w:r>
          </w:p>
        </w:tc>
        <w:tc>
          <w:tcPr>
            <w:tcW w:w="22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4442214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1495853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423744 </w:t>
            </w:r>
          </w:p>
        </w:tc>
        <w:tc>
          <w:tcPr>
            <w:tcW w:w="21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一</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埔前镇人民政府（9项）</w:t>
            </w:r>
          </w:p>
        </w:tc>
        <w:tc>
          <w:tcPr>
            <w:tcW w:w="22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484048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303800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43752 </w:t>
            </w:r>
          </w:p>
        </w:tc>
        <w:tc>
          <w:tcPr>
            <w:tcW w:w="21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（一）计划新开工项目：5项</w:t>
            </w:r>
          </w:p>
        </w:tc>
        <w:tc>
          <w:tcPr>
            <w:tcW w:w="22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23048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16552 </w:t>
            </w:r>
          </w:p>
        </w:tc>
        <w:tc>
          <w:tcPr>
            <w:tcW w:w="21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感之源电子项目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建设内容为建设厂房、宿舍、办公室等主体结构及配套设施工工程。</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15000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10000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建设厂房、宿舍、办公室等主体结构及配套设施工工程。</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2024.08</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深圳市科达嘉电子有限公司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埔前镇人民政府</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市重点项目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埔前镇东片区五村美丽家园示范带项目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建设内容为建设农耕文化长廊、稻田营地景观、中田河水岸营地景观、“清洁田园”宣传廊，沿线整治提升、标识设置及升级改造、沿线建筑立面升级改造和建设农家书屋宣传橱窗。</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2695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2413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建设农耕文化长廊、稻田营地景观、中田河水岸营地景观、“清洁田园”宣传廊，沿线整治提升、标识设置及升级改造、沿线建筑立面升级改造和建设农家书屋宣传橱窗。</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2024.01</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埔前镇人民政府</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埔前镇人民政府</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宜居城乡项目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居民保障工程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2"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埔前镇高埔村产业大楼工程项目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占地面积为2827.66平方米，建设内容为建设一栋商用大楼，总建筑面积约7060平方米，层高7层，设地下停车库，停车车位约34个。</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1950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1139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建设一栋商用大楼及地下停车库。</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2024.05</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埔前镇高埔村委会</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埔前镇人民政府</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产业发展平台项目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基础设施工程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4"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埔前镇黑臭水体治理工程项目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建设内容为治理埔前镇3条黑臭水体（南坡村龙合小组池塘南侧沟渠、埔前村下罗四角楼村罗氏宗祠前沟渠及西北沟渠），开挖及修复路面并铺设管网19.85千米，建设农村污水处理点1座，原有管道渠清淤1.94千米。</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1116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1000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治理埔前镇3条黑臭水体，开挖及修复路面并铺设管网19.85千米，建设农村污水处理点1座，原有管道渠清淤1.94千米。</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2024.01</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埔前镇人民政府</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埔前镇人民政府</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生态环保工程项目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基础设施工程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2"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源城区大简河水质保障工程项目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主要建设埔前镇圩镇生活污水截污工程，截污管网总长约 1.6公里，河道修复工程总长度约 1.5 公里，包括疏浚工程、护坡等。</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2287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主要建设埔前镇圩镇生活污水截污工程，截污管网总长约 1.6公里，河道修复工程总长度约 1.5 公里，包括疏浚工程、护坡等。</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2024.01</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埔前镇人民政府</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埔前镇人民政府</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生态环保工程项目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基础设施工程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（二）续建项目：4项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461000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303800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27200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河源春沐源·岭南生态旅游度假区项目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地面积约540亩，规划建设以低多层为主的居住类产品；酒店、配套商业、文化创意类产品；禾悦庄温泉酒店、咖啡厅、春沐源大道，市政道路，田园综合体温泉；规划配套幼儿园及相关社区公共服务设施；音乐礼堂；整体打造生态、自然、富有美学的人文景观体系和社区生态环境。</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2020-2026</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150000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115000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新增建设用地、音乐礼堂、商业配套等工程。</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2020.02</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河源春沐源旅游文化有限公司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埔前镇人民政府</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省重点项目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服务业项目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河源春沐源·岭南生态农业观光建设项目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占地面积约1400亩</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建设内容为景观农业示范区</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景观花海</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果蔬无土种植温室大棚</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蔬菜加工厂</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农业科技中心</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研发基地</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农业公园</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儿童营地</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商业长廊</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体育公园</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温泉公园项目以及道路</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给排水等市政农业观光配套设施</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主要产出以果蔬菜</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加工农产品及花卉等。</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2016-2026</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300000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184000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建设农业观光项目农业科技大棚、配套市政、道路、路政</w:t>
            </w:r>
            <w:r>
              <w:rPr>
                <w:rFonts w:hint="eastAsia" w:ascii="宋体" w:hAnsi="宋体" w:cs="宋体"/>
                <w:i w:val="0"/>
                <w:iCs w:val="0"/>
                <w:color w:val="000000"/>
                <w:kern w:val="0"/>
                <w:sz w:val="20"/>
                <w:szCs w:val="20"/>
                <w:u w:val="none"/>
                <w:lang w:val="en-US" w:eastAsia="zh-CN"/>
              </w:rPr>
              <w:t>管网</w:t>
            </w:r>
            <w:r>
              <w:rPr>
                <w:rFonts w:hint="eastAsia" w:ascii="宋体" w:hAnsi="宋体" w:eastAsia="宋体" w:cs="宋体"/>
                <w:i w:val="0"/>
                <w:iCs w:val="0"/>
                <w:color w:val="000000"/>
                <w:kern w:val="0"/>
                <w:sz w:val="20"/>
                <w:szCs w:val="20"/>
                <w:u w:val="none"/>
                <w:lang w:val="en-US" w:eastAsia="zh-CN"/>
              </w:rPr>
              <w:t>等工程。</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2016.11</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河源春沐源旅游文化有限公司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埔前镇人民政府</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市重点项目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服务业项目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德峄纸品（河源）有限公司厂房扩建及购置设备项目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占地面积17160平方米，总建筑面积46156平方米；建设内容为新建3栋5层厂房、2栋6层宿舍楼、配套设备房，并引进新型设备：Z3000自动成型一体机、C8000餐具自动机、X7380纸吸管机等。</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2022-2024</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10000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4500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5500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新建2栋5层厂房、2栋6层宿舍、配套设备房；扩建后引进新型设备：Z3000自动成型一体机、C8000餐具自动机、X7380</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纸吸管机等。</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2023.01</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德峄纸品（河源）有限公司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埔前镇人民政府</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河源市温氏禽畜有限公司坪围高效生态养殖示范小区项目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项目用地14000平方米，总建筑面积11000平方米；建设内容为建设3栋三层平养鸡舍，单栋饲养3万羽，设计规模为存栏9万羽，年上市27万羽，产值810万元</w:t>
            </w:r>
            <w:r>
              <w:rPr>
                <w:rFonts w:hint="eastAsia" w:ascii="宋体" w:hAnsi="宋体" w:cs="宋体"/>
                <w:i w:val="0"/>
                <w:iCs w:val="0"/>
                <w:color w:val="000000"/>
                <w:kern w:val="0"/>
                <w:sz w:val="20"/>
                <w:szCs w:val="20"/>
                <w:u w:val="none"/>
                <w:lang w:val="en-US" w:eastAsia="zh-CN"/>
              </w:rPr>
              <w:t>。</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2023-2024</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300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700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建设3栋三层平养鸡舍。</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2023.12</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河源市温氏禽畜有限</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埔前镇人民政府</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农林牧渔项目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二</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源南镇人民政府（7项）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790569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426100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35000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（一）计划新开工项目：2项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23820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12000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广东粤东钢铁有限公司优特合金钢节能降碳技术改造项目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建设内容为建设1条DP50型废预热连续加料设备，2套除尘系统、1台5机5流优特合金钢连铸机以及</w:t>
            </w:r>
            <w:r>
              <w:rPr>
                <w:rFonts w:hint="eastAsia" w:ascii="宋体" w:hAnsi="宋体" w:cs="宋体"/>
                <w:i w:val="0"/>
                <w:iCs w:val="0"/>
                <w:color w:val="000000"/>
                <w:kern w:val="0"/>
                <w:sz w:val="20"/>
                <w:szCs w:val="20"/>
                <w:u w:val="none"/>
                <w:lang w:val="en-US" w:eastAsia="zh-CN"/>
              </w:rPr>
              <w:t>满足</w:t>
            </w:r>
            <w:r>
              <w:rPr>
                <w:rFonts w:hint="eastAsia" w:ascii="宋体" w:hAnsi="宋体" w:eastAsia="宋体" w:cs="宋体"/>
                <w:i w:val="0"/>
                <w:iCs w:val="0"/>
                <w:color w:val="000000"/>
                <w:kern w:val="0"/>
                <w:sz w:val="20"/>
                <w:szCs w:val="20"/>
                <w:u w:val="none"/>
                <w:lang w:val="en-US" w:eastAsia="zh-CN"/>
              </w:rPr>
              <w:t>生产需要的辅助生产设施。</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20022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10000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建设1条DP50型废预热连续加料设备，2套除尘系统、1台5机5流优特合金钢连铸机以及</w:t>
            </w:r>
            <w:r>
              <w:rPr>
                <w:rFonts w:hint="eastAsia" w:ascii="宋体" w:hAnsi="宋体" w:cs="宋体"/>
                <w:i w:val="0"/>
                <w:iCs w:val="0"/>
                <w:color w:val="000000"/>
                <w:kern w:val="0"/>
                <w:sz w:val="20"/>
                <w:szCs w:val="20"/>
                <w:u w:val="none"/>
                <w:lang w:val="en-US" w:eastAsia="zh-CN"/>
              </w:rPr>
              <w:t>满足</w:t>
            </w:r>
            <w:r>
              <w:rPr>
                <w:rFonts w:hint="eastAsia" w:ascii="宋体" w:hAnsi="宋体" w:eastAsia="宋体" w:cs="宋体"/>
                <w:i w:val="0"/>
                <w:iCs w:val="0"/>
                <w:color w:val="000000"/>
                <w:kern w:val="0"/>
                <w:sz w:val="20"/>
                <w:szCs w:val="20"/>
                <w:u w:val="none"/>
                <w:lang w:val="en-US" w:eastAsia="zh-CN"/>
              </w:rPr>
              <w:t>生产需要的辅助生产设施。</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2024.02</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广东粤东钢铁有限公司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源南镇人民政府</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市重点项目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源城区源南镇金竹沥河水环境保护工程项目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收集金竹沥河沿岸约11863人生活污水，经提升泵运至明珠污水处理厂处理。建设内容为建设DN300-DN600重力流主支管道约24.6千米、DN110入户管道约12.3千米、DN300压力流管道约1.2千米、污水提升泵站2座及化粪池一批。</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3798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2000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建设DN300-DN600重力流主支管道约24.6千米、DN110入户管道约12.3千米、DN300压力流管道约1.2千米、污水提升泵站2座及化粪池一批。</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2024.02</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源南镇人民政府</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源南镇人民政府</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生态环保工程项目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基础设施工程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（二）续建项目：5项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766749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426100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23000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精电（河源）显示技术有限公司车载液晶显示产品产线提质增效项目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计划购置自动整机装配线、AOI检测机、SMT贴片机等智能化设备，改造后预计新增产能200K。</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2022-2025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6500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2000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购置自动整机装配线、ＡＯＬ检测机、ＳＭＴ贴片机等智能</w:t>
            </w:r>
            <w:r>
              <w:rPr>
                <w:rFonts w:hint="eastAsia" w:ascii="宋体" w:hAnsi="宋体" w:cs="宋体"/>
                <w:i w:val="0"/>
                <w:iCs w:val="0"/>
                <w:color w:val="000000"/>
                <w:kern w:val="0"/>
                <w:sz w:val="20"/>
                <w:szCs w:val="20"/>
                <w:u w:val="none"/>
                <w:lang w:val="en-US" w:eastAsia="zh-CN"/>
              </w:rPr>
              <w:t>设备</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2022.09</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精电（河源）显示技术有限公司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源南镇人民政府</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河源龙光城（含四期、五期、六期、七期）项目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项目四至七期用地面积约32万平方米，总建筑面积约104.8万平方米，建设内容为拟建设45栋高层建筑和51栋多层楼房和底层住宅，地下车库，幼儿园1所及其他公共生活配套建筑等。</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2020-2025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440000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150000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10000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建设内容为四期，五期配套设施，七期高层及幼儿园、六期别墅住宅，基础施工、地下室施工等。</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2019.04</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河源美平房地产发展有限公司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源南镇人民政府</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房地产项目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房地产工程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河源恒大雅苑项目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用地面积为96250.98平方米，建筑面积为735610.38平方米，建设内容为建设新建47栋高层住宅楼，1栋独立小商业及一排住宅裙楼商业，一栋两层综合楼，一栋垃圾站，一所9班幼儿园，一所36班小学.</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2018-2025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200000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180000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8000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三期、四期高层住宅楼内外装修。</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2018.05</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河源市远翔投资发展有限公司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源南镇人民政府</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房地产项目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房地产工程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3"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坚基·风光里二期项目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总建筑面积209591.59平方米，建设内容为建设住宅1629套、商铺151套，地上1-26层，15栋住宅，沿街商铺、一所幼儿园.</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2021-2025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100249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85000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2000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完善二标段四栋住宅楼室内外装修及配套设施。</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2021.03</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河源市坚基房地产开发有限公司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源南镇人民政府</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房地产项目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房地产工程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2"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源城区崇志茶观园项目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用地面积5.3万平方米，建筑面积3.8万平方米，建设内容为拟建2栋宿舍、1栋游客接待中心、1栋餐饮配套服务中心、2栋教学课室，并拟建多彩茶叶百茶园。</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2022-2026</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20000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9100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1000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宿舍、教学楼、游客接待中心、操场等配套设施。</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2022.04</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河源市崇志文化传播有限公司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源南镇人民政府</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农林牧渔项目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三</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东埔街道办事处（5项）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2121700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507497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96700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17"/>
                <w:kern w:val="0"/>
                <w:sz w:val="20"/>
                <w:szCs w:val="20"/>
                <w:u w:val="none"/>
                <w:lang w:val="en-US" w:eastAsia="zh-CN"/>
              </w:rPr>
              <w:t>（一）计划新开工项目：1项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21700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21700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中央储备粮河源直属库有限公司仓储扩建项目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占地面积1.6万平方米，建筑面积1.28万平方米。在原来的基础上增设粮食储备浅圆仓11栋，一层内直径27米，高24米，单仓仓容1万吨，总储备仓容11万吨，用于储备粮食。</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21700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21700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在原来的基础上增设粮食储备浅圆仓11栋，建设提升塔、接收站、输送栈桥等生产设施和配套设施。</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2024.05</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中央储备粮河源直属库有限公司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东埔街道办事处</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省重点项目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居民保障项目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居民保障工程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（二）续建项目：4项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2100000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507497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75000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万达东江城项目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用地面积约519379.3平方米，总建筑面积约1650000平方米，建设内容为建设高层住宅41栋，低层住宅49栋，4层9年制学校1所，3层幼儿园2所，独立商铺6栋，地下室约46.12万㎡，车位数约12929个.</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2020-2027</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1350000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287497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住宅、叠墅工程建设。</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2020.12</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河源市福新创建有限</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东埔街道</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办事处</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房地产项目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房地产工程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雅居乐千叶明珠花园（一期）项目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用地面积为54113.82平方米，建筑面积为169272.99平方米，建设内容为建设11栋高层住宅及地下室，幼儿园一所、3栋1~2层独立商业。</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2021-2025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80000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40000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建设2组团高层住宅及配套、地下室相关工程内容。</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2021.05</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广东明晋房地产开发有限公司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东埔街道</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办事处</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房地产项目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房地产工程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碧桂园未来城项目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w:t>
            </w:r>
            <w:r>
              <w:rPr>
                <w:rFonts w:hint="eastAsia" w:ascii="宋体" w:hAnsi="宋体" w:cs="宋体"/>
                <w:i w:val="0"/>
                <w:iCs w:val="0"/>
                <w:color w:val="000000"/>
                <w:kern w:val="0"/>
                <w:sz w:val="20"/>
                <w:szCs w:val="20"/>
                <w:u w:val="none"/>
                <w:lang w:val="en-US" w:eastAsia="zh-CN"/>
              </w:rPr>
              <w:t>用地</w:t>
            </w:r>
            <w:r>
              <w:rPr>
                <w:rFonts w:hint="eastAsia" w:ascii="宋体" w:hAnsi="宋体" w:eastAsia="宋体" w:cs="宋体"/>
                <w:i w:val="0"/>
                <w:iCs w:val="0"/>
                <w:color w:val="000000"/>
                <w:kern w:val="0"/>
                <w:sz w:val="20"/>
                <w:szCs w:val="20"/>
                <w:u w:val="none"/>
                <w:lang w:val="en-US" w:eastAsia="zh-CN"/>
              </w:rPr>
              <w:t>320100平方米，总建筑面积约941500平方米，分四期开发，主要建设内容为：一期拟建12栋多层住宅和11栋洋房，二期拟建11栋洋房及一所中学，三期拟建12栋多层住宅和12栋洋房、1所幼儿园、1处公共交通场所，四期拟建14栋洋房。</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2020-2027</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600000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180000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20000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建设洋房、学校。</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2020.10</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河源市顺隆房地产开发有限公司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东埔街道</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办事处</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房地产项目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房地产工程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江城华府项目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建设内容为新建37栋住宅，其中高层住宅10栋，层数为17-32层，多层住宅为27栋，为3层，沿小区外围为</w:t>
            </w:r>
            <w:r>
              <w:rPr>
                <w:rFonts w:hint="eastAsia" w:ascii="宋体" w:hAnsi="宋体" w:cs="宋体"/>
                <w:i w:val="0"/>
                <w:iCs w:val="0"/>
                <w:color w:val="000000"/>
                <w:kern w:val="0"/>
                <w:sz w:val="20"/>
                <w:szCs w:val="20"/>
                <w:u w:val="none"/>
                <w:lang w:val="en-US" w:eastAsia="zh-CN"/>
              </w:rPr>
              <w:t>一</w:t>
            </w:r>
            <w:r>
              <w:rPr>
                <w:rFonts w:hint="eastAsia" w:ascii="宋体" w:hAnsi="宋体" w:eastAsia="宋体" w:cs="宋体"/>
                <w:i w:val="0"/>
                <w:iCs w:val="0"/>
                <w:color w:val="000000"/>
                <w:kern w:val="0"/>
                <w:sz w:val="20"/>
                <w:szCs w:val="20"/>
                <w:u w:val="none"/>
                <w:lang w:val="en-US" w:eastAsia="zh-CN"/>
              </w:rPr>
              <w:t>层商业配套37卡商铺，地下室满铺，局部地下二层，共有停车位986个，项目总绿化面积20162.37平方米。</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2021-2025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70000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42535</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项目主体工程装修。</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2021.10</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河源市丰源房地产投资有限公司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东埔街道</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办事处</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房地产项目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房地产工程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四</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源西街道办事处（2项）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3930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600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2600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（一）续建项目：2项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3930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600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2600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源西街道老旧小区改造工程（广场路片区）项目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源西街道广场路片区的友谊楼、华宾楼、裕华楼、瑞景楼、金福楼、建兴楼、宝华楼等7个小区进行改造，建设内容为修复破损路面翻新和道路改造、新建雨水排水管道、污水管道、垃圾分类区、三线整合、停车位改造、完善消防及安防设施等改造。</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1980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300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1300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广场路片区的友谊楼、华宾楼、裕华楼、瑞景楼、金福楼、建兴楼、宝华楼等7个小区进行改造。</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2023.12</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源西街道</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办事处</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源西街道</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办事处</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居民保障项目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居民保障工程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源西街道老旧小区改造工程（宝源二路南片区）项目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源西街道宝源二路南片区锦江花园、金源小区、振业三区等3个老旧小区进行改造，建设内容为修复破损路面及翻新及道路改造、新建雨水管道和污水管道及自来水管道整治，新建燃气管道，三线整合，增设电动自行车及汽车充电设施、垃圾分类区，停车位改造，完善消防、安防及照明设施等。</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2023-2024</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1950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300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1300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宝源二路南片区锦江花园、金源小区、振业三区等3个老旧小区内部以及周边街巷进行综合整治提升工程。</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2023.12</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源西街道</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办事处</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源西街道</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办事处</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居民保障项目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居民保障工程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五</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新江街道办事处（2项）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29293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5000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14000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（一）计划新开工项目：1项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9189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6000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南方电网综合能源（广州）有限公司河源市220kV变电站新型储能项目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拟在220千伏河源站南侧用地红线内，占用地面面积约4000平方米，规划投建40兆瓦/40兆瓦时的独立储能电站。建设内容为储能蓄电池组、储能变流器、升压变压器、集电线路、场内道路等。</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9189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6000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在220kV河源变电站厂区内投资建设独立共享储能电站（8兆瓦/8兆瓦时），另在河源站建设单晶硅光伏板194块，建设光伏发电106.7kWp。</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2024.04</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南方电网综合能源（广州）有限公司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新江街道办事处</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市重点项目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能源保障工程</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基础设施工程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（二）续建项目：1项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20104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5000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8000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源城区妇幼保健计划生育服务中心二期项目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占地面积3053平方米，拆除上城社区卫生服务中心综合大楼和区精神卫生防治所住院大楼，并在拆除原址上新建一栋建筑总面积约1.6万平方米的10层综合大楼</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地面9层，地下1层</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2022-2025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20104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5000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8000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完成综合大楼主体结构、空调、电气、电梯、消防安保等建设工作。</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2022.11</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源城区卫生健康局/源城区妇幼保健计划生育服务中心</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新江街道办事处</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市重点项目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医疗卫生项目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居民保障工程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六</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上城街道办事处（2项）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292886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109308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10600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（一）计划新开工项目：1项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600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上城街道“老旧小区”改造（滨江大道片区及公园片区）项目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对上城街道滨江大道片区（港务局宿舍、丽江城一期）及公园片区（怡乐大厦、邮政宿舍、邮电宿舍）等5个老旧小区进行改造。</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600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上城街道滨江大道片区（港务局宿舍、丽江城一期）及公园片区（怡乐大厦、邮政宿舍、邮电宿舍）等5个老旧小区改造。</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2024.08</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上城街道</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办事处</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上城街道</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办事处</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居民保障项目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居民保障工程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（二）续建项目：1项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291886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109308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10000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宝豪御龙湾三、四、五期项目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用地面积184231㎡，总建筑面积506702.14㎡。其中：三期建设33层商业中心，四期建设5层教学楼，五期分3期组团开发，A组团6栋、B组团3栋、C组团6栋，共15栋33层商住楼。</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2019-2026</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291886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109308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10000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建设宝豪御龙湾五期：</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1栋、5栋、15栋。</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2019.01</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河源市宝豪房地产开发有限公司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上城街道</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办事处</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房地产项目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房地产工程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七</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高埔岗街道办事处（3项）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117400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13253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4000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（一）续建项目：3项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117400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13253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4000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广东雅达电子股份有限公司电力监控仪表产线自动化信息化改造项目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建设内容为新增电力监控仪表的自动化生产线和对现有的生产线进行自动化的升级改造，将新增产能200万台/年。</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2023- 2024</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2400</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400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完成电力监控仪表的自动化生产线改造。</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2023.11</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广东雅达电子股份有限公司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高埔岗街道办事处</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6"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29</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芸景花园项目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占地面积60628.82平方米，总建筑面积230482.18平方米；建设内容为拟建造5栋27层、7栋26层洋房住宅，公共建筑包括1栋3层6班幼儿园、社区公共服务用房、垃圾收集用房等。</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2020-2024</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95000</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9853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完成主体工程内外墙装饰，小区园林游乐设施建设，达到竣工条件。</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2022.09</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河源市和顺兴商贸有限公司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高埔岗街道办事处</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房地产项目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房地产工程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2"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天宸花园项目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占地面积18897.69平方米，总建筑面积55234.79平方米，建设内容为拟建造2栋30层、1栋31层住宅含底商，地下车库、物业用房、社区用房等基础配套设施等。</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2023-2027</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20000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3000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1000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完成基坑土方开挖及支护，完成主体桩基础、地下室建设。</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2023.07</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河源市卓盈置业有限公司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高埔岗街道办事处</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房地产项目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房地产工程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八</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源城区工业园管理委员会（15项）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475000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111000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164000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（一）计划新开工项目：11项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144850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84000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华润新能源（河源）有限公司华润怡宝华南河源生产基地一期屋顶分布式光伏发电项目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占地面积110000平方米，利用华润怡宝华南河源生产基地一期区域内的仓库、生产车间、宿舍等建筑物屋顶建设分布式光伏发电系统。项目拟装机容量11.96MW（直流侧15.61MWp, 交流侧11.96MW）。拟安装28388块功率为 550Wp的单晶双面双玻半片组件、3150kVA箱变4台、组串式230kW逆变器52台，逆变器容量11.96MW，容配比1.3。</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2024 </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8000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建设分布式光伏发电系统。</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2024.03</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华润新能源（河源）有限公司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源城区工业园管理委员会</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市重点项目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能源保障工程</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基础设施工程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河源市联腾实业有限公司扩建和购置设备项目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占地面积12263.55平方米，建筑面积38747平方米，主要建设内容为拟建设生产楼、宿舍楼及配套设施。</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2024 </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12000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建设厂房、宿舍，购买设备。</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2024.02</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河源市联腾实业有限公司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源城区工业园管理委员会</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市重点项目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33</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普立隆新材料科技项目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建设内容为建设厂房、宿舍、办公室。</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10000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建设厂房、宿舍、办公室等主体结构及配套设施工工程。</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2024.08</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河源市普立隆新材料科技有限公司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源城区工业园管理委员会</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市重点项目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1"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广东一禾再生资源环保科技有限公司废活性炭再生利用新建项目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总建筑面积15354平方米，建设内容为拟建办公楼及宿舍、化验室、成品仓库、危废暂存库、预处理车间、废活性炭再生装置、变配电室及中控室、厂区VOC废气处理等配套设施。</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12850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建设办公楼、宿舍</w:t>
            </w:r>
            <w:r>
              <w:rPr>
                <w:rFonts w:hint="eastAsia" w:ascii="宋体" w:hAnsi="宋体" w:cs="宋体"/>
                <w:i w:val="0"/>
                <w:iCs w:val="0"/>
                <w:color w:val="000000"/>
                <w:kern w:val="0"/>
                <w:sz w:val="20"/>
                <w:szCs w:val="20"/>
                <w:u w:val="none"/>
                <w:lang w:val="en-US" w:eastAsia="zh-CN"/>
              </w:rPr>
              <w:t>及</w:t>
            </w:r>
            <w:r>
              <w:rPr>
                <w:rFonts w:hint="eastAsia" w:ascii="宋体" w:hAnsi="宋体" w:eastAsia="宋体" w:cs="宋体"/>
                <w:i w:val="0"/>
                <w:iCs w:val="0"/>
                <w:color w:val="000000"/>
                <w:kern w:val="0"/>
                <w:sz w:val="20"/>
                <w:szCs w:val="20"/>
                <w:u w:val="none"/>
                <w:lang w:val="en-US" w:eastAsia="zh-CN"/>
              </w:rPr>
              <w:t>配套设施工程。</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2024.08</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广东一禾再生资源环保科技有限公司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源城区工业园管理委员会</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市重点项目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35</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河源国盛科技有限公司厂房建设项目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占地面积为20084.8平方米，主要建设内容为拟建6栋厂房、1栋宿舍楼及配套设施。</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12000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建设厂房、宿舍、办公室等主体结构及配套设施工工程。</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2024.03</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河源国盛科技有限公司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源城区工业园管理委员会</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市重点项目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36</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富凯工艺品项目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建设内容为建设厂房、宿舍、办公室。</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20000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建设厂房、宿舍、办公室等主体结构及配套设施工工程。</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2024.08</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东莞市富凯工艺品有限公司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源城区工业园管理委员会</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市重点项目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37</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佳鸿玩具项目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建设内容为建设厂房、宿舍、办公室。</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30000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建设厂房、宿舍、办公室等主体结构及配套设施工工程。</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2024.08</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河源市佳明辉潮玩动漫科技有限公司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源城区工业园管理委员会</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市重点项目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38</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河源市万桥科技有限公司厂房建设及购置设备项目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占地面积20085.79平方米，建筑面积约30000平方米，建设内容为建设厂房、宿舍楼、办公楼各1栋。</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15000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建设厂房1栋每栋1层；宿舍楼1栋8层</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办公楼1栋6层。</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2024.05</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河源市万桥科技有限</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源城区工业园管理委员会</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河源市凯航自动化科技有限公司厂房建设及购置设备项目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建设内容为建设厂房、宿舍、办公楼。</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10000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建设厂房、宿舍、办公楼。</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2024.04</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河源市凯航自动化科技有限公司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源城区工业园管理委员会</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河源市超创鸿达科技有限公司厂房建设及购置设备项目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建设内容为建设厂房、宿舍、办公楼。</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5000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建设厂房、宿舍、办公楼。</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2024.06</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河源市超创鸿达科技有限公司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源城区工业园管理委员会</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41</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广杰五金制品项目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建设内容为建设厂房、宿舍、办公楼。</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10000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建设厂房、宿舍、办公楼。</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2024.08</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惠州市惠阳广杰五金制品有限公司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源城区工业园管理委员会</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（二）续建项目：4项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330150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111000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80000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42</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特区建工钢结构构件（河源）产业基地项目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占地面积26.7万平方米，总建筑面积40万平方米，一期建设主厂房1栋1层、实验中心1栋2层、宿舍楼1栋6层、办公楼1栋4层、预处理厂房1栋1层、开闭所1栋1层，主要生产预制钢结构构件。</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84150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20000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30000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建设一期厂房、宿舍楼、办公楼及购置设备。</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2023.04</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特区建工钢构（广东）有限公司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源城区工业园管理委员会</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省重点项目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5"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43</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华润怡宝华南河源生产基地一期项目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占地面积约800亩，其中一期拟用地面积约351亩，建设大型饮用水生产基地。</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100000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25000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建设一期厂房、宿舍楼、办公楼及购置设备。</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2023.03</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华润怡宝（河源）万绿湖饮料有限公司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源城区工业园管理委员会</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省重点项目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1"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44</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源城区水主题产业园项目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占地面积1860亩，新建标准生产厂房、职工公寓、办公楼、仓储区，以及项目前期的土地征收、土石方工程和完善市政道路、管线搭建等基础设施，分一二三期建设。</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2022-2027</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126000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56000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土地征收、土石方工程和市政道路、管线搭建等基础设施。</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2022.08</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源城区工业园管委会</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源城区工业园管理委员会</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市重点项目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产业发展平台项目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基础设施工程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45</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源城区台川数控基建项目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占地面积1.96万平方米，建筑面积3.37万平方米，建设内容为新建1栋厂房、1栋宿舍楼及生产辅助性用房。</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2023-2024</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20000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10000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完成厂房1栋、宿舍楼1栋及购置设备。</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2023.05</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广东台川数控科技有限公司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源城区工业园管理委员会</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市重点项目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九</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源城区发展和改革局（1项）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36000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27000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（一）计划新开工项目：1项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36000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27000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8"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46</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源城区政府控制的屋顶光伏资源开发项目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建设内容为在全区35个机关、企事业单位共约436栋建筑屋顶约22万平方米可利用面积建设分布式光伏发电项目，装机容量约45兆瓦。</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36000</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在全区35个机关、企事业单位共约436栋建筑屋顶约22万平方米可利用面积建设分布式光伏发电项目。</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2024.05</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广东省河源运通实业发展有限公司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源城区发展和改革局</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能源保障工程</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基础设施工程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十</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源城区水务局（1项）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1118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118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1000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（一）续建项目：1项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1118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118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1000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9"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47</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源城区三宗水库提升加固工程项目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是加固提升黄洞坝水库主坝、副坝，坝体充填灌浆共4265.8m、坝基帷幕灌浆共3578m；主副坝顶路硬底化共315m及主坝到副坝的路面硬底化685m等。二是加固提升奶娘坑水库，大坝坝体填充灌浆3205.1m、坝基帷幕灌浆2343m；坝顶路路面硬底化108m等。三是加固提升万洞水库，大坝坝体填充灌浆2889.8m、坝基帷幕灌浆1694m等。</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2023-2024</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1117.71</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118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加固提升黄洞坝、水库奶娘坑水库、万洞水库等3宗水库，对主坝、副坝充填灌浆及周边道路硬底化。</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2023.11</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源城区水利工程建设管理中心</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源城区水务局</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水利工程项目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基础设施工程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十一</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源城区消防救援大队（1项）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1542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150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1392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（一）续建项目：1项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1542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150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1392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6"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48</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源城区119指挥中心和消防科普基地建设项目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用地面积2400平方米，总建筑面积5400平方米，建设内容为建设源城区119消防指挥中心和消防科普基地、接警平台和灭火救援指挥平台等消防救援站配套设施设备。</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2023-2024</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1542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150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1392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建设119消防指挥中心和消防科普基地、接警平台和灭火救援指挥平台等消防救援站配套设施设备。</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2023.08</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源城区消防救援大队</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源城区消防救援大队</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消防工程项目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基础设施工程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十二</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源城供电局（1项）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1727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27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1700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（一）续建项目：1项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1727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27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1700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3"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49</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源城区2024年中压线路及过载台区改造工程项目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建设内容为新建变压器20台，新敷设10kV电力电缆约3千米，敷设台区低压线路约10千米。</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2023-2024</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1727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27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1700 </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新建变压器20台，新敷设10kV电力电缆约3千米，敷设台区低压线路约10千米。</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2023.11</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源城供电局</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源城供电局</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区本级重点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能源保障工程</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基础设施工程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十三</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源城区国有资产事务中心（3项）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87000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19000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22000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（一）计划新开工项目：1项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15000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8000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9"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源城区长乐园公墓山四期安置区墓地建设工程项目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占地面积约200亩，建筑面积约1680平方米。建设内容为建设成品墓穴、墓碑前道路、交通道 路、管理房、流动厕所、消防水池、挡土墙及停车场等其他配套工程；其中道路硬底化约20000平米，停车场约6500平方米。</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2024-2025</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15000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挡土墙工程及道路工程；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骨灰楼、服务中心、公厕等建筑主体及装饰工程；园林绿化工程等。</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2024.08</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广东省河源运通实业发展有限公司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源城区国有资产事务中心</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市重点项目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居民保障项目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居民保障工程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（二）续建项目：2项</w:t>
            </w:r>
          </w:p>
        </w:tc>
        <w:tc>
          <w:tcPr>
            <w:tcW w:w="22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i w:val="0"/>
                <w:iCs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72000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19000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 xml:space="preserve">14000 </w:t>
            </w:r>
          </w:p>
        </w:tc>
        <w:tc>
          <w:tcPr>
            <w:tcW w:w="211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left"/>
              <w:outlineLvl w:val="9"/>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jc w:val="center"/>
              <w:outlineLvl w:val="9"/>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auto"/>
              <w:ind w:left="0" w:leftChars="0" w:right="0" w:firstLine="0" w:firstLineChars="0"/>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51</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源城区冷链物流基础设施建设项目</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占地面积6848.4平方米，总建筑面积14991.34平方米，主要建设内容为建设农副产品保鲜仓储、低温直销配送中心、地下停车场等相关配套设施。</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2023-2024</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12000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6000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主体建设、投产使用。</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2023.04</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广东省河源运通实业发展有限公司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源城区国有资产事务中心</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市重点项目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服务业项目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52</w:t>
            </w:r>
          </w:p>
        </w:tc>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源城区城区智能化停车升级改造项目（一、二、三期）</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占地面积6万平方米，新增充电桩约800个，对城区范围内公园、办公场所及市场等周边停车泊位新建或进行智能化升级改造，建设智慧停车系统，配套相关停车系统软件、APP软件的开发和运用。</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2022-2024</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60000 </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13000 </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8000</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完成一、二、三期工程的基础工程、设备安装、外立面装饰及附属工程等。</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2022.04</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广东省河源运通实业发展有限公司</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源城区国有资产事务中心</w:t>
            </w: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市重点项目</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宜居城乡项目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ind w:left="0" w:leftChars="0" w:right="0" w:firstLine="0" w:firstLineChars="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居民保障工程</w:t>
            </w:r>
          </w:p>
        </w:tc>
      </w:tr>
    </w:tbl>
    <w:p>
      <w:pPr>
        <w:pStyle w:val="8"/>
        <w:ind w:left="0" w:leftChars="0" w:firstLine="0" w:firstLineChars="0"/>
        <w:rPr>
          <w:rFonts w:hint="eastAsia" w:ascii="宋体" w:hAnsi="宋体" w:eastAsia="方正仿宋_GBK" w:cs="Times New Roman"/>
          <w:sz w:val="32"/>
          <w:szCs w:val="32"/>
        </w:rPr>
      </w:pPr>
    </w:p>
    <w:p>
      <w:pPr>
        <w:pStyle w:val="8"/>
        <w:widowControl w:val="0"/>
        <w:wordWrap/>
        <w:adjustRightInd/>
        <w:snapToGrid/>
        <w:spacing w:line="20" w:lineRule="exact"/>
        <w:ind w:left="0" w:leftChars="0" w:right="0" w:firstLine="640" w:firstLineChars="200"/>
        <w:jc w:val="both"/>
        <w:textAlignment w:val="auto"/>
        <w:outlineLvl w:val="9"/>
        <w:rPr>
          <w:rFonts w:hint="eastAsia" w:ascii="宋体" w:hAnsi="宋体" w:eastAsia="方正仿宋_GBK" w:cs="Times New Roman"/>
          <w:sz w:val="32"/>
          <w:szCs w:val="32"/>
        </w:rPr>
        <w:sectPr>
          <w:pgSz w:w="16838" w:h="11906" w:orient="landscape"/>
          <w:pgMar w:top="567" w:right="1134" w:bottom="850" w:left="1134" w:header="851" w:footer="992" w:gutter="0"/>
          <w:paperSrc/>
          <w:cols w:space="720" w:num="1"/>
          <w:rtlGutter w:val="0"/>
          <w:docGrid w:type="lines" w:linePitch="319" w:charSpace="0"/>
        </w:sectPr>
      </w:pPr>
    </w:p>
    <w:tbl>
      <w:tblPr>
        <w:tblStyle w:val="21"/>
        <w:tblW w:w="147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0"/>
        <w:gridCol w:w="1601"/>
        <w:gridCol w:w="5488"/>
        <w:gridCol w:w="1547"/>
        <w:gridCol w:w="2563"/>
        <w:gridCol w:w="1386"/>
        <w:gridCol w:w="706"/>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786" w:type="dxa"/>
            <w:gridSpan w:val="8"/>
            <w:tcBorders>
              <w:top w:val="nil"/>
              <w:left w:val="nil"/>
              <w:bottom w:val="nil"/>
              <w:right w:val="nil"/>
            </w:tcBorders>
            <w:vAlign w:val="center"/>
          </w:tcPr>
          <w:p>
            <w:pPr>
              <w:jc w:val="both"/>
              <w:rPr>
                <w:rFonts w:hint="eastAsia" w:ascii="宋体" w:hAnsi="宋体" w:eastAsia="宋体" w:cs="宋体"/>
                <w:i w:val="0"/>
                <w:iCs w:val="0"/>
                <w:color w:val="000000"/>
                <w:sz w:val="24"/>
                <w:szCs w:val="24"/>
                <w:u w:val="none"/>
              </w:rPr>
            </w:pPr>
            <w:r>
              <w:rPr>
                <w:rFonts w:hint="eastAsia" w:ascii="黑体" w:hAnsi="黑体" w:eastAsia="黑体" w:cs="黑体"/>
                <w:i w:val="0"/>
                <w:iCs w:val="0"/>
                <w:color w:val="000000"/>
                <w:kern w:val="0"/>
                <w:sz w:val="28"/>
                <w:szCs w:val="28"/>
                <w:u w:val="none"/>
                <w:lang w:val="en-US" w:eastAsia="zh-CN"/>
              </w:rPr>
              <w:t>附表3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4786" w:type="dxa"/>
            <w:gridSpan w:val="8"/>
            <w:tcBorders>
              <w:top w:val="nil"/>
              <w:left w:val="nil"/>
              <w:bottom w:val="nil"/>
              <w:right w:val="nil"/>
            </w:tcBorders>
            <w:vAlign w:val="center"/>
          </w:tcPr>
          <w:p>
            <w:pPr>
              <w:widowControl/>
              <w:jc w:val="center"/>
              <w:textAlignment w:val="center"/>
              <w:rPr>
                <w:rFonts w:ascii="宋体" w:hAnsi="宋体" w:eastAsia="黑体" w:cs="黑体"/>
                <w:i w:val="0"/>
                <w:iCs w:val="0"/>
                <w:color w:val="000000"/>
                <w:sz w:val="36"/>
                <w:szCs w:val="36"/>
                <w:u w:val="none"/>
              </w:rPr>
            </w:pPr>
            <w:r>
              <w:rPr>
                <w:rFonts w:hint="eastAsia" w:ascii="方正小标宋_GBK" w:hAnsi="方正小标宋_GBK" w:eastAsia="方正小标宋_GBK" w:cs="方正小标宋_GBK"/>
                <w:i w:val="0"/>
                <w:iCs w:val="0"/>
                <w:color w:val="000000"/>
                <w:kern w:val="0"/>
                <w:sz w:val="44"/>
                <w:szCs w:val="44"/>
                <w:u w:val="none"/>
                <w:lang w:val="en-US" w:eastAsia="zh-CN"/>
              </w:rPr>
              <w:t>源城区2024年省、市、区本级重点前期预备项目计划表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序号</w:t>
            </w:r>
          </w:p>
        </w:tc>
        <w:tc>
          <w:tcPr>
            <w:tcW w:w="16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项目名称</w:t>
            </w:r>
          </w:p>
        </w:tc>
        <w:tc>
          <w:tcPr>
            <w:tcW w:w="548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建设内容及规模</w:t>
            </w:r>
          </w:p>
        </w:tc>
        <w:tc>
          <w:tcPr>
            <w:tcW w:w="15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估算总投资</w:t>
            </w:r>
            <w:r>
              <w:rPr>
                <w:rFonts w:hint="eastAsia" w:ascii="宋体" w:hAnsi="宋体" w:eastAsia="宋体" w:cs="宋体"/>
                <w:b/>
                <w:bCs/>
                <w:i w:val="0"/>
                <w:iCs w:val="0"/>
                <w:color w:val="000000"/>
                <w:kern w:val="0"/>
                <w:sz w:val="24"/>
                <w:szCs w:val="24"/>
                <w:u w:val="none"/>
                <w:lang w:val="en-US" w:eastAsia="zh-CN"/>
              </w:rPr>
              <w:br w:type="textWrapping"/>
            </w:r>
            <w:r>
              <w:rPr>
                <w:rFonts w:hint="eastAsia" w:ascii="宋体" w:hAnsi="宋体" w:eastAsia="宋体" w:cs="宋体"/>
                <w:b/>
                <w:bCs/>
                <w:i w:val="0"/>
                <w:iCs w:val="0"/>
                <w:color w:val="000000"/>
                <w:kern w:val="0"/>
                <w:sz w:val="24"/>
                <w:szCs w:val="24"/>
                <w:u w:val="none"/>
                <w:lang w:val="en-US" w:eastAsia="zh-CN"/>
              </w:rPr>
              <w:t>（万元）</w:t>
            </w:r>
          </w:p>
        </w:tc>
        <w:tc>
          <w:tcPr>
            <w:tcW w:w="25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2024年开展的主要前期工作</w:t>
            </w:r>
          </w:p>
        </w:tc>
        <w:tc>
          <w:tcPr>
            <w:tcW w:w="13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业主单位</w:t>
            </w:r>
          </w:p>
        </w:tc>
        <w:tc>
          <w:tcPr>
            <w:tcW w:w="7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责任单位</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项目类型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4"/>
                <w:szCs w:val="24"/>
                <w:u w:val="none"/>
              </w:rPr>
            </w:pPr>
          </w:p>
        </w:tc>
        <w:tc>
          <w:tcPr>
            <w:tcW w:w="16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4"/>
                <w:szCs w:val="24"/>
                <w:u w:val="none"/>
              </w:rPr>
            </w:pPr>
          </w:p>
        </w:tc>
        <w:tc>
          <w:tcPr>
            <w:tcW w:w="54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4"/>
                <w:szCs w:val="24"/>
                <w:u w:val="none"/>
              </w:rPr>
            </w:pPr>
          </w:p>
        </w:tc>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4"/>
                <w:szCs w:val="24"/>
                <w:u w:val="none"/>
              </w:rPr>
            </w:pPr>
          </w:p>
        </w:tc>
        <w:tc>
          <w:tcPr>
            <w:tcW w:w="25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4"/>
                <w:szCs w:val="24"/>
                <w:u w:val="none"/>
              </w:rPr>
            </w:pPr>
          </w:p>
        </w:tc>
        <w:tc>
          <w:tcPr>
            <w:tcW w:w="13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4"/>
                <w:szCs w:val="24"/>
                <w:u w:val="none"/>
              </w:rPr>
            </w:pPr>
          </w:p>
        </w:tc>
        <w:tc>
          <w:tcPr>
            <w:tcW w:w="7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合计：8项</w:t>
            </w:r>
          </w:p>
        </w:tc>
        <w:tc>
          <w:tcPr>
            <w:tcW w:w="548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i w:val="0"/>
                <w:iCs w:val="0"/>
                <w:color w:val="00000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xml:space="preserve">732790 </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i w:val="0"/>
                <w:iCs w:val="0"/>
                <w:color w:val="00000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w:t>
            </w:r>
          </w:p>
        </w:tc>
        <w:tc>
          <w:tcPr>
            <w:tcW w:w="16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基础设施工程</w:t>
            </w:r>
            <w:r>
              <w:rPr>
                <w:rFonts w:hint="eastAsia" w:ascii="宋体" w:hAnsi="宋体" w:cs="宋体"/>
                <w:b/>
                <w:bCs/>
                <w:i w:val="0"/>
                <w:iCs w:val="0"/>
                <w:color w:val="000000"/>
                <w:kern w:val="0"/>
                <w:sz w:val="24"/>
                <w:szCs w:val="24"/>
                <w:u w:val="none"/>
                <w:lang w:val="en-US" w:eastAsia="zh-CN"/>
              </w:rPr>
              <w:t>：</w:t>
            </w:r>
            <w:r>
              <w:rPr>
                <w:rFonts w:hint="eastAsia" w:ascii="宋体" w:hAnsi="宋体" w:eastAsia="宋体" w:cs="宋体"/>
                <w:b/>
                <w:bCs/>
                <w:i w:val="0"/>
                <w:iCs w:val="0"/>
                <w:color w:val="000000"/>
                <w:kern w:val="0"/>
                <w:sz w:val="24"/>
                <w:szCs w:val="24"/>
                <w:u w:val="none"/>
                <w:lang w:val="en-US" w:eastAsia="zh-CN"/>
              </w:rPr>
              <w:t>3项</w:t>
            </w:r>
          </w:p>
        </w:tc>
        <w:tc>
          <w:tcPr>
            <w:tcW w:w="548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i w:val="0"/>
                <w:iCs w:val="0"/>
                <w:color w:val="00000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xml:space="preserve">510365 </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i w:val="0"/>
                <w:iCs w:val="0"/>
                <w:color w:val="00000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2"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16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源城区工业园第五期扩园项目</w:t>
            </w:r>
          </w:p>
        </w:tc>
        <w:tc>
          <w:tcPr>
            <w:tcW w:w="54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项目占地面积约6000000平方米，主要建设内容包括土地购置费、房屋拆迁、土石方平整、市政管线建设、道路建设</w:t>
            </w:r>
            <w:r>
              <w:rPr>
                <w:rFonts w:hint="eastAsia" w:ascii="宋体" w:hAnsi="宋体" w:cs="宋体"/>
                <w:i w:val="0"/>
                <w:iCs w:val="0"/>
                <w:color w:val="000000"/>
                <w:kern w:val="0"/>
                <w:sz w:val="24"/>
                <w:szCs w:val="24"/>
                <w:u w:val="none"/>
                <w:lang w:val="en-US" w:eastAsia="zh-CN"/>
              </w:rPr>
              <w:t>及其他</w:t>
            </w:r>
            <w:r>
              <w:rPr>
                <w:rFonts w:hint="eastAsia" w:ascii="宋体" w:hAnsi="宋体" w:eastAsia="宋体" w:cs="宋体"/>
                <w:i w:val="0"/>
                <w:iCs w:val="0"/>
                <w:color w:val="000000"/>
                <w:kern w:val="0"/>
                <w:sz w:val="24"/>
                <w:szCs w:val="24"/>
                <w:u w:val="none"/>
                <w:lang w:val="en-US" w:eastAsia="zh-CN"/>
              </w:rPr>
              <w:t>配套等工程。</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505000 </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开展项目征地拆迁、初步设计、用地报批等前期工作。</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河源市源城区共享投资有限公司</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源城区工业园管理委员会</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市重点前期预备项目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5"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16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新江街道内涝点整治及周边排水设施改造项目</w:t>
            </w:r>
          </w:p>
        </w:tc>
        <w:tc>
          <w:tcPr>
            <w:tcW w:w="54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整治新江街道辖区河中路，石苟巷、塘唇巷、朱门亭市场、九重门江屋大门巷、农行宿舍、井头巷等7个内涝点，新建贯通排水管网直径 DN300~d1200 共1185 米；改造排水管网直径 DN300~d800 共1995 米，检查井 158 个；破除混凝土路面及修复 47250 平方米，排水基础设施更新、管网清淤疏通等。</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3165 </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开展项目立项审批、初步设计</w:t>
            </w:r>
            <w:r>
              <w:rPr>
                <w:rFonts w:hint="eastAsia" w:ascii="宋体" w:hAnsi="宋体" w:cs="宋体"/>
                <w:i w:val="0"/>
                <w:iCs w:val="0"/>
                <w:color w:val="000000"/>
                <w:kern w:val="0"/>
                <w:sz w:val="24"/>
                <w:szCs w:val="24"/>
                <w:u w:val="none"/>
                <w:lang w:val="en-US" w:eastAsia="zh-CN"/>
              </w:rPr>
              <w:t>等</w:t>
            </w:r>
            <w:r>
              <w:rPr>
                <w:rFonts w:hint="eastAsia" w:ascii="宋体" w:hAnsi="宋体" w:eastAsia="宋体" w:cs="宋体"/>
                <w:i w:val="0"/>
                <w:iCs w:val="0"/>
                <w:color w:val="000000"/>
                <w:kern w:val="0"/>
                <w:sz w:val="24"/>
                <w:szCs w:val="24"/>
                <w:u w:val="none"/>
                <w:lang w:val="en-US" w:eastAsia="zh-CN"/>
              </w:rPr>
              <w:t>前期工作。</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新江街道办事处</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新江街道办事处</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区本级重点前期预备项目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5"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16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源城区源西街道黄子洞河水环境综合整治项目</w:t>
            </w:r>
          </w:p>
        </w:tc>
        <w:tc>
          <w:tcPr>
            <w:tcW w:w="54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在黄子洞河沿线建设管径 200、300 和 500 毫米的污水收集管网共约 10 千米，700 毫米的污水井335 座，截污井5座，雨水15 座， 雨水篦子133座，一体化污水处理设施1 座</w:t>
            </w:r>
            <w:r>
              <w:rPr>
                <w:rFonts w:hint="eastAsia" w:ascii="宋体" w:hAnsi="宋体" w:cs="宋体"/>
                <w:i w:val="0"/>
                <w:iCs w:val="0"/>
                <w:color w:val="000000"/>
                <w:kern w:val="0"/>
                <w:sz w:val="24"/>
                <w:szCs w:val="24"/>
                <w:u w:val="none"/>
                <w:lang w:val="en-US" w:eastAsia="zh-CN"/>
              </w:rPr>
              <w:t>；</w:t>
            </w:r>
            <w:r>
              <w:rPr>
                <w:rFonts w:hint="eastAsia" w:ascii="宋体" w:hAnsi="宋体" w:eastAsia="宋体" w:cs="宋体"/>
                <w:i w:val="0"/>
                <w:iCs w:val="0"/>
                <w:color w:val="000000"/>
                <w:kern w:val="0"/>
                <w:sz w:val="24"/>
                <w:szCs w:val="24"/>
                <w:u w:val="none"/>
                <w:lang w:val="en-US" w:eastAsia="zh-CN"/>
              </w:rPr>
              <w:t>河道生态修复工程，黄子洞河流域开展河道修整及水体生态清淤长度约1.8千米，河道两侧开展边坡修复工作。</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2200 </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开展项目立项审批、初步设计</w:t>
            </w:r>
            <w:r>
              <w:rPr>
                <w:rFonts w:hint="eastAsia" w:ascii="宋体" w:hAnsi="宋体" w:cs="宋体"/>
                <w:i w:val="0"/>
                <w:iCs w:val="0"/>
                <w:color w:val="000000"/>
                <w:kern w:val="0"/>
                <w:sz w:val="24"/>
                <w:szCs w:val="24"/>
                <w:u w:val="none"/>
                <w:lang w:val="en-US" w:eastAsia="zh-CN"/>
              </w:rPr>
              <w:t>等</w:t>
            </w:r>
            <w:r>
              <w:rPr>
                <w:rFonts w:hint="eastAsia" w:ascii="宋体" w:hAnsi="宋体" w:eastAsia="宋体" w:cs="宋体"/>
                <w:i w:val="0"/>
                <w:iCs w:val="0"/>
                <w:color w:val="000000"/>
                <w:kern w:val="0"/>
                <w:sz w:val="24"/>
                <w:szCs w:val="24"/>
                <w:u w:val="none"/>
                <w:lang w:val="en-US" w:eastAsia="zh-CN"/>
              </w:rPr>
              <w:t>前期工作。</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源西街道办事处</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新江街道办事处</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区本级重点前期预备项目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w:t>
            </w:r>
          </w:p>
        </w:tc>
        <w:tc>
          <w:tcPr>
            <w:tcW w:w="16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产业工程</w:t>
            </w:r>
            <w:r>
              <w:rPr>
                <w:rFonts w:hint="eastAsia" w:ascii="宋体" w:hAnsi="宋体" w:cs="宋体"/>
                <w:b/>
                <w:bCs/>
                <w:i w:val="0"/>
                <w:iCs w:val="0"/>
                <w:color w:val="000000"/>
                <w:kern w:val="0"/>
                <w:sz w:val="24"/>
                <w:szCs w:val="24"/>
                <w:u w:val="none"/>
                <w:lang w:val="en-US" w:eastAsia="zh-CN"/>
              </w:rPr>
              <w:t>：</w:t>
            </w:r>
            <w:r>
              <w:rPr>
                <w:rFonts w:hint="eastAsia" w:ascii="宋体" w:hAnsi="宋体" w:eastAsia="宋体" w:cs="宋体"/>
                <w:b/>
                <w:bCs/>
                <w:i w:val="0"/>
                <w:iCs w:val="0"/>
                <w:color w:val="000000"/>
                <w:kern w:val="0"/>
                <w:sz w:val="24"/>
                <w:szCs w:val="24"/>
                <w:u w:val="none"/>
                <w:lang w:val="en-US" w:eastAsia="zh-CN"/>
              </w:rPr>
              <w:t>2项</w:t>
            </w:r>
          </w:p>
        </w:tc>
        <w:tc>
          <w:tcPr>
            <w:tcW w:w="548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xml:space="preserve">195000 </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16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广州昕曦冶金设备科技有限公司（源城区）智能制造产业基地</w:t>
            </w:r>
          </w:p>
        </w:tc>
        <w:tc>
          <w:tcPr>
            <w:tcW w:w="54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项目总占地面积54143.02平方米，总建筑面积约40000平方米，厂房4栋每栋2层；宿舍楼1栋5层。购置火焰切割机、数控车床、龙门铣床等设备。</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80000 </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开展用地报批、初步设计、环评等前期工作。</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广东昕昌智能科技有限公司</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源城区工业园管理委员会</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省重点前期预备项目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6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源城区国家储备林项目</w:t>
            </w:r>
          </w:p>
        </w:tc>
        <w:tc>
          <w:tcPr>
            <w:tcW w:w="54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计划总投资100000万元，用地</w:t>
            </w:r>
            <w:r>
              <w:rPr>
                <w:rFonts w:hint="eastAsia" w:ascii="宋体" w:hAnsi="宋体" w:cs="宋体"/>
                <w:i w:val="0"/>
                <w:iCs w:val="0"/>
                <w:color w:val="000000"/>
                <w:kern w:val="0"/>
                <w:sz w:val="24"/>
                <w:szCs w:val="24"/>
                <w:u w:val="none"/>
                <w:lang w:val="en-US" w:eastAsia="zh-CN"/>
              </w:rPr>
              <w:t>面积</w:t>
            </w:r>
            <w:r>
              <w:rPr>
                <w:rFonts w:hint="eastAsia" w:ascii="宋体" w:hAnsi="宋体" w:eastAsia="宋体" w:cs="宋体"/>
                <w:i w:val="0"/>
                <w:iCs w:val="0"/>
                <w:color w:val="000000"/>
                <w:kern w:val="0"/>
                <w:sz w:val="24"/>
                <w:szCs w:val="24"/>
                <w:u w:val="none"/>
                <w:lang w:val="en-US" w:eastAsia="zh-CN"/>
              </w:rPr>
              <w:t>6-8万亩，主要内容是通过人工林集约栽培、现有林改培、抚育及补植补造等措施，营造和培育的工业原料林、乡土树种、珍稀树种和大径级用材林等多功能森林。</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100000 </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开展项目立项审批等前期工作。</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源城区农业农村局</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源城区农业农村局</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市重点前期预备项目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w:t>
            </w:r>
          </w:p>
        </w:tc>
        <w:tc>
          <w:tcPr>
            <w:tcW w:w="16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源城区禽畜屠宰加工及冷链物流基地项目</w:t>
            </w:r>
          </w:p>
        </w:tc>
        <w:tc>
          <w:tcPr>
            <w:tcW w:w="54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用地面积30000平方米，总建筑面积19000平方米。主要建设内容为冷链存储库、加工中心、综合楼和其他附属设施等，其中，冷链存储库和加工中心建筑面积共13900平方米、综合楼建筑面积3600平方米、其他附属设施建筑面积1502平方米，同时完成设备购置及室外工程建设。</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15000 </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开展项目初步设计、用地报批等前期工作。</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广东省河源运通实业发展有限公司</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源城区国有资产事务中心</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市重点前期预备项目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w:t>
            </w:r>
          </w:p>
        </w:tc>
        <w:tc>
          <w:tcPr>
            <w:tcW w:w="16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民生保障工程</w:t>
            </w:r>
            <w:r>
              <w:rPr>
                <w:rFonts w:hint="eastAsia" w:ascii="宋体" w:hAnsi="宋体" w:cs="宋体"/>
                <w:b/>
                <w:bCs/>
                <w:i w:val="0"/>
                <w:iCs w:val="0"/>
                <w:color w:val="000000"/>
                <w:kern w:val="0"/>
                <w:sz w:val="24"/>
                <w:szCs w:val="24"/>
                <w:u w:val="none"/>
                <w:lang w:val="en-US" w:eastAsia="zh-CN"/>
              </w:rPr>
              <w:t>：</w:t>
            </w:r>
            <w:r>
              <w:rPr>
                <w:rFonts w:hint="eastAsia" w:ascii="宋体" w:hAnsi="宋体" w:eastAsia="宋体" w:cs="宋体"/>
                <w:b/>
                <w:bCs/>
                <w:i w:val="0"/>
                <w:iCs w:val="0"/>
                <w:color w:val="000000"/>
                <w:kern w:val="0"/>
                <w:sz w:val="24"/>
                <w:szCs w:val="24"/>
                <w:u w:val="none"/>
                <w:lang w:val="en-US" w:eastAsia="zh-CN"/>
              </w:rPr>
              <w:t>2项</w:t>
            </w:r>
          </w:p>
        </w:tc>
        <w:tc>
          <w:tcPr>
            <w:tcW w:w="548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27425</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w:t>
            </w:r>
          </w:p>
        </w:tc>
        <w:tc>
          <w:tcPr>
            <w:tcW w:w="16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源城区养老综合服务中心</w:t>
            </w:r>
          </w:p>
        </w:tc>
        <w:tc>
          <w:tcPr>
            <w:tcW w:w="54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规划建设长者养老服务大楼和健康卫生服务大楼及地下停车场等配套设施，购置相关设备。其中，养老服务大楼位于用地南面，规划占地1000平方米，主体8层，总建筑面积约8200平方米；配套建设健康卫生服务大楼位于用地北面，规划占地950平方米，主体8层，总建筑面积约7900平方米；配套建设地下停车场建筑面积6600平方米。</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22425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开展环评、施工许可等前期工作。</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源城区民政局</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源城区民政局</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市重点前期预备项目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w:t>
            </w:r>
          </w:p>
        </w:tc>
        <w:tc>
          <w:tcPr>
            <w:tcW w:w="16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源城区应急救援训练基地（一期）</w:t>
            </w:r>
          </w:p>
        </w:tc>
        <w:tc>
          <w:tcPr>
            <w:tcW w:w="54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占地面积约5000多平方米，总建筑面积约6428. 00平方米，主要建设内容为建设应急物资储备仓库、应急救援队伍营房、训练基地（综合训练楼、训练营房）及其配套设施，以及运动场、道路、绿地、停车场等场地建设工程。</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5000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开展项目立项审批、初步设计</w:t>
            </w:r>
            <w:r>
              <w:rPr>
                <w:rFonts w:hint="eastAsia" w:ascii="宋体" w:hAnsi="宋体" w:cs="宋体"/>
                <w:i w:val="0"/>
                <w:iCs w:val="0"/>
                <w:color w:val="000000"/>
                <w:kern w:val="0"/>
                <w:sz w:val="24"/>
                <w:szCs w:val="24"/>
                <w:u w:val="none"/>
                <w:lang w:val="en-US" w:eastAsia="zh-CN"/>
              </w:rPr>
              <w:t>等</w:t>
            </w:r>
            <w:r>
              <w:rPr>
                <w:rFonts w:hint="eastAsia" w:ascii="宋体" w:hAnsi="宋体" w:eastAsia="宋体" w:cs="宋体"/>
                <w:i w:val="0"/>
                <w:iCs w:val="0"/>
                <w:color w:val="000000"/>
                <w:kern w:val="0"/>
                <w:sz w:val="24"/>
                <w:szCs w:val="24"/>
                <w:u w:val="none"/>
                <w:lang w:val="en-US" w:eastAsia="zh-CN"/>
              </w:rPr>
              <w:t>前期工作。</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源城区应急管理局</w:t>
            </w:r>
          </w:p>
        </w:tc>
        <w:tc>
          <w:tcPr>
            <w:tcW w:w="7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区本级重点前期预备项目</w:t>
            </w:r>
          </w:p>
        </w:tc>
      </w:tr>
    </w:tbl>
    <w:p>
      <w:pPr>
        <w:pStyle w:val="8"/>
        <w:rPr>
          <w:rFonts w:hint="eastAsia" w:ascii="宋体" w:hAnsi="宋体" w:eastAsia="方正仿宋_GBK" w:cs="Times New Roman"/>
          <w:sz w:val="32"/>
          <w:szCs w:val="32"/>
        </w:rPr>
      </w:pPr>
    </w:p>
    <w:sectPr>
      <w:pgSz w:w="16838" w:h="11906" w:orient="landscape"/>
      <w:pgMar w:top="567" w:right="1134" w:bottom="1134" w:left="1134" w:header="851" w:footer="992" w:gutter="0"/>
      <w:paperSrc/>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兰亭黑_GBK">
    <w:altName w:val="宋体"/>
    <w:panose1 w:val="02000000000000000000"/>
    <w:charset w:val="86"/>
    <w:family w:val="auto"/>
    <w:pitch w:val="default"/>
    <w:sig w:usb0="00000000" w:usb1="00000000" w:usb2="0008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pPr>
    <w:r>
      <w:rPr>
        <w:rFonts w:ascii="Calibri" w:hAnsi="Calibri" w:eastAsia="宋体" w:cs="Arial"/>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200" cy="264795"/>
              <wp:effectExtent l="0" t="0" r="0" b="0"/>
              <wp:wrapNone/>
              <wp:docPr id="1" name="文本框 1"/>
              <wp:cNvGraphicFramePr/>
              <a:graphic xmlns:a="http://schemas.openxmlformats.org/drawingml/2006/main">
                <a:graphicData uri="http://schemas.microsoft.com/office/word/2010/wordprocessingShape">
                  <wps:wsp>
                    <wps:cNvSpPr/>
                    <wps:spPr>
                      <a:xfrm>
                        <a:off x="0" y="0"/>
                        <a:ext cx="711200" cy="264795"/>
                      </a:xfrm>
                      <a:prstGeom prst="rect">
                        <a:avLst/>
                      </a:prstGeom>
                      <a:noFill/>
                      <a:ln>
                        <a:noFill/>
                      </a:ln>
                    </wps:spPr>
                    <wps:txbx>
                      <w:txbxContent>
                        <w:p>
                          <w:pPr>
                            <w:pStyle w:val="17"/>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t>1</w:t>
                          </w:r>
                          <w:r>
                            <w:rPr>
                              <w:rFonts w:hint="eastAsia" w:ascii="宋体" w:eastAsia="宋体" w:cs="宋体"/>
                              <w:sz w:val="28"/>
                              <w:szCs w:val="28"/>
                            </w:rPr>
                            <w:fldChar w:fldCharType="end"/>
                          </w:r>
                          <w:r>
                            <w:rPr>
                              <w:rFonts w:hint="eastAsia" w:ascii="宋体" w:eastAsia="宋体" w:cs="宋体"/>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20.85pt;width:56pt;mso-position-horizontal:outside;mso-position-horizontal-relative:margin;mso-wrap-style:none;z-index:251659264;mso-width-relative:page;mso-height-relative:page;" filled="f" stroked="f" coordsize="21600,21600" o:gfxdata="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QvgvPRAAAABAEAAA8AAAAAAAAAAQAgAAAAIgAAAGRycy9kb3ducmV2Lnht&#10;bFBLAQIUABQAAAAIAIdO4kA2iVqtxwEAAI0DAAAOAAAAAAAAAAEAIAAAACABAABkcnMvZTJvRG9j&#10;LnhtbFBLBQYAAAAABgAGAFkBAABZBQAAAAA=&#10;">
              <v:fill on="f" focussize="0,0"/>
              <v:stroke on="f"/>
              <v:imagedata o:title=""/>
              <o:lock v:ext="edit" aspectratio="f"/>
              <v:textbox inset="0mm,0mm,0mm,0mm" style="mso-fit-shape-to-text:t;">
                <w:txbxContent>
                  <w:p>
                    <w:pPr>
                      <w:pStyle w:val="17"/>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t>1</w:t>
                    </w:r>
                    <w:r>
                      <w:rPr>
                        <w:rFonts w:hint="eastAsia" w:ascii="宋体" w:eastAsia="宋体" w:cs="宋体"/>
                        <w:sz w:val="28"/>
                        <w:szCs w:val="28"/>
                      </w:rPr>
                      <w:fldChar w:fldCharType="end"/>
                    </w:r>
                    <w:r>
                      <w:rPr>
                        <w:rFonts w:hint="eastAsia" w:asci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HorizontalSpacing w:val="105"/>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yMzQ3MDMyZmIwNmQ3ZTA5NDI2OTcyOTFkMDllNTAifQ=="/>
  </w:docVars>
  <w:rsids>
    <w:rsidRoot w:val="00000000"/>
    <w:rsid w:val="045948DD"/>
    <w:rsid w:val="0C752CF5"/>
    <w:rsid w:val="112F3D99"/>
    <w:rsid w:val="170F0360"/>
    <w:rsid w:val="1CF16213"/>
    <w:rsid w:val="23AD3AC8"/>
    <w:rsid w:val="312C253A"/>
    <w:rsid w:val="3587515A"/>
    <w:rsid w:val="386A7921"/>
    <w:rsid w:val="39DE4BD6"/>
    <w:rsid w:val="42726210"/>
    <w:rsid w:val="46E66B2E"/>
    <w:rsid w:val="4823125B"/>
    <w:rsid w:val="4A6356AE"/>
    <w:rsid w:val="4A90304A"/>
    <w:rsid w:val="58D73D8F"/>
    <w:rsid w:val="5BCA4006"/>
    <w:rsid w:val="5D6F1310"/>
    <w:rsid w:val="6402249F"/>
    <w:rsid w:val="73681134"/>
    <w:rsid w:val="744E5F5D"/>
    <w:rsid w:val="787C72C9"/>
    <w:rsid w:val="79E53C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5">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qFormat/>
    <w:uiPriority w:val="0"/>
    <w:pPr>
      <w:keepNext/>
      <w:keepLines/>
      <w:widowControl w:val="0"/>
      <w:spacing w:before="260" w:after="260" w:line="415" w:lineRule="auto"/>
      <w:outlineLvl w:val="1"/>
    </w:pPr>
    <w:rPr>
      <w:rFonts w:ascii="方正兰亭黑_GBK" w:hAnsi="方正兰亭黑_GBK" w:eastAsia="黑体"/>
      <w:b/>
      <w:bCs/>
      <w:sz w:val="32"/>
      <w:szCs w:val="32"/>
    </w:rPr>
  </w:style>
  <w:style w:type="paragraph" w:styleId="7">
    <w:name w:val="heading 3"/>
    <w:basedOn w:val="1"/>
    <w:next w:val="1"/>
    <w:qFormat/>
    <w:uiPriority w:val="0"/>
    <w:pPr>
      <w:spacing w:before="0" w:beforeAutospacing="1" w:after="0" w:afterAutospacing="1"/>
      <w:jc w:val="left"/>
      <w:outlineLvl w:val="2"/>
    </w:pPr>
    <w:rPr>
      <w:rFonts w:ascii="宋体" w:eastAsia="宋体" w:cs="宋体"/>
      <w:b/>
      <w:bCs/>
      <w:kern w:val="0"/>
      <w:sz w:val="27"/>
      <w:szCs w:val="27"/>
      <w:lang w:val="en-US" w:eastAsia="zh-CN"/>
    </w:rPr>
  </w:style>
  <w:style w:type="character" w:default="1" w:styleId="22">
    <w:name w:val="Default Paragraph Font"/>
    <w:link w:val="23"/>
    <w:qFormat/>
    <w:uiPriority w:val="0"/>
    <w:rPr>
      <w:rFonts w:ascii="Times New Roman" w:hAnsi="Times New Roman" w:eastAsia="宋体" w:cs="Times New Roman"/>
    </w:rPr>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ind w:left="200" w:leftChars="200" w:firstLine="420"/>
      <w:jc w:val="both"/>
    </w:pPr>
    <w:rPr>
      <w:rFonts w:ascii="Calibri" w:hAnsi="Calibri" w:eastAsia="宋体" w:cs="Arial"/>
      <w:kern w:val="2"/>
      <w:sz w:val="21"/>
      <w:szCs w:val="24"/>
      <w:lang w:val="en-US" w:eastAsia="zh-CN" w:bidi="ar-SA"/>
    </w:rPr>
  </w:style>
  <w:style w:type="paragraph" w:styleId="3">
    <w:name w:val="Body Text Indent"/>
    <w:basedOn w:val="1"/>
    <w:next w:val="4"/>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8">
    <w:name w:val="Normal Indent"/>
    <w:qFormat/>
    <w:uiPriority w:val="0"/>
    <w:pPr>
      <w:widowControl w:val="0"/>
      <w:ind w:firstLine="200" w:firstLineChars="200"/>
      <w:jc w:val="both"/>
    </w:pPr>
    <w:rPr>
      <w:rFonts w:ascii="Calibri" w:hAnsi="Calibri" w:eastAsia="宋体" w:cs="Arial"/>
      <w:kern w:val="2"/>
      <w:sz w:val="21"/>
      <w:szCs w:val="24"/>
      <w:lang w:val="en-US" w:eastAsia="zh-CN" w:bidi="ar-SA"/>
    </w:rPr>
  </w:style>
  <w:style w:type="paragraph" w:styleId="9">
    <w:name w:val="annotation text"/>
    <w:basedOn w:val="1"/>
    <w:next w:val="1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
    <w:name w:val="BodyText1I2"/>
    <w:basedOn w:val="11"/>
    <w:qFormat/>
    <w:uiPriority w:val="0"/>
    <w:rPr>
      <w:rFonts w:eastAsia="宋体"/>
    </w:rPr>
  </w:style>
  <w:style w:type="paragraph" w:customStyle="1" w:styleId="11">
    <w:name w:val="BodyTextIndent"/>
    <w:basedOn w:val="1"/>
    <w:qFormat/>
    <w:uiPriority w:val="0"/>
    <w:pPr>
      <w:spacing w:line="620" w:lineRule="exact"/>
      <w:ind w:firstLine="200" w:firstLineChars="200"/>
      <w:textAlignment w:val="baseline"/>
    </w:pPr>
    <w:rPr>
      <w:rFonts w:ascii="Times New Roman" w:hAnsi="Times New Roman" w:eastAsia="仿宋_GB2312"/>
      <w:sz w:val="32"/>
    </w:rPr>
  </w:style>
  <w:style w:type="paragraph" w:styleId="12">
    <w:name w:val="index 6"/>
    <w:basedOn w:val="1"/>
    <w:next w:val="1"/>
    <w:qFormat/>
    <w:uiPriority w:val="0"/>
    <w:pPr>
      <w:ind w:left="2100"/>
    </w:pPr>
  </w:style>
  <w:style w:type="paragraph" w:styleId="13">
    <w:name w:val="Body Text"/>
    <w:basedOn w:val="1"/>
    <w:next w:val="10"/>
    <w:qFormat/>
    <w:uiPriority w:val="0"/>
    <w:pPr>
      <w:widowControl w:val="0"/>
      <w:suppressAutoHyphens/>
      <w:spacing w:before="0" w:after="140" w:line="276" w:lineRule="auto"/>
      <w:jc w:val="both"/>
    </w:pPr>
    <w:rPr>
      <w:rFonts w:ascii="Calibri" w:hAnsi="Calibri" w:eastAsia="宋体" w:cs="Times New Roman"/>
      <w:color w:val="auto"/>
      <w:kern w:val="2"/>
      <w:sz w:val="21"/>
      <w:szCs w:val="24"/>
      <w:lang w:val="en-US" w:eastAsia="zh-CN" w:bidi="ar-SA"/>
    </w:rPr>
  </w:style>
  <w:style w:type="paragraph" w:styleId="14">
    <w:name w:val="toc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15">
    <w:name w:val="Plain Text"/>
    <w:basedOn w:val="1"/>
    <w:next w:val="8"/>
    <w:qFormat/>
    <w:uiPriority w:val="0"/>
    <w:pPr>
      <w:widowControl w:val="0"/>
      <w:jc w:val="both"/>
    </w:pPr>
    <w:rPr>
      <w:rFonts w:ascii="宋体" w:eastAsia="宋体" w:cs="Courier New"/>
      <w:kern w:val="2"/>
      <w:sz w:val="21"/>
      <w:szCs w:val="24"/>
      <w:lang w:val="en-US" w:eastAsia="zh-CN" w:bidi="ar-SA"/>
    </w:rPr>
  </w:style>
  <w:style w:type="paragraph" w:styleId="16">
    <w:name w:val="Body Text Indent 2"/>
    <w:basedOn w:val="1"/>
    <w:next w:val="11"/>
    <w:qFormat/>
    <w:uiPriority w:val="0"/>
    <w:pPr>
      <w:widowControl w:val="0"/>
      <w:spacing w:line="480" w:lineRule="auto"/>
      <w:ind w:left="200" w:leftChars="200"/>
      <w:jc w:val="both"/>
    </w:pPr>
    <w:rPr>
      <w:rFonts w:ascii="Calibri" w:hAnsi="Calibri" w:eastAsia="宋体" w:cs="Times New Roman"/>
      <w:kern w:val="2"/>
      <w:sz w:val="21"/>
      <w:szCs w:val="24"/>
      <w:lang w:val="en-US" w:eastAsia="zh-CN" w:bidi="ar-SA"/>
    </w:rPr>
  </w:style>
  <w:style w:type="paragraph" w:styleId="17">
    <w:name w:val="footer"/>
    <w:basedOn w:val="1"/>
    <w:qFormat/>
    <w:uiPriority w:val="0"/>
    <w:pPr>
      <w:tabs>
        <w:tab w:val="center" w:pos="4153"/>
        <w:tab w:val="right" w:pos="8306"/>
      </w:tabs>
      <w:snapToGrid w:val="0"/>
      <w:jc w:val="left"/>
    </w:pPr>
    <w:rPr>
      <w:sz w:val="18"/>
    </w:rPr>
  </w:style>
  <w:style w:type="paragraph" w:styleId="18">
    <w:name w:val="toc 2"/>
    <w:basedOn w:val="1"/>
    <w:next w:val="1"/>
    <w:qFormat/>
    <w:uiPriority w:val="0"/>
    <w:pPr>
      <w:ind w:left="200" w:leftChars="200"/>
    </w:pPr>
  </w:style>
  <w:style w:type="paragraph" w:styleId="19">
    <w:name w:val="HTML Preformatted"/>
    <w:basedOn w:val="1"/>
    <w:next w:val="17"/>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bidi="ar-SA"/>
    </w:rPr>
  </w:style>
  <w:style w:type="paragraph" w:styleId="20">
    <w:name w:val="Normal (Web)"/>
    <w:basedOn w:val="1"/>
    <w:next w:val="11"/>
    <w:qFormat/>
    <w:uiPriority w:val="0"/>
    <w:pPr>
      <w:widowControl/>
      <w:pBdr>
        <w:top w:val="none" w:color="auto" w:sz="0" w:space="0"/>
        <w:left w:val="none" w:color="auto" w:sz="0" w:space="0"/>
        <w:bottom w:val="none" w:color="auto" w:sz="0" w:space="0"/>
        <w:right w:val="none" w:color="auto" w:sz="0" w:space="0"/>
      </w:pBdr>
      <w:wordWrap/>
      <w:adjustRightInd/>
      <w:snapToGrid/>
      <w:spacing w:before="100" w:beforeAutospacing="1" w:after="100" w:afterAutospacing="1" w:line="240" w:lineRule="auto"/>
      <w:ind w:left="0" w:right="0" w:firstLine="0"/>
      <w:jc w:val="left"/>
      <w:textAlignment w:val="auto"/>
      <w:outlineLvl w:val="9"/>
    </w:pPr>
    <w:rPr>
      <w:rFonts w:ascii="宋体" w:eastAsia="宋体"/>
      <w:color w:val="auto"/>
      <w:spacing w:val="0"/>
      <w:w w:val="100"/>
      <w:kern w:val="0"/>
      <w:position w:val="0"/>
      <w:sz w:val="24"/>
      <w:szCs w:val="21"/>
      <w:u w:val="none" w:color="auto"/>
      <w:lang w:val="en-US" w:eastAsia="zh-CN"/>
    </w:rPr>
  </w:style>
  <w:style w:type="paragraph" w:customStyle="1" w:styleId="23">
    <w:name w:val="Char"/>
    <w:link w:val="22"/>
    <w:uiPriority w:val="0"/>
    <w:pPr>
      <w:widowControl w:val="0"/>
      <w:adjustRightInd w:val="0"/>
      <w:snapToGrid w:val="0"/>
      <w:spacing w:line="360" w:lineRule="auto"/>
      <w:ind w:firstLine="200" w:firstLineChars="200"/>
      <w:jc w:val="both"/>
    </w:pPr>
    <w:rPr>
      <w:rFonts w:ascii="Times New Roman" w:hAnsi="Times New Roman" w:eastAsia="宋体" w:cs="Times New Roman"/>
      <w:lang w:val="en-US" w:eastAsia="zh-CN" w:bidi="ar-SA"/>
    </w:rPr>
  </w:style>
  <w:style w:type="character" w:styleId="24">
    <w:name w:val="Strong"/>
    <w:qFormat/>
    <w:uiPriority w:val="0"/>
    <w:rPr>
      <w:b/>
    </w:rPr>
  </w:style>
  <w:style w:type="character" w:styleId="25">
    <w:name w:val="page number"/>
    <w:basedOn w:val="22"/>
    <w:qFormat/>
    <w:uiPriority w:val="0"/>
  </w:style>
  <w:style w:type="character" w:styleId="26">
    <w:name w:val="Emphasis"/>
    <w:basedOn w:val="22"/>
    <w:qFormat/>
    <w:uiPriority w:val="0"/>
    <w:rPr>
      <w:i/>
    </w:rPr>
  </w:style>
  <w:style w:type="character" w:styleId="27">
    <w:name w:val="Hyperlink"/>
    <w:basedOn w:val="22"/>
    <w:qFormat/>
    <w:uiPriority w:val="0"/>
    <w:rPr>
      <w:color w:val="0000FF"/>
      <w:u w:val="single"/>
    </w:rPr>
  </w:style>
  <w:style w:type="paragraph" w:customStyle="1" w:styleId="28">
    <w:name w:val="Body Text First Indent 21"/>
    <w:basedOn w:val="1"/>
    <w:next w:val="1"/>
    <w:qFormat/>
    <w:uiPriority w:val="0"/>
    <w:pPr>
      <w:widowControl w:val="0"/>
      <w:ind w:firstLine="200" w:firstLineChars="200"/>
      <w:jc w:val="both"/>
    </w:pPr>
    <w:rPr>
      <w:rFonts w:ascii="Calibri" w:hAnsi="Calibri" w:eastAsia="宋体" w:cs="Times New Roman"/>
      <w:kern w:val="2"/>
      <w:sz w:val="28"/>
      <w:szCs w:val="20"/>
      <w:lang w:val="en-US" w:eastAsia="zh-CN" w:bidi="ar-SA"/>
    </w:rPr>
  </w:style>
  <w:style w:type="paragraph" w:customStyle="1" w:styleId="29">
    <w:name w:val="纯文本1"/>
    <w:basedOn w:val="1"/>
    <w:qFormat/>
    <w:uiPriority w:val="0"/>
    <w:pPr>
      <w:widowControl w:val="0"/>
      <w:spacing w:line="360" w:lineRule="auto"/>
      <w:ind w:firstLine="0"/>
      <w:jc w:val="both"/>
    </w:pPr>
    <w:rPr>
      <w:rFonts w:ascii="宋体" w:eastAsia="宋体" w:cs="Times New Roman"/>
      <w:kern w:val="0"/>
      <w:sz w:val="20"/>
      <w:szCs w:val="20"/>
      <w:lang w:val="zh-CN" w:eastAsia="zh-CN" w:bidi="ar-SA"/>
    </w:rPr>
  </w:style>
  <w:style w:type="paragraph" w:customStyle="1" w:styleId="30">
    <w:name w:val=" Char Char Char"/>
    <w:basedOn w:val="1"/>
    <w:qFormat/>
    <w:uiPriority w:val="0"/>
    <w:pPr>
      <w:widowControl w:val="0"/>
      <w:jc w:val="both"/>
    </w:pPr>
    <w:rPr>
      <w:rFonts w:ascii="Times New Roman" w:hAnsi="Times New Roman" w:eastAsia="宋体" w:cs="Times New Roman"/>
      <w:color w:val="auto"/>
      <w:kern w:val="2"/>
      <w:sz w:val="21"/>
      <w:szCs w:val="24"/>
      <w:lang w:val="en-US" w:eastAsia="zh-CN" w:bidi="ar-SA"/>
    </w:rPr>
  </w:style>
  <w:style w:type="paragraph" w:customStyle="1" w:styleId="31">
    <w:name w:val="p0"/>
    <w:basedOn w:val="1"/>
    <w:qFormat/>
    <w:uiPriority w:val="0"/>
    <w:pPr>
      <w:widowControl/>
      <w:jc w:val="both"/>
    </w:pPr>
    <w:rPr>
      <w:rFonts w:ascii="Calibri" w:hAnsi="Calibri" w:eastAsia="宋体" w:cs="宋体"/>
      <w:kern w:val="0"/>
      <w:sz w:val="21"/>
      <w:szCs w:val="21"/>
      <w:lang w:val="en-US" w:eastAsia="zh-CN" w:bidi="ar-SA"/>
    </w:rPr>
  </w:style>
  <w:style w:type="paragraph" w:customStyle="1" w:styleId="32">
    <w:name w:val="_Style 5"/>
    <w:basedOn w:val="1"/>
    <w:qFormat/>
    <w:uiPriority w:val="0"/>
    <w:pPr>
      <w:widowControl w:val="0"/>
      <w:ind w:firstLine="200" w:firstLineChars="200"/>
      <w:jc w:val="both"/>
    </w:pPr>
    <w:rPr>
      <w:rFonts w:ascii="Calibri" w:hAnsi="Calibri" w:eastAsia="宋体" w:cs="黑体"/>
      <w:kern w:val="2"/>
      <w:sz w:val="24"/>
      <w:szCs w:val="24"/>
      <w:lang w:val="en-US" w:eastAsia="zh-CN" w:bidi="ar-SA"/>
    </w:rPr>
  </w:style>
  <w:style w:type="character" w:customStyle="1" w:styleId="33">
    <w:name w:val="NormalCharacter"/>
    <w:qFormat/>
    <w:uiPriority w:val="0"/>
    <w:rPr>
      <w:rFonts w:ascii="Times New Roman" w:hAnsi="Times New Roman" w:eastAsia="宋体"/>
      <w:kern w:val="2"/>
      <w:sz w:val="24"/>
      <w:lang w:val="en-US" w:eastAsia="zh-CN"/>
    </w:rPr>
  </w:style>
  <w:style w:type="character" w:customStyle="1" w:styleId="34">
    <w:name w:val="font41"/>
    <w:basedOn w:val="22"/>
    <w:qFormat/>
    <w:uiPriority w:val="0"/>
    <w:rPr>
      <w:rFonts w:hint="default" w:ascii="Times New Roman" w:hAnsi="Times New Roman" w:cs="Times New Roman"/>
      <w:b/>
      <w:bCs/>
      <w:color w:val="000000"/>
      <w:sz w:val="24"/>
      <w:szCs w:val="24"/>
      <w:u w:val="none"/>
    </w:rPr>
  </w:style>
  <w:style w:type="character" w:customStyle="1" w:styleId="35">
    <w:name w:val="font81"/>
    <w:basedOn w:val="22"/>
    <w:qFormat/>
    <w:uiPriority w:val="0"/>
    <w:rPr>
      <w:rFonts w:ascii="方正黑体_GBK" w:hAnsi="方正黑体_GBK" w:eastAsia="方正黑体_GBK" w:cs="方正黑体_GBK"/>
      <w:b/>
      <w:bCs/>
      <w:color w:val="000000"/>
      <w:sz w:val="24"/>
      <w:szCs w:val="24"/>
      <w:u w:val="none"/>
    </w:rPr>
  </w:style>
  <w:style w:type="character" w:customStyle="1" w:styleId="36">
    <w:name w:val="font01"/>
    <w:basedOn w:val="2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河源市发展改革局</Company>
  <Pages>37</Pages>
  <Words>19508</Words>
  <Characters>22481</Characters>
  <Lines>612</Lines>
  <Paragraphs>75</Paragraphs>
  <TotalTime>17</TotalTime>
  <ScaleCrop>false</ScaleCrop>
  <LinksUpToDate>false</LinksUpToDate>
  <CharactersWithSpaces>0</CharactersWithSpaces>
  <Application>WPS Office_11.8.2.10989_F1E327BC-269C-435d-A152-05C5408002CA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2021-07-29T07:33:00Z</dcterms:created>
  <dc:creator>hp</dc:creator>
  <cp:lastModifiedBy>黄艳</cp:lastModifiedBy>
  <cp:lastPrinted>2024-07-22T01:38:00Z</cp:lastPrinted>
  <dcterms:modified xsi:type="dcterms:W3CDTF">2024-07-25T09:26:17Z</dcterms:modified>
  <dc:title>源府〔2024〕26号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2052-11.8.2.10989</vt:lpwstr>
  </property>
  <property fmtid="{D5CDD505-2E9C-101B-9397-08002B2CF9AE}" pid="3" name="ICV">
    <vt:lpwstr>2738BBB8C50840F99B74088684810D69</vt:lpwstr>
  </property>
  <property fmtid="{D5CDD505-2E9C-101B-9397-08002B2CF9AE}" pid="4" name="ribbonExt">
    <vt:lpwstr>{"WPSExtOfficeTab":{"OnGetEnabled":false,"OnGetVisible":false}}</vt:lpwstr>
  </property>
</Properties>
</file>