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EAF7D">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方正小标宋简体"/>
          <w:color w:val="auto"/>
          <w:sz w:val="44"/>
          <w:szCs w:val="44"/>
          <w:u w:val="none"/>
        </w:rPr>
      </w:pPr>
    </w:p>
    <w:p w14:paraId="2FBB3229">
      <w:pPr>
        <w:keepNext w:val="0"/>
        <w:keepLines w:val="0"/>
        <w:pageBreakBefore w:val="0"/>
        <w:tabs>
          <w:tab w:val="left" w:pos="7560"/>
        </w:tabs>
        <w:kinsoku/>
        <w:wordWrap/>
        <w:overflowPunct/>
        <w:topLinePunct w:val="0"/>
        <w:autoSpaceDE/>
        <w:autoSpaceDN/>
        <w:bidi w:val="0"/>
        <w:adjustRightInd/>
        <w:snapToGrid/>
        <w:spacing w:line="620" w:lineRule="exact"/>
        <w:ind w:firstLine="880" w:firstLineChars="200"/>
        <w:textAlignment w:val="auto"/>
        <w:rPr>
          <w:rFonts w:eastAsia="方正小标宋简体"/>
          <w:color w:val="auto"/>
          <w:sz w:val="44"/>
          <w:szCs w:val="44"/>
          <w:u w:val="none"/>
        </w:rPr>
      </w:pPr>
      <w:r>
        <w:rPr>
          <w:rFonts w:hint="eastAsia" w:hAnsi="方正小标宋简体" w:eastAsia="方正小标宋简体" w:cs="方正小标宋简体"/>
          <w:color w:val="auto"/>
          <w:sz w:val="44"/>
          <w:szCs w:val="44"/>
          <w:u w:val="none"/>
          <w:lang w:val="en-US" w:eastAsia="zh-CN" w:bidi="ar"/>
        </w:rPr>
        <w:t>源城区</w:t>
      </w:r>
      <w:r>
        <w:rPr>
          <w:rFonts w:hint="eastAsia" w:hAnsi="方正小标宋简体" w:eastAsia="方正小标宋简体" w:cs="方正小标宋简体"/>
          <w:color w:val="auto"/>
          <w:sz w:val="44"/>
          <w:szCs w:val="44"/>
          <w:u w:val="none"/>
          <w:lang w:bidi="ar"/>
        </w:rPr>
        <w:t>深化产业投资项目</w:t>
      </w:r>
      <w:r>
        <w:rPr>
          <w:rFonts w:eastAsia="方正小标宋简体"/>
          <w:color w:val="auto"/>
          <w:sz w:val="44"/>
          <w:szCs w:val="44"/>
          <w:u w:val="none"/>
          <w:lang w:bidi="ar"/>
        </w:rPr>
        <w:t>“</w:t>
      </w:r>
      <w:r>
        <w:rPr>
          <w:rFonts w:hint="eastAsia" w:hAnsi="方正小标宋简体" w:eastAsia="方正小标宋简体" w:cs="方正小标宋简体"/>
          <w:color w:val="auto"/>
          <w:sz w:val="44"/>
          <w:szCs w:val="44"/>
          <w:u w:val="none"/>
          <w:lang w:bidi="ar"/>
        </w:rPr>
        <w:t>双容双承诺</w:t>
      </w:r>
      <w:r>
        <w:rPr>
          <w:rFonts w:eastAsia="方正小标宋简体"/>
          <w:color w:val="auto"/>
          <w:sz w:val="44"/>
          <w:szCs w:val="44"/>
          <w:u w:val="none"/>
          <w:lang w:bidi="ar"/>
        </w:rPr>
        <w:t>”</w:t>
      </w:r>
    </w:p>
    <w:p w14:paraId="35D085D3">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简体"/>
          <w:color w:val="auto"/>
          <w:sz w:val="44"/>
          <w:szCs w:val="44"/>
          <w:u w:val="none"/>
        </w:rPr>
      </w:pPr>
      <w:r>
        <w:rPr>
          <w:rFonts w:hint="eastAsia" w:hAnsi="方正小标宋简体" w:eastAsia="方正小标宋简体" w:cs="方正小标宋简体"/>
          <w:color w:val="auto"/>
          <w:sz w:val="44"/>
          <w:szCs w:val="44"/>
          <w:u w:val="none"/>
          <w:lang w:bidi="ar"/>
        </w:rPr>
        <w:t>直接落地改革实施方案</w:t>
      </w:r>
    </w:p>
    <w:p w14:paraId="2F64171E">
      <w:pPr>
        <w:keepNext w:val="0"/>
        <w:keepLines w:val="0"/>
        <w:pageBreakBefore w:val="0"/>
        <w:kinsoku/>
        <w:wordWrap/>
        <w:overflowPunct/>
        <w:topLinePunct w:val="0"/>
        <w:autoSpaceDE/>
        <w:autoSpaceDN/>
        <w:bidi w:val="0"/>
        <w:adjustRightInd/>
        <w:snapToGrid/>
        <w:spacing w:before="159" w:beforeLines="50" w:line="620" w:lineRule="exact"/>
        <w:jc w:val="center"/>
        <w:textAlignment w:val="auto"/>
        <w:rPr>
          <w:rFonts w:eastAsia="方正楷体简体"/>
          <w:color w:val="auto"/>
          <w:sz w:val="44"/>
          <w:szCs w:val="44"/>
          <w:u w:val="none"/>
        </w:rPr>
      </w:pPr>
      <w:r>
        <w:rPr>
          <w:rFonts w:hint="eastAsia" w:eastAsia="方正楷体简体"/>
          <w:color w:val="auto"/>
          <w:sz w:val="32"/>
          <w:szCs w:val="32"/>
          <w:u w:val="none"/>
          <w:lang w:eastAsia="zh-CN" w:bidi="ar"/>
        </w:rPr>
        <w:t>（</w:t>
      </w:r>
      <w:r>
        <w:rPr>
          <w:rFonts w:hint="eastAsia" w:eastAsia="方正楷体简体"/>
          <w:color w:val="auto"/>
          <w:sz w:val="32"/>
          <w:szCs w:val="32"/>
          <w:u w:val="none"/>
          <w:lang w:val="en-US" w:eastAsia="zh-CN" w:bidi="ar"/>
        </w:rPr>
        <w:t>征求意见稿</w:t>
      </w:r>
      <w:r>
        <w:rPr>
          <w:rFonts w:hint="eastAsia" w:eastAsia="方正楷体简体"/>
          <w:color w:val="auto"/>
          <w:sz w:val="32"/>
          <w:szCs w:val="32"/>
          <w:u w:val="none"/>
          <w:lang w:eastAsia="zh-CN" w:bidi="ar"/>
        </w:rPr>
        <w:t>）</w:t>
      </w:r>
      <w:r>
        <w:rPr>
          <w:rFonts w:eastAsia="方正楷体简体"/>
          <w:color w:val="auto"/>
          <w:sz w:val="32"/>
          <w:szCs w:val="32"/>
          <w:u w:val="none"/>
          <w:lang w:bidi="ar"/>
        </w:rPr>
        <w:br w:type="textWrapping"/>
      </w:r>
      <w:r>
        <w:rPr>
          <w:rFonts w:eastAsia="方正楷体简体"/>
          <w:color w:val="auto"/>
          <w:sz w:val="32"/>
          <w:szCs w:val="32"/>
          <w:u w:val="none"/>
          <w:lang w:bidi="ar"/>
        </w:rPr>
        <w:t>（202</w:t>
      </w:r>
      <w:r>
        <w:rPr>
          <w:rFonts w:hint="eastAsia" w:eastAsia="方正楷体简体"/>
          <w:color w:val="auto"/>
          <w:sz w:val="32"/>
          <w:szCs w:val="32"/>
          <w:u w:val="none"/>
          <w:lang w:val="en-US" w:eastAsia="zh-CN" w:bidi="ar"/>
        </w:rPr>
        <w:t>5</w:t>
      </w:r>
      <w:r>
        <w:rPr>
          <w:rFonts w:eastAsia="方正楷体简体"/>
          <w:color w:val="auto"/>
          <w:sz w:val="32"/>
          <w:szCs w:val="32"/>
          <w:u w:val="none"/>
          <w:lang w:bidi="ar"/>
        </w:rPr>
        <w:t>年</w:t>
      </w:r>
      <w:r>
        <w:rPr>
          <w:rFonts w:hint="eastAsia" w:eastAsia="方正楷体简体"/>
          <w:color w:val="auto"/>
          <w:sz w:val="32"/>
          <w:szCs w:val="32"/>
          <w:u w:val="none"/>
          <w:lang w:val="en-US" w:eastAsia="zh-CN" w:bidi="ar"/>
        </w:rPr>
        <w:t>1月</w:t>
      </w:r>
      <w:r>
        <w:rPr>
          <w:rFonts w:eastAsia="方正楷体简体"/>
          <w:color w:val="auto"/>
          <w:sz w:val="32"/>
          <w:szCs w:val="32"/>
          <w:u w:val="none"/>
          <w:lang w:bidi="ar"/>
        </w:rPr>
        <w:t>）</w:t>
      </w:r>
    </w:p>
    <w:p w14:paraId="403F48C9">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仿宋简体"/>
          <w:color w:val="auto"/>
          <w:sz w:val="32"/>
          <w:szCs w:val="32"/>
          <w:u w:val="none"/>
        </w:rPr>
      </w:pPr>
    </w:p>
    <w:p w14:paraId="03EA53A2">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为贯彻落实《中共中央 国务院关于深化投融资体制改革的意见》（中发</w:t>
      </w:r>
      <w:r>
        <w:rPr>
          <w:rFonts w:hint="eastAsia" w:cs="宋体"/>
          <w:color w:val="auto"/>
          <w:sz w:val="32"/>
          <w:szCs w:val="32"/>
          <w:u w:val="none"/>
          <w:lang w:bidi="ar"/>
        </w:rPr>
        <w:t>〔</w:t>
      </w:r>
      <w:r>
        <w:rPr>
          <w:rFonts w:eastAsia="方正仿宋简体"/>
          <w:color w:val="auto"/>
          <w:sz w:val="32"/>
          <w:szCs w:val="32"/>
          <w:u w:val="none"/>
          <w:lang w:bidi="ar"/>
        </w:rPr>
        <w:t>2016</w:t>
      </w:r>
      <w:r>
        <w:rPr>
          <w:rFonts w:hint="eastAsia" w:cs="宋体"/>
          <w:color w:val="auto"/>
          <w:sz w:val="32"/>
          <w:szCs w:val="32"/>
          <w:u w:val="none"/>
          <w:lang w:bidi="ar"/>
        </w:rPr>
        <w:t>〕</w:t>
      </w:r>
      <w:r>
        <w:rPr>
          <w:rFonts w:eastAsia="方正仿宋简体"/>
          <w:color w:val="auto"/>
          <w:sz w:val="32"/>
          <w:szCs w:val="32"/>
          <w:u w:val="none"/>
          <w:lang w:bidi="ar"/>
        </w:rPr>
        <w:t>18号）精神，深入推进“放管服”改革，优化我</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投资环境，加快转变政府职能，突出企业投资主体责任，根据《广东省工程建设项目审批告知承诺制管理暂行办法》（粤建改办</w:t>
      </w:r>
      <w:r>
        <w:rPr>
          <w:rFonts w:hint="eastAsia" w:cs="宋体"/>
          <w:color w:val="auto"/>
          <w:sz w:val="32"/>
          <w:szCs w:val="32"/>
          <w:u w:val="none"/>
          <w:lang w:bidi="ar"/>
        </w:rPr>
        <w:t>〔</w:t>
      </w:r>
      <w:r>
        <w:rPr>
          <w:rFonts w:eastAsia="方正仿宋简体"/>
          <w:color w:val="auto"/>
          <w:sz w:val="32"/>
          <w:szCs w:val="32"/>
          <w:u w:val="none"/>
          <w:lang w:bidi="ar"/>
        </w:rPr>
        <w:t>2019</w:t>
      </w:r>
      <w:r>
        <w:rPr>
          <w:rFonts w:hint="eastAsia" w:cs="宋体"/>
          <w:color w:val="auto"/>
          <w:sz w:val="32"/>
          <w:szCs w:val="32"/>
          <w:u w:val="none"/>
          <w:lang w:bidi="ar"/>
        </w:rPr>
        <w:t>〕</w:t>
      </w:r>
      <w:r>
        <w:rPr>
          <w:rFonts w:eastAsia="方正仿宋简体"/>
          <w:color w:val="auto"/>
          <w:sz w:val="32"/>
          <w:szCs w:val="32"/>
          <w:u w:val="none"/>
          <w:lang w:bidi="ar"/>
        </w:rPr>
        <w:t>31号）和《中共广东省委、广东省人民政府关于深化投融资体制改革的实施意见》要求，结合</w:t>
      </w:r>
      <w:r>
        <w:rPr>
          <w:rFonts w:hint="eastAsia" w:eastAsia="方正仿宋简体"/>
          <w:color w:val="auto"/>
          <w:sz w:val="32"/>
          <w:szCs w:val="32"/>
          <w:u w:val="none"/>
          <w:lang w:bidi="ar"/>
        </w:rPr>
        <w:t>《源城区工业用地使用权“带方案”供应推进“交地即开工”工作指引（试行）》</w:t>
      </w:r>
      <w:r>
        <w:rPr>
          <w:rFonts w:hint="eastAsia" w:eastAsia="方正仿宋简体"/>
          <w:color w:val="auto"/>
          <w:sz w:val="32"/>
          <w:szCs w:val="32"/>
          <w:u w:val="none"/>
          <w:lang w:eastAsia="zh-CN" w:bidi="ar"/>
        </w:rPr>
        <w:t>、《源城区工业项目“预验即试产”工作指引（试行）》、《源城区工业项目“竣工即发证”工作指引》，</w:t>
      </w:r>
      <w:r>
        <w:rPr>
          <w:rFonts w:eastAsia="方正仿宋简体"/>
          <w:color w:val="auto"/>
          <w:sz w:val="32"/>
          <w:szCs w:val="32"/>
          <w:u w:val="none"/>
          <w:lang w:bidi="ar"/>
        </w:rPr>
        <w:t>制定本方案。</w:t>
      </w:r>
      <w:bookmarkStart w:id="0" w:name="_GoBack"/>
      <w:bookmarkEnd w:id="0"/>
    </w:p>
    <w:p w14:paraId="38FDF230">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eastAsia="方正黑体_GBK"/>
          <w:color w:val="auto"/>
          <w:sz w:val="32"/>
          <w:szCs w:val="32"/>
          <w:u w:val="none"/>
        </w:rPr>
      </w:pPr>
      <w:r>
        <w:rPr>
          <w:rFonts w:eastAsia="方正黑体_GBK"/>
          <w:color w:val="auto"/>
          <w:sz w:val="32"/>
          <w:szCs w:val="32"/>
          <w:u w:val="none"/>
          <w:lang w:bidi="ar"/>
        </w:rPr>
        <w:t>一、目标任务</w:t>
      </w:r>
    </w:p>
    <w:p w14:paraId="355FDB37">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以加快转变政府职能、落实企业投资主体地位为核心，积极探索投资项目建设审批事项改革，按照“双容双承诺”原则（即容缺、容错，企业向政府承诺、政府向企业承诺），实行“宽进、严管”，开展以企业依法承诺制，政府加强事前引导、事中辅导、事后监管为主要内容的企业投资项目直接落地改革，推动企业投资项目审批便捷化和政府监管高效化，促进项目“先建后验”，实现项目“直接落地”。形成项目建设审批新格局，促进项目快落地、快建成、快投产。</w:t>
      </w:r>
    </w:p>
    <w:p w14:paraId="79722656">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eastAsia="方正黑体_GBK"/>
          <w:color w:val="auto"/>
          <w:sz w:val="32"/>
          <w:szCs w:val="32"/>
          <w:u w:val="none"/>
        </w:rPr>
      </w:pPr>
      <w:r>
        <w:rPr>
          <w:rFonts w:eastAsia="方正黑体_GBK"/>
          <w:color w:val="auto"/>
          <w:sz w:val="32"/>
          <w:szCs w:val="32"/>
          <w:u w:val="none"/>
          <w:lang w:bidi="ar"/>
        </w:rPr>
        <w:t>二、改革范围</w:t>
      </w:r>
    </w:p>
    <w:p w14:paraId="023C54CD">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eastAsia="方正仿宋简体"/>
          <w:color w:val="auto"/>
          <w:sz w:val="32"/>
          <w:szCs w:val="32"/>
          <w:u w:val="none"/>
        </w:rPr>
      </w:pPr>
      <w:r>
        <w:rPr>
          <w:rFonts w:eastAsia="方正仿宋简体"/>
          <w:color w:val="auto"/>
          <w:sz w:val="32"/>
          <w:szCs w:val="32"/>
          <w:u w:val="none"/>
          <w:lang w:bidi="ar"/>
        </w:rPr>
        <w:t>已经依法取得用地（含土地招拍挂中标通知书）的产业类项目，以及“双容双承诺”产业的配套电网项目可自主申请项目直接落地建设。</w:t>
      </w:r>
    </w:p>
    <w:p w14:paraId="5C3C837A">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eastAsia="方正黑体_GBK"/>
          <w:color w:val="auto"/>
          <w:sz w:val="32"/>
          <w:szCs w:val="32"/>
          <w:u w:val="none"/>
          <w:shd w:val="clear" w:color="auto" w:fill="FFFFFF"/>
        </w:rPr>
      </w:pPr>
      <w:r>
        <w:rPr>
          <w:rFonts w:eastAsia="方正黑体_GBK"/>
          <w:color w:val="auto"/>
          <w:sz w:val="32"/>
          <w:szCs w:val="32"/>
          <w:u w:val="none"/>
          <w:lang w:bidi="ar"/>
        </w:rPr>
        <w:t>三、</w:t>
      </w:r>
      <w:r>
        <w:rPr>
          <w:rFonts w:eastAsia="方正黑体_GBK"/>
          <w:color w:val="auto"/>
          <w:sz w:val="32"/>
          <w:szCs w:val="32"/>
          <w:u w:val="none"/>
          <w:shd w:val="clear" w:color="auto" w:fill="FFFFFF"/>
          <w:lang w:bidi="ar"/>
        </w:rPr>
        <w:t>相关配套制度</w:t>
      </w:r>
    </w:p>
    <w:p w14:paraId="21C6D06E">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rPr>
      </w:pPr>
      <w:r>
        <w:rPr>
          <w:rFonts w:eastAsia="方正楷体简体"/>
          <w:color w:val="auto"/>
          <w:sz w:val="32"/>
          <w:szCs w:val="32"/>
          <w:u w:val="none"/>
          <w:lang w:bidi="ar"/>
        </w:rPr>
        <w:t>（一）明确“双容双承诺”制度项目准入负面清单。</w:t>
      </w:r>
    </w:p>
    <w:p w14:paraId="6F93271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楷体简体" w:hAnsi="方正楷体简体" w:eastAsia="方正楷体简体" w:cs="方正楷体简体"/>
          <w:color w:val="auto"/>
          <w:sz w:val="32"/>
          <w:szCs w:val="32"/>
          <w:u w:val="none"/>
        </w:rPr>
      </w:pPr>
      <w:r>
        <w:rPr>
          <w:rFonts w:eastAsia="方正仿宋简体"/>
          <w:color w:val="auto"/>
          <w:kern w:val="0"/>
          <w:sz w:val="32"/>
          <w:szCs w:val="32"/>
          <w:u w:val="none"/>
          <w:lang w:bidi="ar"/>
        </w:rPr>
        <w:t>根据国家发展改革委、商务部《市场准入负面清单（2020年版）》、国家发展改革委《产业结构调整指导目录（2019年本）》、</w:t>
      </w:r>
      <w:r>
        <w:rPr>
          <w:rFonts w:hint="eastAsia" w:eastAsia="方正仿宋简体"/>
          <w:color w:val="auto"/>
          <w:kern w:val="0"/>
          <w:sz w:val="32"/>
          <w:szCs w:val="32"/>
          <w:u w:val="none"/>
          <w:lang w:bidi="ar"/>
        </w:rPr>
        <w:t>《广东省大气污染防治条例》、《广东省水污染防治条例》、《河源市“三线一单”生态环境分区管控方案》</w:t>
      </w:r>
      <w:r>
        <w:rPr>
          <w:rFonts w:eastAsia="方正仿宋简体"/>
          <w:color w:val="auto"/>
          <w:kern w:val="0"/>
          <w:sz w:val="32"/>
          <w:szCs w:val="32"/>
          <w:u w:val="none"/>
          <w:lang w:bidi="ar"/>
        </w:rPr>
        <w:t>等文件规定，结合我</w:t>
      </w:r>
      <w:r>
        <w:rPr>
          <w:rFonts w:hint="eastAsia" w:eastAsia="方正仿宋简体"/>
          <w:color w:val="auto"/>
          <w:kern w:val="0"/>
          <w:sz w:val="32"/>
          <w:szCs w:val="32"/>
          <w:u w:val="none"/>
          <w:lang w:val="en-US" w:eastAsia="zh-CN" w:bidi="ar"/>
        </w:rPr>
        <w:t>区</w:t>
      </w:r>
      <w:r>
        <w:rPr>
          <w:rFonts w:eastAsia="方正仿宋简体"/>
          <w:color w:val="auto"/>
          <w:kern w:val="0"/>
          <w:sz w:val="32"/>
          <w:szCs w:val="32"/>
          <w:u w:val="none"/>
          <w:lang w:bidi="ar"/>
        </w:rPr>
        <w:t>实际情况，</w:t>
      </w:r>
      <w:r>
        <w:rPr>
          <w:rFonts w:eastAsia="方正仿宋简体"/>
          <w:color w:val="auto"/>
          <w:sz w:val="32"/>
          <w:szCs w:val="32"/>
          <w:u w:val="none"/>
          <w:lang w:bidi="ar"/>
        </w:rPr>
        <w:t>进一步明确“双容双承诺”直接落地制度项目准入负面清单</w:t>
      </w:r>
      <w:r>
        <w:rPr>
          <w:rFonts w:eastAsia="方正仿宋简体"/>
          <w:color w:val="auto"/>
          <w:kern w:val="0"/>
          <w:sz w:val="32"/>
          <w:szCs w:val="32"/>
          <w:u w:val="none"/>
          <w:lang w:bidi="ar"/>
        </w:rPr>
        <w:t>，负面清单以外的项目，按照非禁即可、企业自愿原则，实行承诺准入。</w:t>
      </w:r>
      <w:r>
        <w:rPr>
          <w:rFonts w:hint="eastAsia" w:ascii="方正楷体简体" w:hAnsi="方正楷体简体" w:eastAsia="方正楷体简体" w:cs="方正楷体简体"/>
          <w:color w:val="auto"/>
          <w:kern w:val="0"/>
          <w:sz w:val="32"/>
          <w:szCs w:val="32"/>
          <w:u w:val="none"/>
          <w:lang w:bidi="ar"/>
        </w:rPr>
        <w:t>（责任单位：</w:t>
      </w:r>
      <w:r>
        <w:rPr>
          <w:rFonts w:hint="eastAsia" w:ascii="方正楷体简体" w:hAnsi="方正楷体简体" w:eastAsia="方正楷体简体" w:cs="方正楷体简体"/>
          <w:color w:val="auto"/>
          <w:kern w:val="0"/>
          <w:sz w:val="32"/>
          <w:szCs w:val="32"/>
          <w:u w:val="none"/>
          <w:lang w:val="en-US" w:eastAsia="zh-CN" w:bidi="ar"/>
        </w:rPr>
        <w:t>区</w:t>
      </w:r>
      <w:r>
        <w:rPr>
          <w:rFonts w:hint="eastAsia" w:ascii="方正楷体简体" w:hAnsi="方正楷体简体" w:eastAsia="方正楷体简体" w:cs="方正楷体简体"/>
          <w:color w:val="auto"/>
          <w:kern w:val="0"/>
          <w:sz w:val="32"/>
          <w:szCs w:val="32"/>
          <w:u w:val="none"/>
          <w:lang w:bidi="ar"/>
        </w:rPr>
        <w:t>发改局、承担</w:t>
      </w:r>
      <w:r>
        <w:rPr>
          <w:rFonts w:hint="eastAsia" w:ascii="方正楷体简体" w:hAnsi="方正楷体简体" w:eastAsia="方正楷体简体" w:cs="方正楷体简体"/>
          <w:color w:val="auto"/>
          <w:sz w:val="32"/>
          <w:szCs w:val="32"/>
          <w:u w:val="none"/>
          <w:lang w:bidi="ar"/>
        </w:rPr>
        <w:t>审批职能的相关部门</w:t>
      </w:r>
      <w:r>
        <w:rPr>
          <w:rFonts w:hint="eastAsia" w:ascii="方正楷体简体" w:hAnsi="方正楷体简体" w:eastAsia="方正楷体简体" w:cs="方正楷体简体"/>
          <w:color w:val="auto"/>
          <w:kern w:val="0"/>
          <w:sz w:val="32"/>
          <w:szCs w:val="32"/>
          <w:u w:val="none"/>
          <w:lang w:bidi="ar"/>
        </w:rPr>
        <w:t>）</w:t>
      </w:r>
    </w:p>
    <w:p w14:paraId="26BC2765">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（二）实施双向依法承诺制度。</w:t>
      </w:r>
    </w:p>
    <w:p w14:paraId="31A48A0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行政服务中心根据各有关部门依照法律法规设定的标准，制定具有法律效力的“双向承诺书”，承诺书设定标准和要求须符合国家“放管服”改革精神。</w:t>
      </w:r>
    </w:p>
    <w:p w14:paraId="36A212E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pacing w:val="-6"/>
          <w:sz w:val="32"/>
          <w:szCs w:val="32"/>
          <w:highlight w:val="none"/>
          <w:u w:val="none"/>
        </w:rPr>
      </w:pPr>
      <w:r>
        <w:rPr>
          <w:rFonts w:eastAsia="方正仿宋简体"/>
          <w:color w:val="auto"/>
          <w:sz w:val="32"/>
          <w:szCs w:val="32"/>
          <w:u w:val="none"/>
          <w:lang w:bidi="ar"/>
        </w:rPr>
        <w:t>企业向政府部门承诺内容包括：在时限内完善环境影响评价、节能评估、消防设计、人防设计、防雷装置设计、建设工程设计方案审查、施工图审查、安全监督登记、施工许可等手续。其中，符合工程建设项目审批告知承诺制相关规定的，企业可自</w:t>
      </w:r>
      <w:r>
        <w:rPr>
          <w:rFonts w:eastAsia="方正仿宋简体"/>
          <w:color w:val="auto"/>
          <w:spacing w:val="-6"/>
          <w:sz w:val="32"/>
          <w:szCs w:val="32"/>
          <w:u w:val="none"/>
          <w:lang w:bidi="ar"/>
        </w:rPr>
        <w:t>主选择告知承诺相关审批事项</w:t>
      </w:r>
      <w:r>
        <w:rPr>
          <w:rFonts w:hint="eastAsia" w:ascii="方正仿宋简体" w:hAnsi="方正仿宋简体" w:eastAsia="方正仿宋简体" w:cs="方正仿宋简体"/>
          <w:color w:val="auto"/>
          <w:spacing w:val="-6"/>
          <w:sz w:val="32"/>
          <w:szCs w:val="32"/>
          <w:highlight w:val="none"/>
          <w:u w:val="none"/>
          <w:lang w:bidi="ar"/>
        </w:rPr>
        <w:t>〔</w:t>
      </w:r>
      <w:r>
        <w:rPr>
          <w:rFonts w:eastAsia="方正仿宋简体"/>
          <w:color w:val="auto"/>
          <w:spacing w:val="-6"/>
          <w:sz w:val="32"/>
          <w:szCs w:val="32"/>
          <w:highlight w:val="none"/>
          <w:u w:val="none"/>
          <w:lang w:bidi="ar"/>
        </w:rPr>
        <w:t>具体规定及办理流程详见《</w:t>
      </w:r>
      <w:r>
        <w:rPr>
          <w:rFonts w:hint="eastAsia" w:eastAsia="方正仿宋简体"/>
          <w:color w:val="auto"/>
          <w:spacing w:val="-6"/>
          <w:sz w:val="32"/>
          <w:szCs w:val="32"/>
          <w:highlight w:val="none"/>
          <w:u w:val="none"/>
          <w:lang w:val="en-US" w:eastAsia="zh-CN" w:bidi="ar"/>
        </w:rPr>
        <w:t>关于印发河源市工程建设项目审批告知</w:t>
      </w:r>
      <w:r>
        <w:rPr>
          <w:rFonts w:eastAsia="方正仿宋简体"/>
          <w:color w:val="auto"/>
          <w:spacing w:val="-6"/>
          <w:sz w:val="32"/>
          <w:szCs w:val="32"/>
          <w:highlight w:val="none"/>
          <w:u w:val="none"/>
          <w:lang w:bidi="ar"/>
        </w:rPr>
        <w:t>承诺制</w:t>
      </w:r>
      <w:r>
        <w:rPr>
          <w:rFonts w:hint="eastAsia" w:eastAsia="方正仿宋简体"/>
          <w:color w:val="auto"/>
          <w:spacing w:val="-6"/>
          <w:sz w:val="32"/>
          <w:szCs w:val="32"/>
          <w:highlight w:val="none"/>
          <w:u w:val="none"/>
          <w:lang w:val="en-US" w:eastAsia="zh-CN" w:bidi="ar"/>
        </w:rPr>
        <w:t>管理暂行办法的通知</w:t>
      </w:r>
      <w:r>
        <w:rPr>
          <w:rFonts w:eastAsia="方正仿宋简体"/>
          <w:color w:val="auto"/>
          <w:spacing w:val="-6"/>
          <w:sz w:val="32"/>
          <w:szCs w:val="32"/>
          <w:highlight w:val="none"/>
          <w:u w:val="none"/>
          <w:lang w:bidi="ar"/>
        </w:rPr>
        <w:t>》（</w:t>
      </w:r>
      <w:r>
        <w:rPr>
          <w:rFonts w:hint="eastAsia" w:eastAsia="方正仿宋简体"/>
          <w:color w:val="auto"/>
          <w:spacing w:val="-6"/>
          <w:sz w:val="32"/>
          <w:szCs w:val="32"/>
          <w:highlight w:val="none"/>
          <w:u w:val="none"/>
          <w:lang w:val="en-US" w:eastAsia="zh-CN" w:bidi="ar"/>
        </w:rPr>
        <w:t>河</w:t>
      </w:r>
      <w:r>
        <w:rPr>
          <w:rFonts w:eastAsia="方正仿宋简体"/>
          <w:color w:val="auto"/>
          <w:spacing w:val="-6"/>
          <w:sz w:val="32"/>
          <w:szCs w:val="32"/>
          <w:highlight w:val="none"/>
          <w:u w:val="none"/>
          <w:lang w:bidi="ar"/>
        </w:rPr>
        <w:t>建改办</w:t>
      </w:r>
      <w:r>
        <w:rPr>
          <w:rFonts w:hint="eastAsia" w:ascii="方正仿宋简体" w:hAnsi="方正仿宋简体" w:eastAsia="方正仿宋简体" w:cs="方正仿宋简体"/>
          <w:color w:val="auto"/>
          <w:spacing w:val="-6"/>
          <w:sz w:val="32"/>
          <w:szCs w:val="32"/>
          <w:highlight w:val="none"/>
          <w:u w:val="none"/>
          <w:lang w:bidi="ar"/>
        </w:rPr>
        <w:t>〔</w:t>
      </w:r>
      <w:r>
        <w:rPr>
          <w:rFonts w:eastAsia="方正仿宋简体"/>
          <w:color w:val="auto"/>
          <w:spacing w:val="-6"/>
          <w:sz w:val="32"/>
          <w:szCs w:val="32"/>
          <w:highlight w:val="none"/>
          <w:u w:val="none"/>
          <w:lang w:bidi="ar"/>
        </w:rPr>
        <w:t>20</w:t>
      </w:r>
      <w:r>
        <w:rPr>
          <w:rFonts w:hint="eastAsia" w:eastAsia="方正仿宋简体"/>
          <w:color w:val="auto"/>
          <w:spacing w:val="-6"/>
          <w:sz w:val="32"/>
          <w:szCs w:val="32"/>
          <w:highlight w:val="none"/>
          <w:u w:val="none"/>
          <w:lang w:val="en-US" w:eastAsia="zh-CN" w:bidi="ar"/>
        </w:rPr>
        <w:t>19</w:t>
      </w:r>
      <w:r>
        <w:rPr>
          <w:rFonts w:hint="eastAsia" w:ascii="方正仿宋简体" w:hAnsi="方正仿宋简体" w:eastAsia="方正仿宋简体" w:cs="方正仿宋简体"/>
          <w:color w:val="auto"/>
          <w:spacing w:val="-6"/>
          <w:sz w:val="32"/>
          <w:szCs w:val="32"/>
          <w:highlight w:val="none"/>
          <w:u w:val="none"/>
          <w:lang w:bidi="ar"/>
        </w:rPr>
        <w:t>〕</w:t>
      </w:r>
      <w:r>
        <w:rPr>
          <w:rFonts w:hint="eastAsia" w:eastAsia="方正仿宋简体"/>
          <w:color w:val="auto"/>
          <w:spacing w:val="-6"/>
          <w:sz w:val="32"/>
          <w:szCs w:val="32"/>
          <w:highlight w:val="none"/>
          <w:u w:val="none"/>
          <w:lang w:val="en-US" w:eastAsia="zh-CN" w:bidi="ar"/>
        </w:rPr>
        <w:t>3</w:t>
      </w:r>
      <w:r>
        <w:rPr>
          <w:rFonts w:eastAsia="方正仿宋简体"/>
          <w:color w:val="auto"/>
          <w:spacing w:val="-6"/>
          <w:sz w:val="32"/>
          <w:szCs w:val="32"/>
          <w:highlight w:val="none"/>
          <w:u w:val="none"/>
          <w:lang w:bidi="ar"/>
        </w:rPr>
        <w:t>号）</w:t>
      </w:r>
      <w:r>
        <w:rPr>
          <w:rFonts w:hint="eastAsia" w:ascii="方正仿宋简体" w:hAnsi="方正仿宋简体" w:eastAsia="方正仿宋简体" w:cs="方正仿宋简体"/>
          <w:color w:val="auto"/>
          <w:spacing w:val="-6"/>
          <w:sz w:val="32"/>
          <w:szCs w:val="32"/>
          <w:highlight w:val="none"/>
          <w:u w:val="none"/>
          <w:lang w:bidi="ar"/>
        </w:rPr>
        <w:t>〕</w:t>
      </w:r>
      <w:r>
        <w:rPr>
          <w:rFonts w:eastAsia="方正仿宋简体"/>
          <w:color w:val="auto"/>
          <w:spacing w:val="-6"/>
          <w:sz w:val="32"/>
          <w:szCs w:val="32"/>
          <w:highlight w:val="none"/>
          <w:u w:val="none"/>
          <w:lang w:bidi="ar"/>
        </w:rPr>
        <w:t>。</w:t>
      </w:r>
    </w:p>
    <w:p w14:paraId="45F67BF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w:t>
      </w:r>
      <w:r>
        <w:rPr>
          <w:rFonts w:hint="eastAsia" w:eastAsia="方正仿宋简体"/>
          <w:color w:val="auto"/>
          <w:sz w:val="32"/>
          <w:szCs w:val="32"/>
          <w:u w:val="none"/>
          <w:lang w:eastAsia="zh-CN" w:bidi="ar"/>
        </w:rPr>
        <w:t>、</w:t>
      </w:r>
      <w:r>
        <w:rPr>
          <w:rFonts w:hint="eastAsia" w:eastAsia="方正仿宋简体"/>
          <w:color w:val="auto"/>
          <w:sz w:val="32"/>
          <w:szCs w:val="32"/>
          <w:u w:val="none"/>
          <w:lang w:val="en-US" w:eastAsia="zh-CN" w:bidi="ar"/>
        </w:rPr>
        <w:t>项目引进部门</w:t>
      </w:r>
      <w:r>
        <w:rPr>
          <w:rFonts w:eastAsia="方正仿宋简体"/>
          <w:color w:val="auto"/>
          <w:sz w:val="32"/>
          <w:szCs w:val="32"/>
          <w:u w:val="none"/>
          <w:lang w:bidi="ar"/>
        </w:rPr>
        <w:t>和职能部门向企业承诺内容包括：在项目直接落地前，提前介入，为企业提供项目直接落地事前的政策、业务指导和服务；在项目直接落地后，主动与企业对接，密切跟踪服务，依法实施事中事后监管，全面履行政府职责；在项目建设过程中，指导、协助企业按照法律法规及时办理完善各项手续，核发相应的行政许可，要严格落实履职监管，不得变相增加法律法规规定以外的审批和监管事项；在项目竣工投产前，由企业根据实际按照承诺书的要求向验收部门递交验收申请，及时开展项目部分验收或整体验收。</w:t>
      </w:r>
    </w:p>
    <w:p w14:paraId="34EB55E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楷体简体" w:hAnsi="方正楷体简体" w:eastAsia="方正楷体简体" w:cs="方正楷体简体"/>
          <w:color w:val="auto"/>
          <w:sz w:val="32"/>
          <w:szCs w:val="32"/>
          <w:u w:val="none"/>
        </w:rPr>
      </w:pP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在向企业充分告知承诺内容、注意事项的基础上，对符合改革范围的项目的直接落地申请，与企业一次性签订“双向承诺书”，并会同有关审批部门负责对“双向承诺书”中承诺的内容作出解释说明。</w:t>
      </w:r>
      <w:r>
        <w:rPr>
          <w:rFonts w:hint="eastAsia" w:ascii="方正楷体简体" w:hAnsi="方正楷体简体" w:eastAsia="方正楷体简体" w:cs="方正楷体简体"/>
          <w:color w:val="auto"/>
          <w:sz w:val="32"/>
          <w:szCs w:val="32"/>
          <w:u w:val="none"/>
          <w:lang w:bidi="ar"/>
        </w:rPr>
        <w:t>（责任单位：</w:t>
      </w:r>
      <w:r>
        <w:rPr>
          <w:rFonts w:hint="eastAsia" w:ascii="方正楷体简体" w:hAnsi="方正楷体简体" w:eastAsia="方正楷体简体" w:cs="方正楷体简体"/>
          <w:color w:val="auto"/>
          <w:sz w:val="32"/>
          <w:szCs w:val="32"/>
          <w:u w:val="none"/>
          <w:lang w:val="en-US" w:eastAsia="zh-CN" w:bidi="ar"/>
        </w:rPr>
        <w:t>区政务和数据局</w:t>
      </w:r>
      <w:r>
        <w:rPr>
          <w:rFonts w:hint="eastAsia" w:ascii="方正楷体简体" w:hAnsi="方正楷体简体" w:eastAsia="方正楷体简体" w:cs="方正楷体简体"/>
          <w:color w:val="auto"/>
          <w:sz w:val="32"/>
          <w:szCs w:val="32"/>
          <w:u w:val="none"/>
          <w:lang w:bidi="ar"/>
        </w:rPr>
        <w:t>、承担审批职能的相关部门）</w:t>
      </w:r>
    </w:p>
    <w:p w14:paraId="7342CEE2">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（三）实行“一门式一网式”政府服务。</w:t>
      </w:r>
    </w:p>
    <w:p w14:paraId="3C64D914">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方正楷体简体" w:hAnsi="方正楷体简体" w:eastAsia="方正楷体简体" w:cs="方正楷体简体"/>
          <w:color w:val="auto"/>
          <w:sz w:val="32"/>
          <w:szCs w:val="32"/>
          <w:u w:val="none"/>
        </w:rPr>
      </w:pP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行政服务中心按照各部门审批流程和标准，将企业的承诺书申报实行“前台综合受理、后台分类审批、统一窗口出件”的“一门式一网式”政府服务模式。行政审批实行多事项并联申办</w:t>
      </w:r>
      <w:r>
        <w:rPr>
          <w:rFonts w:hint="eastAsia" w:eastAsia="方正仿宋简体"/>
          <w:color w:val="auto"/>
          <w:sz w:val="32"/>
          <w:szCs w:val="32"/>
          <w:u w:val="none"/>
          <w:lang w:eastAsia="zh-CN" w:bidi="ar"/>
        </w:rPr>
        <w:t>，</w:t>
      </w:r>
      <w:r>
        <w:rPr>
          <w:rFonts w:hint="eastAsia" w:eastAsia="方正仿宋简体"/>
          <w:color w:val="auto"/>
          <w:sz w:val="32"/>
          <w:szCs w:val="32"/>
          <w:u w:val="none"/>
          <w:lang w:val="en-US" w:eastAsia="zh-CN" w:bidi="ar"/>
        </w:rPr>
        <w:t>由相关职能部门制定“双容双承诺”必要材料清单</w:t>
      </w:r>
      <w:r>
        <w:rPr>
          <w:rFonts w:eastAsia="方正仿宋简体"/>
          <w:color w:val="auto"/>
          <w:sz w:val="32"/>
          <w:szCs w:val="32"/>
          <w:u w:val="none"/>
          <w:lang w:bidi="ar"/>
        </w:rPr>
        <w:t>。</w:t>
      </w:r>
      <w:r>
        <w:rPr>
          <w:rFonts w:hint="eastAsia" w:eastAsia="方正仿宋简体"/>
          <w:color w:val="auto"/>
          <w:sz w:val="32"/>
          <w:szCs w:val="32"/>
          <w:u w:val="none"/>
          <w:lang w:val="en-US" w:eastAsia="zh-CN" w:bidi="ar"/>
        </w:rPr>
        <w:t>行政服务中心按清单收取材料后，转有关职能部门对材料进行审核。由行政服务中心组织各部门会签，各部门会签无意见后，由行政服务中心与企业签订承诺书。</w:t>
      </w:r>
      <w:r>
        <w:rPr>
          <w:rFonts w:hint="eastAsia" w:ascii="方正楷体简体" w:hAnsi="方正楷体简体" w:eastAsia="方正楷体简体" w:cs="方正楷体简体"/>
          <w:color w:val="auto"/>
          <w:sz w:val="32"/>
          <w:szCs w:val="32"/>
          <w:u w:val="none"/>
          <w:lang w:bidi="ar"/>
        </w:rPr>
        <w:t>（责任单位：</w:t>
      </w:r>
      <w:r>
        <w:rPr>
          <w:rFonts w:hint="eastAsia" w:ascii="方正楷体简体" w:hAnsi="方正楷体简体" w:eastAsia="方正楷体简体" w:cs="方正楷体简体"/>
          <w:color w:val="auto"/>
          <w:sz w:val="32"/>
          <w:szCs w:val="32"/>
          <w:u w:val="none"/>
          <w:lang w:val="en-US" w:eastAsia="zh-CN" w:bidi="ar"/>
        </w:rPr>
        <w:t>区政务和数据局</w:t>
      </w:r>
      <w:r>
        <w:rPr>
          <w:rFonts w:hint="eastAsia" w:ascii="方正楷体简体" w:hAnsi="方正楷体简体" w:eastAsia="方正楷体简体" w:cs="方正楷体简体"/>
          <w:color w:val="auto"/>
          <w:sz w:val="32"/>
          <w:szCs w:val="32"/>
          <w:u w:val="none"/>
          <w:lang w:bidi="ar"/>
        </w:rPr>
        <w:t>、承担审批职能的相关部门）</w:t>
      </w:r>
    </w:p>
    <w:p w14:paraId="3F187384">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（四）加强区域评估成果运用。</w:t>
      </w:r>
    </w:p>
    <w:p w14:paraId="45024379">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hint="eastAsia" w:ascii="方正楷体简体" w:hAnsi="方正楷体简体" w:eastAsia="方正楷体简体" w:cs="方正楷体简体"/>
          <w:color w:val="auto"/>
          <w:sz w:val="32"/>
          <w:szCs w:val="32"/>
          <w:u w:val="none"/>
        </w:rPr>
      </w:pPr>
      <w:r>
        <w:rPr>
          <w:rFonts w:eastAsia="方正仿宋简体"/>
          <w:color w:val="auto"/>
          <w:sz w:val="32"/>
          <w:szCs w:val="32"/>
          <w:u w:val="none"/>
          <w:lang w:bidi="ar"/>
        </w:rPr>
        <w:t>按照</w:t>
      </w:r>
      <w:r>
        <w:rPr>
          <w:rFonts w:eastAsia="方正仿宋简体"/>
          <w:color w:val="auto"/>
          <w:sz w:val="32"/>
          <w:szCs w:val="32"/>
          <w:highlight w:val="none"/>
          <w:u w:val="none"/>
          <w:lang w:bidi="ar"/>
        </w:rPr>
        <w:t>《</w:t>
      </w:r>
      <w:r>
        <w:rPr>
          <w:rFonts w:hint="eastAsia" w:eastAsia="方正仿宋简体"/>
          <w:color w:val="auto"/>
          <w:sz w:val="32"/>
          <w:szCs w:val="32"/>
          <w:highlight w:val="none"/>
          <w:u w:val="none"/>
          <w:lang w:val="en-US" w:eastAsia="zh-CN" w:bidi="ar"/>
        </w:rPr>
        <w:t>河源市人民政府关于印发河源市全面开展工程</w:t>
      </w:r>
      <w:r>
        <w:rPr>
          <w:rFonts w:eastAsia="方正仿宋简体"/>
          <w:color w:val="auto"/>
          <w:sz w:val="32"/>
          <w:szCs w:val="32"/>
          <w:highlight w:val="none"/>
          <w:u w:val="none"/>
          <w:lang w:bidi="ar"/>
        </w:rPr>
        <w:t>建设项目审批制度改革</w:t>
      </w:r>
      <w:r>
        <w:rPr>
          <w:rFonts w:hint="eastAsia" w:eastAsia="方正仿宋简体"/>
          <w:color w:val="auto"/>
          <w:sz w:val="32"/>
          <w:szCs w:val="32"/>
          <w:highlight w:val="none"/>
          <w:u w:val="none"/>
          <w:lang w:val="en-US" w:eastAsia="zh-CN" w:bidi="ar"/>
        </w:rPr>
        <w:t>实施</w:t>
      </w:r>
      <w:r>
        <w:rPr>
          <w:rFonts w:eastAsia="方正仿宋简体"/>
          <w:color w:val="auto"/>
          <w:sz w:val="32"/>
          <w:szCs w:val="32"/>
          <w:highlight w:val="none"/>
          <w:u w:val="none"/>
          <w:lang w:bidi="ar"/>
        </w:rPr>
        <w:t>方案</w:t>
      </w:r>
      <w:r>
        <w:rPr>
          <w:rFonts w:hint="eastAsia" w:eastAsia="方正仿宋简体"/>
          <w:color w:val="auto"/>
          <w:sz w:val="32"/>
          <w:szCs w:val="32"/>
          <w:highlight w:val="none"/>
          <w:u w:val="none"/>
          <w:lang w:val="en-US" w:eastAsia="zh-CN" w:bidi="ar"/>
        </w:rPr>
        <w:t>的通知</w:t>
      </w:r>
      <w:r>
        <w:rPr>
          <w:rFonts w:eastAsia="方正仿宋简体"/>
          <w:color w:val="auto"/>
          <w:sz w:val="32"/>
          <w:szCs w:val="32"/>
          <w:highlight w:val="none"/>
          <w:u w:val="none"/>
          <w:lang w:bidi="ar"/>
        </w:rPr>
        <w:t>》（</w:t>
      </w:r>
      <w:r>
        <w:rPr>
          <w:rFonts w:hint="eastAsia" w:eastAsia="方正仿宋简体"/>
          <w:color w:val="auto"/>
          <w:sz w:val="32"/>
          <w:szCs w:val="32"/>
          <w:highlight w:val="none"/>
          <w:u w:val="none"/>
          <w:lang w:val="en-US" w:eastAsia="zh-CN" w:bidi="ar"/>
        </w:rPr>
        <w:t>河府</w:t>
      </w:r>
      <w:r>
        <w:rPr>
          <w:rFonts w:hint="eastAsia" w:cs="宋体"/>
          <w:color w:val="auto"/>
          <w:sz w:val="32"/>
          <w:szCs w:val="32"/>
          <w:highlight w:val="none"/>
          <w:u w:val="none"/>
          <w:lang w:bidi="ar"/>
        </w:rPr>
        <w:t>〔</w:t>
      </w:r>
      <w:r>
        <w:rPr>
          <w:rFonts w:eastAsia="Times New Roman"/>
          <w:color w:val="auto"/>
          <w:sz w:val="32"/>
          <w:szCs w:val="32"/>
          <w:highlight w:val="none"/>
          <w:u w:val="none"/>
          <w:lang w:bidi="ar"/>
        </w:rPr>
        <w:t>20</w:t>
      </w:r>
      <w:r>
        <w:rPr>
          <w:rFonts w:hint="eastAsia"/>
          <w:color w:val="auto"/>
          <w:sz w:val="32"/>
          <w:szCs w:val="32"/>
          <w:highlight w:val="none"/>
          <w:u w:val="none"/>
          <w:lang w:val="en-US" w:eastAsia="zh-CN" w:bidi="ar"/>
        </w:rPr>
        <w:t>19</w:t>
      </w:r>
      <w:r>
        <w:rPr>
          <w:rFonts w:hint="eastAsia" w:cs="宋体"/>
          <w:color w:val="auto"/>
          <w:sz w:val="32"/>
          <w:szCs w:val="32"/>
          <w:highlight w:val="none"/>
          <w:u w:val="none"/>
          <w:lang w:bidi="ar"/>
        </w:rPr>
        <w:t>〕</w:t>
      </w:r>
      <w:r>
        <w:rPr>
          <w:rFonts w:hint="eastAsia" w:cs="宋体"/>
          <w:color w:val="auto"/>
          <w:sz w:val="32"/>
          <w:szCs w:val="32"/>
          <w:highlight w:val="none"/>
          <w:u w:val="none"/>
          <w:lang w:val="en-US" w:eastAsia="zh-CN" w:bidi="ar"/>
        </w:rPr>
        <w:t>48</w:t>
      </w:r>
      <w:r>
        <w:rPr>
          <w:rFonts w:eastAsia="方正仿宋简体"/>
          <w:color w:val="auto"/>
          <w:sz w:val="32"/>
          <w:szCs w:val="32"/>
          <w:highlight w:val="none"/>
          <w:u w:val="none"/>
          <w:lang w:bidi="ar"/>
        </w:rPr>
        <w:t>号）要</w:t>
      </w:r>
      <w:r>
        <w:rPr>
          <w:rFonts w:eastAsia="方正仿宋简体"/>
          <w:color w:val="auto"/>
          <w:sz w:val="32"/>
          <w:szCs w:val="32"/>
          <w:u w:val="none"/>
          <w:lang w:bidi="ar"/>
        </w:rPr>
        <w:t>求开展区域评估的特定区域，其评估评价成果可供评估区域内的建设项目使用，对符合成果运用条件的工程建设项目可直接采用相关区域评估成果，区域范围内具体工程项目不再重复评估。同时，推行简易低风险工业项目土地带方案出让工作。</w:t>
      </w:r>
      <w:r>
        <w:rPr>
          <w:rFonts w:hint="eastAsia" w:ascii="方正楷体简体" w:hAnsi="方正楷体简体" w:eastAsia="方正楷体简体" w:cs="方正楷体简体"/>
          <w:color w:val="auto"/>
          <w:kern w:val="0"/>
          <w:sz w:val="32"/>
          <w:szCs w:val="32"/>
          <w:u w:val="none"/>
          <w:lang w:bidi="ar"/>
        </w:rPr>
        <w:t>（责任单位</w:t>
      </w:r>
      <w:r>
        <w:rPr>
          <w:rFonts w:hint="eastAsia" w:ascii="方正楷体简体" w:hAnsi="方正楷体简体" w:eastAsia="方正楷体简体" w:cs="方正楷体简体"/>
          <w:color w:val="auto"/>
          <w:kern w:val="0"/>
          <w:sz w:val="32"/>
          <w:szCs w:val="32"/>
          <w:u w:val="none"/>
          <w:lang w:eastAsia="zh-CN" w:bidi="ar"/>
        </w:rPr>
        <w:t>：</w:t>
      </w:r>
      <w:r>
        <w:rPr>
          <w:rFonts w:hint="eastAsia" w:ascii="方正楷体简体" w:hAnsi="方正楷体简体" w:eastAsia="方正楷体简体" w:cs="方正楷体简体"/>
          <w:color w:val="auto"/>
          <w:kern w:val="0"/>
          <w:sz w:val="32"/>
          <w:szCs w:val="32"/>
          <w:u w:val="none"/>
          <w:lang w:val="en-US" w:eastAsia="zh-CN" w:bidi="ar"/>
        </w:rPr>
        <w:t>区工业园管委会</w:t>
      </w:r>
      <w:r>
        <w:rPr>
          <w:rFonts w:hint="eastAsia" w:ascii="方正楷体简体" w:hAnsi="方正楷体简体" w:eastAsia="方正楷体简体" w:cs="方正楷体简体"/>
          <w:color w:val="auto"/>
          <w:kern w:val="0"/>
          <w:sz w:val="32"/>
          <w:szCs w:val="32"/>
          <w:u w:val="none"/>
          <w:lang w:bidi="ar"/>
        </w:rPr>
        <w:t>、</w:t>
      </w:r>
      <w:r>
        <w:rPr>
          <w:rFonts w:hint="eastAsia" w:ascii="方正楷体简体" w:hAnsi="方正楷体简体" w:eastAsia="方正楷体简体" w:cs="方正楷体简体"/>
          <w:color w:val="auto"/>
          <w:sz w:val="32"/>
          <w:szCs w:val="32"/>
          <w:u w:val="none"/>
          <w:lang w:bidi="ar"/>
        </w:rPr>
        <w:t>承担审批职能的相关部门</w:t>
      </w:r>
      <w:r>
        <w:rPr>
          <w:rFonts w:hint="eastAsia" w:ascii="方正楷体简体" w:hAnsi="方正楷体简体" w:eastAsia="方正楷体简体" w:cs="方正楷体简体"/>
          <w:color w:val="auto"/>
          <w:kern w:val="0"/>
          <w:sz w:val="32"/>
          <w:szCs w:val="32"/>
          <w:u w:val="none"/>
          <w:lang w:bidi="ar"/>
        </w:rPr>
        <w:t>）</w:t>
      </w:r>
    </w:p>
    <w:p w14:paraId="38A62A9C">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（五）实行开工前报备制度。</w:t>
      </w:r>
    </w:p>
    <w:p w14:paraId="5A30B852">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楷体简体" w:hAnsi="方正楷体简体" w:eastAsia="方正楷体简体" w:cs="方正楷体简体"/>
          <w:color w:val="auto"/>
          <w:kern w:val="0"/>
          <w:sz w:val="32"/>
          <w:szCs w:val="32"/>
          <w:u w:val="none"/>
          <w:lang w:bidi="ar"/>
        </w:rPr>
      </w:pP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行政服务中心与企业签订“双向承诺书”后，向企业出具承诺书签订回执，企业凭借回执即可开工建设项目。</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行政服务中心与企业签订“双向承诺书”后需同步将承诺书</w:t>
      </w:r>
      <w:r>
        <w:rPr>
          <w:rFonts w:hint="eastAsia" w:eastAsia="方正仿宋简体"/>
          <w:color w:val="auto"/>
          <w:sz w:val="32"/>
          <w:szCs w:val="32"/>
          <w:u w:val="none"/>
          <w:lang w:val="en-US" w:eastAsia="zh-CN" w:bidi="ar"/>
        </w:rPr>
        <w:t>抄</w:t>
      </w:r>
      <w:r>
        <w:rPr>
          <w:rFonts w:eastAsia="方正仿宋简体"/>
          <w:color w:val="auto"/>
          <w:sz w:val="32"/>
          <w:szCs w:val="32"/>
          <w:u w:val="none"/>
          <w:lang w:bidi="ar"/>
        </w:rPr>
        <w:t>送至各相关职能部门报备。对于依照法律法规必须取得的行政审批（许可），由企业根据承诺内容的完成情况，在竣工验收前提出申请，再由各部门按程序分别核发相应行政许可。</w:t>
      </w:r>
      <w:r>
        <w:rPr>
          <w:rFonts w:ascii="方正楷体简体" w:hAnsi="方正楷体简体" w:eastAsia="方正楷体简体" w:cs="方正楷体简体"/>
          <w:color w:val="auto"/>
          <w:kern w:val="0"/>
          <w:sz w:val="32"/>
          <w:szCs w:val="32"/>
          <w:u w:val="none"/>
          <w:lang w:bidi="ar"/>
        </w:rPr>
        <w:t>（责任单位：</w:t>
      </w:r>
      <w:r>
        <w:rPr>
          <w:rFonts w:hint="eastAsia" w:ascii="方正楷体简体" w:hAnsi="方正楷体简体" w:eastAsia="方正楷体简体" w:cs="方正楷体简体"/>
          <w:color w:val="auto"/>
          <w:kern w:val="0"/>
          <w:sz w:val="32"/>
          <w:szCs w:val="32"/>
          <w:u w:val="none"/>
          <w:lang w:val="en-US" w:eastAsia="zh-CN" w:bidi="ar"/>
        </w:rPr>
        <w:t>区</w:t>
      </w:r>
      <w:r>
        <w:rPr>
          <w:rFonts w:ascii="方正楷体简体" w:hAnsi="方正楷体简体" w:eastAsia="方正楷体简体" w:cs="方正楷体简体"/>
          <w:color w:val="auto"/>
          <w:kern w:val="0"/>
          <w:sz w:val="32"/>
          <w:szCs w:val="32"/>
          <w:u w:val="none"/>
          <w:lang w:bidi="ar"/>
        </w:rPr>
        <w:t>政数局，承担审批职能的相关部门）</w:t>
      </w:r>
    </w:p>
    <w:p w14:paraId="28698D11">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（六）实施全过程监管制度。</w:t>
      </w:r>
    </w:p>
    <w:p w14:paraId="24E3C4B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楷体简体" w:hAnsi="方正楷体简体" w:eastAsia="方正楷体简体" w:cs="方正楷体简体"/>
          <w:color w:val="auto"/>
          <w:kern w:val="21"/>
          <w:sz w:val="32"/>
          <w:szCs w:val="32"/>
          <w:u w:val="none"/>
          <w:lang w:bidi="ar"/>
        </w:rPr>
      </w:pPr>
      <w:r>
        <w:rPr>
          <w:rFonts w:eastAsia="方正仿宋简体"/>
          <w:color w:val="auto"/>
          <w:sz w:val="32"/>
          <w:szCs w:val="32"/>
          <w:u w:val="none"/>
          <w:lang w:bidi="ar"/>
        </w:rPr>
        <w:t>各审批部门应按照事项的特征建立相应的监督机制，制定内容详细、标准明确的监督监管工作指南，严格按照指南的要求开展监督监管工作。在项目直接落地前，审批部门要提前介入，认真审查企业是否按照规定和标准作出承诺，依法依规选择勘察、设计、评审、施工、监理单位；在项目建设过程中，重点监管项目单位是否严格按承诺开展施工，保证工程质量和安全；在办理相关审批事项时，实行容缺受理机制（企业承诺后补）；在项目</w:t>
      </w:r>
      <w:r>
        <w:rPr>
          <w:rFonts w:eastAsia="方正仿宋简体"/>
          <w:color w:val="auto"/>
          <w:kern w:val="21"/>
          <w:sz w:val="32"/>
          <w:szCs w:val="32"/>
          <w:u w:val="none"/>
          <w:lang w:bidi="ar"/>
        </w:rPr>
        <w:t>竣工后，各有关审批部门要及时按承诺要求进行验收。</w:t>
      </w:r>
      <w:r>
        <w:rPr>
          <w:rFonts w:hint="eastAsia" w:eastAsia="方正仿宋简体"/>
          <w:color w:val="auto"/>
          <w:kern w:val="21"/>
          <w:sz w:val="32"/>
          <w:szCs w:val="32"/>
          <w:u w:val="none"/>
          <w:lang w:val="en-US" w:eastAsia="zh-CN" w:bidi="ar"/>
        </w:rPr>
        <w:t>自项目签订双向承诺书之日起6个月内，企业未办好施工许可证的，区住建部门应及时责令项目暂时停工，并提请实施企业投资项目“双容双承诺”直接落地改革工作领导小组商讨项目后续工作开展。</w:t>
      </w:r>
      <w:r>
        <w:rPr>
          <w:rFonts w:ascii="方正楷体简体" w:hAnsi="方正楷体简体" w:eastAsia="方正楷体简体" w:cs="方正楷体简体"/>
          <w:color w:val="auto"/>
          <w:kern w:val="21"/>
          <w:sz w:val="32"/>
          <w:szCs w:val="32"/>
          <w:u w:val="none"/>
          <w:lang w:bidi="ar"/>
        </w:rPr>
        <w:t>（责任单位：承担审批职能的相关部门）</w:t>
      </w:r>
    </w:p>
    <w:p w14:paraId="4201C8E1">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（七）推行验收事项标准化、科学化。</w:t>
      </w:r>
    </w:p>
    <w:p w14:paraId="0717D8B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楷体简体" w:hAnsi="方正楷体简体" w:eastAsia="方正楷体简体" w:cs="方正楷体简体"/>
          <w:color w:val="auto"/>
          <w:kern w:val="21"/>
          <w:sz w:val="32"/>
          <w:szCs w:val="32"/>
          <w:u w:val="none"/>
          <w:lang w:bidi="ar"/>
        </w:rPr>
      </w:pPr>
      <w:r>
        <w:rPr>
          <w:rFonts w:eastAsia="方正仿宋简体"/>
          <w:color w:val="auto"/>
          <w:sz w:val="32"/>
          <w:szCs w:val="32"/>
          <w:u w:val="none"/>
          <w:lang w:bidi="ar"/>
        </w:rPr>
        <w:t>项目在竣工前达到验收条件的，由企业按承诺书的要求向验收部门递交验收申请，验收部门严格执行国家及省、市相关行业主管部门制定和发布的投资项目验收事项标准进行验收。验收事项不互为前置条件（水电验收除外）。验收部门根据上述验收事项标准，对竣工验收的项目，作出同意投产、限期整改或者全面整顿的意见，验收合格后颁发相关证照。凡验收不合格的，一律不得投产。能整改的限期整改；无法整改的，依法作出处理。</w:t>
      </w:r>
      <w:r>
        <w:rPr>
          <w:rFonts w:ascii="方正楷体简体" w:hAnsi="方正楷体简体" w:eastAsia="方正楷体简体" w:cs="方正楷体简体"/>
          <w:color w:val="auto"/>
          <w:kern w:val="21"/>
          <w:sz w:val="32"/>
          <w:szCs w:val="32"/>
          <w:u w:val="none"/>
          <w:lang w:bidi="ar"/>
        </w:rPr>
        <w:t>（责任单位：承担审批职能的相关部门）</w:t>
      </w:r>
    </w:p>
    <w:p w14:paraId="0EA7AE6E">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2"/>
        <w:rPr>
          <w:rFonts w:eastAsia="方正楷体简体"/>
          <w:color w:val="auto"/>
          <w:sz w:val="32"/>
          <w:szCs w:val="32"/>
          <w:u w:val="none"/>
          <w:lang w:bidi="ar"/>
        </w:rPr>
      </w:pPr>
      <w:r>
        <w:rPr>
          <w:rFonts w:eastAsia="方正楷体简体"/>
          <w:color w:val="auto"/>
          <w:sz w:val="32"/>
          <w:szCs w:val="32"/>
          <w:u w:val="none"/>
          <w:lang w:bidi="ar"/>
        </w:rPr>
        <w:t>（八）建立严格的责任追究制度。</w:t>
      </w:r>
    </w:p>
    <w:p w14:paraId="6D6B3BAB">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方正楷体简体" w:hAnsi="方正楷体简体" w:eastAsia="方正楷体简体" w:cs="方正楷体简体"/>
          <w:color w:val="auto"/>
          <w:kern w:val="21"/>
          <w:sz w:val="32"/>
          <w:szCs w:val="32"/>
          <w:u w:val="none"/>
          <w:lang w:bidi="ar"/>
        </w:rPr>
      </w:pPr>
      <w:r>
        <w:rPr>
          <w:rFonts w:eastAsia="方正仿宋简体"/>
          <w:color w:val="auto"/>
          <w:sz w:val="32"/>
          <w:szCs w:val="32"/>
          <w:u w:val="none"/>
          <w:lang w:bidi="ar"/>
        </w:rPr>
        <w:t>加大对违法违规行为的处罚力度，项目不能履行承诺以及未能及时完善相关手续的，造成的经济损失由企业自行承担；对于监管、检查过程中发现的问题，责任单位必须及时督促整改落实，并向社会公示，接受社会监督。勘察、设计、评审、施工、监理等单位有违法行为的，依法追究相应责任。强化信用监管，将承诺企业及相关负责人的相关履行承诺情况按照国家、省有关规定纳入信用记录，依托信用信息共享平台和行业信用信息系统，加强信用信息互联互通。对未履行承诺的企业及相关负责人，依法依规实行相关行业和市场禁入的惩罚。探索建立健全信用修复、异议处理机制。</w:t>
      </w:r>
      <w:r>
        <w:rPr>
          <w:rFonts w:ascii="方正楷体简体" w:hAnsi="方正楷体简体" w:eastAsia="方正楷体简体" w:cs="方正楷体简体"/>
          <w:color w:val="auto"/>
          <w:kern w:val="21"/>
          <w:sz w:val="32"/>
          <w:szCs w:val="32"/>
          <w:u w:val="none"/>
          <w:lang w:bidi="ar"/>
        </w:rPr>
        <w:t>（责任单位：承担审批职能的相关部门）</w:t>
      </w:r>
    </w:p>
    <w:p w14:paraId="130F233C">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1"/>
        <w:rPr>
          <w:rFonts w:eastAsia="方正黑体_GBK"/>
          <w:color w:val="auto"/>
          <w:sz w:val="32"/>
          <w:szCs w:val="32"/>
          <w:u w:val="none"/>
        </w:rPr>
      </w:pPr>
      <w:r>
        <w:rPr>
          <w:rFonts w:eastAsia="方正黑体_GBK"/>
          <w:color w:val="auto"/>
          <w:sz w:val="32"/>
          <w:szCs w:val="32"/>
          <w:u w:val="none"/>
          <w:lang w:bidi="ar"/>
        </w:rPr>
        <w:t>四、保障措施</w:t>
      </w:r>
    </w:p>
    <w:p w14:paraId="3C5D6FEA">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楷体简体"/>
          <w:color w:val="auto"/>
          <w:sz w:val="32"/>
          <w:szCs w:val="32"/>
          <w:u w:val="none"/>
          <w:lang w:bidi="ar"/>
        </w:rPr>
        <w:t>（一）加强组织领导。</w:t>
      </w:r>
      <w:r>
        <w:rPr>
          <w:rFonts w:eastAsia="方正仿宋简体"/>
          <w:color w:val="auto"/>
          <w:sz w:val="32"/>
          <w:szCs w:val="32"/>
          <w:u w:val="none"/>
          <w:lang w:bidi="ar"/>
        </w:rPr>
        <w:t>成立由</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政府主要领导任组长、分管领导任副组长、有关审批职能部门为成员的“实施企业投资项目‘双容双承诺’直接落地改革工作领导小组”，办公室设在</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政数局，定期召集工作例会，协调解决企业投资项目直接落地的立项、报建、施工以及竣工验收过程中遇到的突出困难和重大问题。各</w:t>
      </w:r>
      <w:r>
        <w:rPr>
          <w:rFonts w:hint="eastAsia" w:eastAsia="方正仿宋简体"/>
          <w:color w:val="auto"/>
          <w:sz w:val="32"/>
          <w:szCs w:val="32"/>
          <w:u w:val="none"/>
          <w:lang w:val="en-US" w:eastAsia="zh-CN" w:bidi="ar"/>
        </w:rPr>
        <w:t>镇</w:t>
      </w:r>
      <w:r>
        <w:rPr>
          <w:rFonts w:eastAsia="方正仿宋简体"/>
          <w:color w:val="auto"/>
          <w:sz w:val="32"/>
          <w:szCs w:val="32"/>
          <w:u w:val="none"/>
          <w:lang w:bidi="ar"/>
        </w:rPr>
        <w:t>（</w:t>
      </w:r>
      <w:r>
        <w:rPr>
          <w:rFonts w:hint="eastAsia" w:eastAsia="方正仿宋简体"/>
          <w:color w:val="auto"/>
          <w:sz w:val="32"/>
          <w:szCs w:val="32"/>
          <w:u w:val="none"/>
          <w:lang w:val="en-US" w:eastAsia="zh-CN" w:bidi="ar"/>
        </w:rPr>
        <w:t>街道</w:t>
      </w:r>
      <w:r>
        <w:rPr>
          <w:rFonts w:eastAsia="方正仿宋简体"/>
          <w:color w:val="auto"/>
          <w:sz w:val="32"/>
          <w:szCs w:val="32"/>
          <w:u w:val="none"/>
          <w:lang w:bidi="ar"/>
        </w:rPr>
        <w:t>）要参照</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的做法成立相应工作领导小组，并建立相关工作机制。</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行政服务中心要设立相关服务专窗，由发改、工</w:t>
      </w:r>
      <w:r>
        <w:rPr>
          <w:rFonts w:hint="eastAsia" w:eastAsia="方正仿宋简体"/>
          <w:color w:val="auto"/>
          <w:sz w:val="32"/>
          <w:szCs w:val="32"/>
          <w:u w:val="none"/>
          <w:lang w:val="en-US" w:eastAsia="zh-CN" w:bidi="ar"/>
        </w:rPr>
        <w:t>商</w:t>
      </w:r>
      <w:r>
        <w:rPr>
          <w:rFonts w:eastAsia="方正仿宋简体"/>
          <w:color w:val="auto"/>
          <w:sz w:val="32"/>
          <w:szCs w:val="32"/>
          <w:u w:val="none"/>
          <w:lang w:bidi="ar"/>
        </w:rPr>
        <w:t>信、住建、自然资源、生态环境</w:t>
      </w:r>
      <w:r>
        <w:rPr>
          <w:rFonts w:hint="eastAsia" w:eastAsia="方正仿宋简体"/>
          <w:color w:val="auto"/>
          <w:sz w:val="32"/>
          <w:szCs w:val="32"/>
          <w:u w:val="none"/>
          <w:lang w:eastAsia="zh-CN" w:bidi="ar"/>
        </w:rPr>
        <w:t>、</w:t>
      </w:r>
      <w:r>
        <w:rPr>
          <w:rFonts w:hint="eastAsia" w:eastAsia="方正仿宋简体"/>
          <w:color w:val="auto"/>
          <w:sz w:val="32"/>
          <w:szCs w:val="32"/>
          <w:u w:val="none"/>
          <w:lang w:val="en-US" w:eastAsia="zh-CN" w:bidi="ar"/>
        </w:rPr>
        <w:t>招商、工业园管委会</w:t>
      </w:r>
      <w:r>
        <w:rPr>
          <w:rFonts w:eastAsia="方正仿宋简体"/>
          <w:color w:val="auto"/>
          <w:sz w:val="32"/>
          <w:szCs w:val="32"/>
          <w:u w:val="none"/>
          <w:lang w:bidi="ar"/>
        </w:rPr>
        <w:t>等部门的专责人员组成，负责为企业项目直接落地提供政策、业务指导和服务，确保企业投资项目直接落地改革见成效。</w:t>
      </w:r>
    </w:p>
    <w:p w14:paraId="49C5F0F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楷体简体"/>
          <w:color w:val="auto"/>
          <w:sz w:val="32"/>
          <w:szCs w:val="32"/>
          <w:u w:val="none"/>
          <w:lang w:bidi="ar"/>
        </w:rPr>
        <w:t>（二）构建问题反馈制度。</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行政服务中心不定期对推进过程中遇到的问题进行分析研判，</w:t>
      </w:r>
      <w:r>
        <w:rPr>
          <w:rFonts w:hint="eastAsia" w:eastAsia="方正仿宋简体"/>
          <w:color w:val="auto"/>
          <w:sz w:val="32"/>
          <w:szCs w:val="32"/>
          <w:u w:val="none"/>
          <w:lang w:val="en-US" w:eastAsia="zh-CN" w:bidi="ar"/>
        </w:rPr>
        <w:t>召集相关职能部门</w:t>
      </w:r>
      <w:r>
        <w:rPr>
          <w:rFonts w:eastAsia="方正仿宋简体"/>
          <w:color w:val="auto"/>
          <w:sz w:val="32"/>
          <w:szCs w:val="32"/>
          <w:u w:val="none"/>
          <w:lang w:bidi="ar"/>
        </w:rPr>
        <w:t>研究提出解决方法和改进措施。</w:t>
      </w:r>
    </w:p>
    <w:p w14:paraId="390C0874">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楷体简体"/>
          <w:color w:val="auto"/>
          <w:sz w:val="32"/>
          <w:szCs w:val="32"/>
          <w:u w:val="none"/>
          <w:lang w:bidi="ar"/>
        </w:rPr>
        <w:t>（三）明确责任分工。</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行政服务中心加强与各有关部门的沟通衔接，做好跟踪服务，形成工作合力。各有关部门依据本方案分别制定本部门的实施细则，列出承诺标准、审批清单、审批时限和审批程序。</w:t>
      </w:r>
    </w:p>
    <w:p w14:paraId="40AB88C7">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楷体简体"/>
          <w:color w:val="auto"/>
          <w:sz w:val="32"/>
          <w:szCs w:val="32"/>
          <w:u w:val="none"/>
          <w:lang w:bidi="ar"/>
        </w:rPr>
      </w:pPr>
      <w:r>
        <w:rPr>
          <w:rFonts w:eastAsia="方正楷体简体"/>
          <w:color w:val="auto"/>
          <w:sz w:val="32"/>
          <w:szCs w:val="32"/>
          <w:u w:val="none"/>
          <w:lang w:bidi="ar"/>
        </w:rPr>
        <w:t>（四）加强业务培训。</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行政服务中心及各部门要加大对有关工作人员业务培训力度，积极开展各类培训及集中学习活动，提高相关部门工作人员和企业专办人员业务素质和操作技能，提升综合服务水平。</w:t>
      </w:r>
    </w:p>
    <w:p w14:paraId="3B2A4B12">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楷体简体"/>
          <w:color w:val="auto"/>
          <w:sz w:val="32"/>
          <w:szCs w:val="32"/>
          <w:u w:val="none"/>
          <w:lang w:bidi="ar"/>
        </w:rPr>
        <w:t>（五）及时总结评估。</w:t>
      </w:r>
      <w:r>
        <w:rPr>
          <w:rFonts w:eastAsia="方正仿宋简体"/>
          <w:color w:val="auto"/>
          <w:sz w:val="32"/>
          <w:szCs w:val="32"/>
          <w:u w:val="none"/>
          <w:lang w:bidi="ar"/>
        </w:rPr>
        <w:t>根据实际工作进展，对改革工作进行评估，边试行、边总结、边提升，及时总结改革成效经验和调整优化改革实施方案，逐步将改革成果全面推广。</w:t>
      </w:r>
    </w:p>
    <w:p w14:paraId="297EB16C">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楷体简体"/>
          <w:color w:val="auto"/>
          <w:sz w:val="32"/>
          <w:szCs w:val="32"/>
          <w:u w:val="none"/>
          <w:lang w:bidi="ar"/>
        </w:rPr>
        <w:t>（</w:t>
      </w:r>
      <w:r>
        <w:rPr>
          <w:rFonts w:hint="eastAsia" w:eastAsia="方正楷体简体"/>
          <w:color w:val="auto"/>
          <w:sz w:val="32"/>
          <w:szCs w:val="32"/>
          <w:u w:val="none"/>
          <w:lang w:val="en-US" w:eastAsia="zh-CN" w:bidi="ar"/>
        </w:rPr>
        <w:t>六</w:t>
      </w:r>
      <w:r>
        <w:rPr>
          <w:rFonts w:eastAsia="方正楷体简体"/>
          <w:color w:val="auto"/>
          <w:sz w:val="32"/>
          <w:szCs w:val="32"/>
          <w:u w:val="none"/>
          <w:lang w:bidi="ar"/>
        </w:rPr>
        <w:t>）实施时间。</w:t>
      </w:r>
      <w:r>
        <w:rPr>
          <w:rFonts w:eastAsia="方正仿宋简体"/>
          <w:color w:val="auto"/>
          <w:sz w:val="32"/>
          <w:szCs w:val="32"/>
          <w:u w:val="none"/>
          <w:lang w:bidi="ar"/>
        </w:rPr>
        <w:t>本改革实施方案自印发之日起实施，有效期5年。</w:t>
      </w:r>
    </w:p>
    <w:p w14:paraId="5205F995">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p>
    <w:p w14:paraId="6BB8ADA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附件：1.“双容双承诺”项目准入负面清单</w:t>
      </w:r>
    </w:p>
    <w:p w14:paraId="762E1C31">
      <w:pPr>
        <w:keepNext w:val="0"/>
        <w:keepLines w:val="0"/>
        <w:pageBreakBefore w:val="0"/>
        <w:kinsoku/>
        <w:wordWrap/>
        <w:overflowPunct/>
        <w:topLinePunct w:val="0"/>
        <w:autoSpaceDE/>
        <w:autoSpaceDN/>
        <w:bidi w:val="0"/>
        <w:adjustRightInd/>
        <w:snapToGrid/>
        <w:spacing w:line="620" w:lineRule="exact"/>
        <w:ind w:left="1600"/>
        <w:textAlignment w:val="auto"/>
        <w:rPr>
          <w:rFonts w:eastAsia="方正仿宋简体"/>
          <w:color w:val="auto"/>
          <w:sz w:val="32"/>
          <w:szCs w:val="32"/>
          <w:u w:val="none"/>
        </w:rPr>
      </w:pPr>
      <w:r>
        <w:rPr>
          <w:rFonts w:eastAsia="方正仿宋简体"/>
          <w:color w:val="auto"/>
          <w:sz w:val="32"/>
          <w:szCs w:val="32"/>
          <w:u w:val="none"/>
          <w:lang w:bidi="ar"/>
        </w:rPr>
        <w:t>2.产业投资项目“双容双承诺”直接落地流程图</w:t>
      </w:r>
    </w:p>
    <w:p w14:paraId="6818B025">
      <w:pPr>
        <w:keepNext w:val="0"/>
        <w:keepLines w:val="0"/>
        <w:pageBreakBefore w:val="0"/>
        <w:kinsoku/>
        <w:wordWrap/>
        <w:overflowPunct/>
        <w:topLinePunct w:val="0"/>
        <w:autoSpaceDE/>
        <w:autoSpaceDN/>
        <w:bidi w:val="0"/>
        <w:adjustRightInd/>
        <w:snapToGrid/>
        <w:spacing w:line="620" w:lineRule="exact"/>
        <w:ind w:left="1600"/>
        <w:textAlignment w:val="auto"/>
        <w:rPr>
          <w:rFonts w:eastAsia="方正仿宋简体"/>
          <w:color w:val="auto"/>
          <w:sz w:val="32"/>
          <w:szCs w:val="32"/>
          <w:u w:val="none"/>
        </w:rPr>
      </w:pPr>
      <w:r>
        <w:rPr>
          <w:rFonts w:eastAsia="方正仿宋简体"/>
          <w:color w:val="auto"/>
          <w:sz w:val="32"/>
          <w:szCs w:val="32"/>
          <w:u w:val="none"/>
          <w:lang w:bidi="ar"/>
        </w:rPr>
        <w:t>3.产业投资项目“双容双承诺”直接落地双向承诺书</w:t>
      </w:r>
    </w:p>
    <w:p w14:paraId="54098228">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sz w:val="32"/>
          <w:szCs w:val="32"/>
          <w:u w:val="none"/>
        </w:rPr>
      </w:pPr>
    </w:p>
    <w:p w14:paraId="0E0365EE">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sz w:val="32"/>
          <w:szCs w:val="32"/>
          <w:u w:val="none"/>
        </w:rPr>
      </w:pPr>
    </w:p>
    <w:p w14:paraId="6FB3F51D">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sz w:val="32"/>
          <w:szCs w:val="32"/>
          <w:u w:val="none"/>
          <w:lang w:bidi="ar"/>
        </w:rPr>
        <w:sectPr>
          <w:headerReference r:id="rId3" w:type="default"/>
          <w:footerReference r:id="rId4" w:type="default"/>
          <w:pgSz w:w="11906" w:h="16838"/>
          <w:pgMar w:top="1871" w:right="1531" w:bottom="1871" w:left="1531" w:header="851" w:footer="1644" w:gutter="0"/>
          <w:cols w:space="720" w:num="1"/>
          <w:docGrid w:type="lines" w:linePitch="318" w:charSpace="0"/>
        </w:sectPr>
      </w:pPr>
    </w:p>
    <w:p w14:paraId="4C5F0BC3">
      <w:pPr>
        <w:keepNext w:val="0"/>
        <w:keepLines w:val="0"/>
        <w:pageBreakBefore w:val="0"/>
        <w:kinsoku/>
        <w:wordWrap/>
        <w:overflowPunct/>
        <w:topLinePunct w:val="0"/>
        <w:autoSpaceDE/>
        <w:autoSpaceDN/>
        <w:bidi w:val="0"/>
        <w:adjustRightInd/>
        <w:snapToGrid/>
        <w:spacing w:line="620" w:lineRule="exact"/>
        <w:textAlignment w:val="auto"/>
        <w:outlineLvl w:val="0"/>
        <w:rPr>
          <w:rFonts w:eastAsia="方正黑体_GBK"/>
          <w:snapToGrid w:val="0"/>
          <w:color w:val="auto"/>
          <w:sz w:val="32"/>
          <w:szCs w:val="32"/>
          <w:u w:val="none"/>
        </w:rPr>
      </w:pPr>
      <w:r>
        <w:rPr>
          <w:rFonts w:eastAsia="方正黑体_GBK"/>
          <w:snapToGrid w:val="0"/>
          <w:color w:val="auto"/>
          <w:sz w:val="32"/>
          <w:szCs w:val="32"/>
          <w:u w:val="none"/>
          <w:lang w:bidi="ar"/>
        </w:rPr>
        <w:t>附件1</w:t>
      </w:r>
    </w:p>
    <w:p w14:paraId="4050A01E">
      <w:pPr>
        <w:keepNext w:val="0"/>
        <w:keepLines w:val="0"/>
        <w:pageBreakBefore w:val="0"/>
        <w:kinsoku/>
        <w:wordWrap/>
        <w:overflowPunct/>
        <w:topLinePunct w:val="0"/>
        <w:autoSpaceDE/>
        <w:autoSpaceDN/>
        <w:bidi w:val="0"/>
        <w:adjustRightInd/>
        <w:snapToGrid/>
        <w:spacing w:line="620" w:lineRule="exact"/>
        <w:textAlignment w:val="auto"/>
        <w:rPr>
          <w:rFonts w:eastAsia="Times New Roman"/>
          <w:snapToGrid w:val="0"/>
          <w:color w:val="auto"/>
          <w:sz w:val="36"/>
          <w:szCs w:val="36"/>
          <w:u w:val="none"/>
        </w:rPr>
      </w:pPr>
    </w:p>
    <w:p w14:paraId="4C1DCD52">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简体"/>
          <w:snapToGrid w:val="0"/>
          <w:color w:val="auto"/>
          <w:sz w:val="44"/>
          <w:szCs w:val="44"/>
          <w:u w:val="none"/>
          <w:lang w:bidi="ar"/>
        </w:rPr>
      </w:pPr>
      <w:r>
        <w:rPr>
          <w:rFonts w:eastAsia="方正小标宋简体"/>
          <w:snapToGrid w:val="0"/>
          <w:color w:val="auto"/>
          <w:sz w:val="44"/>
          <w:szCs w:val="44"/>
          <w:u w:val="none"/>
          <w:lang w:bidi="ar"/>
        </w:rPr>
        <w:t>“双容双承诺”项目准入负面清单</w:t>
      </w:r>
    </w:p>
    <w:p w14:paraId="01CCE554">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简体"/>
          <w:snapToGrid w:val="0"/>
          <w:color w:val="auto"/>
          <w:sz w:val="44"/>
          <w:szCs w:val="44"/>
          <w:u w:val="none"/>
          <w:lang w:bidi="ar"/>
        </w:rPr>
      </w:pPr>
    </w:p>
    <w:p w14:paraId="57D7FB1B">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一、国家发展改革委、商务部《市场准入负面清单（2020年版）》（</w:t>
      </w:r>
      <w:r>
        <w:rPr>
          <w:rFonts w:eastAsia="方正仿宋简体"/>
          <w:color w:val="auto"/>
          <w:sz w:val="32"/>
          <w:u w:val="none"/>
          <w:lang w:val="zh-CN" w:bidi="ar"/>
        </w:rPr>
        <w:t>发改体改规</w:t>
      </w:r>
      <w:r>
        <w:rPr>
          <w:rFonts w:eastAsia="方正仿宋简体"/>
          <w:color w:val="auto"/>
          <w:sz w:val="32"/>
          <w:szCs w:val="32"/>
          <w:u w:val="none"/>
          <w:lang w:bidi="ar"/>
        </w:rPr>
        <w:t>〔</w:t>
      </w:r>
      <w:r>
        <w:rPr>
          <w:rFonts w:eastAsia="方正仿宋简体"/>
          <w:color w:val="auto"/>
          <w:sz w:val="32"/>
          <w:szCs w:val="32"/>
          <w:u w:val="none"/>
          <w:lang w:val="zh-CN" w:bidi="ar"/>
        </w:rPr>
        <w:t>2020</w:t>
      </w:r>
      <w:r>
        <w:rPr>
          <w:rFonts w:eastAsia="方正仿宋简体"/>
          <w:color w:val="auto"/>
          <w:sz w:val="32"/>
          <w:szCs w:val="32"/>
          <w:u w:val="none"/>
          <w:lang w:bidi="ar"/>
        </w:rPr>
        <w:t>〕</w:t>
      </w:r>
      <w:r>
        <w:rPr>
          <w:rFonts w:eastAsia="方正仿宋简体"/>
          <w:color w:val="auto"/>
          <w:sz w:val="32"/>
          <w:u w:val="none"/>
          <w:lang w:val="zh-CN" w:bidi="ar"/>
        </w:rPr>
        <w:t>1880号</w:t>
      </w:r>
      <w:r>
        <w:rPr>
          <w:rFonts w:eastAsia="方正仿宋简体"/>
          <w:color w:val="auto"/>
          <w:sz w:val="32"/>
          <w:szCs w:val="32"/>
          <w:u w:val="none"/>
          <w:lang w:bidi="ar"/>
        </w:rPr>
        <w:t>）规定的禁止准入、许可准入事项；</w:t>
      </w:r>
    </w:p>
    <w:p w14:paraId="62A30CC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二、国家发展改革委《产业结构调整指导目录（2019年</w:t>
      </w:r>
      <w:r>
        <w:rPr>
          <w:rFonts w:hint="eastAsia" w:eastAsia="方正仿宋简体"/>
          <w:color w:val="auto"/>
          <w:sz w:val="32"/>
          <w:szCs w:val="32"/>
          <w:u w:val="none"/>
          <w:lang w:bidi="ar"/>
        </w:rPr>
        <w:t>本</w:t>
      </w:r>
      <w:r>
        <w:rPr>
          <w:rFonts w:eastAsia="方正仿宋简体"/>
          <w:color w:val="auto"/>
          <w:sz w:val="32"/>
          <w:szCs w:val="32"/>
          <w:u w:val="none"/>
          <w:lang w:bidi="ar"/>
        </w:rPr>
        <w:t>）》规定的限制类、淘汰类项目；</w:t>
      </w:r>
    </w:p>
    <w:p w14:paraId="24461F6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w:t>
      </w:r>
      <w:r>
        <w:rPr>
          <w:rFonts w:hint="eastAsia" w:eastAsia="方正仿宋简体"/>
          <w:color w:val="auto"/>
          <w:sz w:val="32"/>
          <w:szCs w:val="32"/>
          <w:u w:val="none"/>
          <w:lang w:bidi="ar"/>
        </w:rPr>
        <w:t>《广东省大气污染防治条例》、《广东省水污染防治条例》、《河源市“三线一单”生态环境分区管控方案》及园区规划环评规定禁止建设的项目</w:t>
      </w:r>
      <w:r>
        <w:rPr>
          <w:rFonts w:eastAsia="方正仿宋简体"/>
          <w:color w:val="auto"/>
          <w:sz w:val="32"/>
          <w:szCs w:val="32"/>
          <w:u w:val="none"/>
          <w:lang w:bidi="ar"/>
        </w:rPr>
        <w:t>；</w:t>
      </w:r>
    </w:p>
    <w:p w14:paraId="798BBBB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highlight w:val="yellow"/>
          <w:u w:val="none"/>
        </w:rPr>
      </w:pPr>
      <w:r>
        <w:rPr>
          <w:rFonts w:eastAsia="方正仿宋简体"/>
          <w:color w:val="auto"/>
          <w:sz w:val="32"/>
          <w:szCs w:val="32"/>
          <w:highlight w:val="none"/>
          <w:u w:val="none"/>
          <w:lang w:bidi="ar"/>
        </w:rPr>
        <w:t>四、年综合能源消费量5000吨标准煤以上的项目；</w:t>
      </w:r>
    </w:p>
    <w:p w14:paraId="1300509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五、高速公路、铁路等大型线性工程，或者其他涉及环境敏感区及“邻避”问题的大型基础设施、工业企业项目；</w:t>
      </w:r>
    </w:p>
    <w:p w14:paraId="08A5CF8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六、石油、煤炭及其他燃料加工业，化学原料和化学制品制造业，非金属矿物制品业，黑色金属冶炼和压延加工业，有色金属冶炼和压延加工业，电力、热力生产和供应业等高耗能行业和高排放行业的项目；</w:t>
      </w:r>
    </w:p>
    <w:p w14:paraId="75A8DAA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七、矿山、金属冶炼及用于生产、存储、装卸危险物品等高安全风险的项目；</w:t>
      </w:r>
    </w:p>
    <w:p w14:paraId="04BD3609">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highlight w:val="none"/>
          <w:u w:val="none"/>
        </w:rPr>
      </w:pPr>
      <w:r>
        <w:rPr>
          <w:rFonts w:eastAsia="方正仿宋简体"/>
          <w:color w:val="auto"/>
          <w:sz w:val="32"/>
          <w:szCs w:val="32"/>
          <w:highlight w:val="none"/>
          <w:u w:val="none"/>
          <w:lang w:bidi="ar"/>
        </w:rPr>
        <w:t>八、房地产、医院、学校、养老院等项目；</w:t>
      </w:r>
    </w:p>
    <w:p w14:paraId="08B88D54">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highlight w:val="none"/>
          <w:u w:val="none"/>
        </w:rPr>
      </w:pPr>
      <w:r>
        <w:rPr>
          <w:rFonts w:eastAsia="方正仿宋简体"/>
          <w:color w:val="auto"/>
          <w:sz w:val="32"/>
          <w:szCs w:val="32"/>
          <w:highlight w:val="none"/>
          <w:u w:val="none"/>
          <w:lang w:bidi="ar"/>
        </w:rPr>
        <w:t>九、关系国家安全、生态安全、涉及重大生产力布局、战略性资源开发的项目；</w:t>
      </w:r>
    </w:p>
    <w:p w14:paraId="28D73CF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十、失信联合惩戒对象建设的项目；</w:t>
      </w:r>
    </w:p>
    <w:p w14:paraId="0B729A1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十一、未履行“双向承诺书”且未完成信用修复的企业再次申请建设的项目。</w:t>
      </w:r>
    </w:p>
    <w:p w14:paraId="6CD3CD9B">
      <w:pPr>
        <w:keepNext w:val="0"/>
        <w:keepLines w:val="0"/>
        <w:pageBreakBefore w:val="0"/>
        <w:kinsoku/>
        <w:wordWrap/>
        <w:overflowPunct/>
        <w:topLinePunct w:val="0"/>
        <w:autoSpaceDE/>
        <w:autoSpaceDN/>
        <w:bidi w:val="0"/>
        <w:adjustRightInd/>
        <w:snapToGrid/>
        <w:spacing w:line="620" w:lineRule="exact"/>
        <w:textAlignment w:val="auto"/>
        <w:rPr>
          <w:rFonts w:hint="eastAsia" w:ascii="方正黑体简体" w:eastAsia="方正黑体简体"/>
          <w:color w:val="auto"/>
          <w:sz w:val="32"/>
          <w:szCs w:val="32"/>
          <w:u w:val="none"/>
        </w:rPr>
      </w:pPr>
    </w:p>
    <w:p w14:paraId="323FB496">
      <w:pPr>
        <w:keepNext w:val="0"/>
        <w:keepLines w:val="0"/>
        <w:pageBreakBefore w:val="0"/>
        <w:kinsoku/>
        <w:wordWrap/>
        <w:overflowPunct/>
        <w:topLinePunct w:val="0"/>
        <w:autoSpaceDE/>
        <w:autoSpaceDN/>
        <w:bidi w:val="0"/>
        <w:adjustRightInd/>
        <w:snapToGrid/>
        <w:spacing w:line="620" w:lineRule="exact"/>
        <w:textAlignment w:val="auto"/>
        <w:rPr>
          <w:rFonts w:hint="eastAsia" w:ascii="方正黑体简体" w:eastAsia="方正黑体简体"/>
          <w:color w:val="auto"/>
          <w:sz w:val="32"/>
          <w:szCs w:val="32"/>
          <w:u w:val="none"/>
        </w:rPr>
      </w:pPr>
    </w:p>
    <w:p w14:paraId="3BAAB909">
      <w:pPr>
        <w:keepNext w:val="0"/>
        <w:keepLines w:val="0"/>
        <w:pageBreakBefore w:val="0"/>
        <w:kinsoku/>
        <w:wordWrap/>
        <w:overflowPunct/>
        <w:topLinePunct w:val="0"/>
        <w:autoSpaceDE/>
        <w:autoSpaceDN/>
        <w:bidi w:val="0"/>
        <w:adjustRightInd/>
        <w:snapToGrid/>
        <w:spacing w:line="620" w:lineRule="exact"/>
        <w:textAlignment w:val="auto"/>
        <w:rPr>
          <w:rFonts w:hint="eastAsia" w:ascii="方正黑体简体" w:eastAsia="方正黑体简体"/>
          <w:color w:val="auto"/>
          <w:sz w:val="32"/>
          <w:szCs w:val="32"/>
          <w:u w:val="none"/>
        </w:rPr>
      </w:pPr>
    </w:p>
    <w:p w14:paraId="5127ACEA">
      <w:pPr>
        <w:keepNext w:val="0"/>
        <w:keepLines w:val="0"/>
        <w:pageBreakBefore w:val="0"/>
        <w:kinsoku/>
        <w:wordWrap/>
        <w:overflowPunct/>
        <w:topLinePunct w:val="0"/>
        <w:autoSpaceDE/>
        <w:autoSpaceDN/>
        <w:bidi w:val="0"/>
        <w:adjustRightInd/>
        <w:snapToGrid/>
        <w:spacing w:line="620" w:lineRule="exact"/>
        <w:textAlignment w:val="auto"/>
        <w:rPr>
          <w:rFonts w:ascii="方正黑体简体" w:eastAsia="方正黑体简体"/>
          <w:color w:val="auto"/>
          <w:sz w:val="32"/>
          <w:szCs w:val="32"/>
          <w:u w:val="none"/>
        </w:rPr>
        <w:sectPr>
          <w:pgSz w:w="11906" w:h="16838"/>
          <w:pgMar w:top="1871" w:right="1531" w:bottom="1871" w:left="1531" w:header="851" w:footer="1644" w:gutter="0"/>
          <w:cols w:space="720" w:num="1"/>
          <w:docGrid w:type="lines" w:linePitch="312" w:charSpace="0"/>
        </w:sectPr>
      </w:pPr>
    </w:p>
    <w:p w14:paraId="36083F5C">
      <w:pPr>
        <w:keepNext w:val="0"/>
        <w:keepLines w:val="0"/>
        <w:pageBreakBefore w:val="0"/>
        <w:kinsoku/>
        <w:wordWrap/>
        <w:overflowPunct/>
        <w:topLinePunct w:val="0"/>
        <w:autoSpaceDE/>
        <w:autoSpaceDN/>
        <w:bidi w:val="0"/>
        <w:adjustRightInd/>
        <w:snapToGrid/>
        <w:spacing w:line="620" w:lineRule="exact"/>
        <w:jc w:val="left"/>
        <w:textAlignment w:val="auto"/>
        <w:outlineLvl w:val="0"/>
        <w:rPr>
          <w:rFonts w:eastAsia="方正黑体_GBK"/>
          <w:color w:val="auto"/>
          <w:sz w:val="36"/>
          <w:szCs w:val="36"/>
          <w:u w:val="none"/>
          <w:shd w:val="clear" w:color="auto" w:fill="FFFFFF"/>
        </w:rPr>
      </w:pPr>
      <w:r>
        <w:rPr>
          <w:rFonts w:eastAsia="方正黑体_GBK"/>
          <w:color w:val="auto"/>
          <w:sz w:val="32"/>
          <w:szCs w:val="32"/>
          <w:u w:val="none"/>
          <w:shd w:val="clear" w:color="auto" w:fill="FFFFFF"/>
          <w:lang w:bidi="ar"/>
        </w:rPr>
        <w:t>附件2</w:t>
      </w:r>
    </w:p>
    <w:p w14:paraId="1F9FB753">
      <w:pPr>
        <w:keepNext w:val="0"/>
        <w:keepLines w:val="0"/>
        <w:pageBreakBefore w:val="0"/>
        <w:kinsoku/>
        <w:wordWrap/>
        <w:overflowPunct/>
        <w:topLinePunct w:val="0"/>
        <w:autoSpaceDE/>
        <w:autoSpaceDN/>
        <w:bidi w:val="0"/>
        <w:adjustRightInd/>
        <w:snapToGrid/>
        <w:spacing w:line="620" w:lineRule="exact"/>
        <w:jc w:val="left"/>
        <w:textAlignment w:val="auto"/>
        <w:rPr>
          <w:rFonts w:eastAsia="仿宋_GB2312"/>
          <w:color w:val="auto"/>
          <w:sz w:val="36"/>
          <w:szCs w:val="36"/>
          <w:u w:val="none"/>
          <w:shd w:val="clear" w:color="auto" w:fill="FFFFFF"/>
        </w:rPr>
      </w:pPr>
    </w:p>
    <w:p w14:paraId="226D29B5">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简体"/>
          <w:snapToGrid w:val="0"/>
          <w:color w:val="auto"/>
          <w:sz w:val="44"/>
          <w:szCs w:val="44"/>
          <w:u w:val="none"/>
          <w:lang w:bidi="ar"/>
        </w:rPr>
      </w:pPr>
      <w:r>
        <w:rPr>
          <w:rFonts w:hint="eastAsia" w:eastAsia="方正小标宋简体"/>
          <w:snapToGrid w:val="0"/>
          <w:color w:val="auto"/>
          <w:sz w:val="44"/>
          <w:szCs w:val="44"/>
          <w:u w:val="none"/>
          <w:lang w:bidi="ar"/>
        </w:rPr>
        <w:t>产业投资项目</w:t>
      </w:r>
      <w:r>
        <w:rPr>
          <w:rFonts w:eastAsia="方正小标宋简体"/>
          <w:snapToGrid w:val="0"/>
          <w:color w:val="auto"/>
          <w:sz w:val="44"/>
          <w:szCs w:val="44"/>
          <w:u w:val="none"/>
          <w:lang w:bidi="ar"/>
        </w:rPr>
        <w:t>“</w:t>
      </w:r>
      <w:r>
        <w:rPr>
          <w:rFonts w:hint="eastAsia" w:eastAsia="方正小标宋简体"/>
          <w:snapToGrid w:val="0"/>
          <w:color w:val="auto"/>
          <w:sz w:val="44"/>
          <w:szCs w:val="44"/>
          <w:u w:val="none"/>
          <w:lang w:bidi="ar"/>
        </w:rPr>
        <w:t>双容双承诺</w:t>
      </w:r>
      <w:r>
        <w:rPr>
          <w:rFonts w:eastAsia="方正小标宋简体"/>
          <w:snapToGrid w:val="0"/>
          <w:color w:val="auto"/>
          <w:sz w:val="44"/>
          <w:szCs w:val="44"/>
          <w:u w:val="none"/>
          <w:lang w:bidi="ar"/>
        </w:rPr>
        <w:t>”</w:t>
      </w:r>
      <w:r>
        <w:rPr>
          <w:rFonts w:hint="eastAsia" w:eastAsia="方正小标宋简体"/>
          <w:snapToGrid w:val="0"/>
          <w:color w:val="auto"/>
          <w:sz w:val="44"/>
          <w:szCs w:val="44"/>
          <w:u w:val="none"/>
          <w:lang w:bidi="ar"/>
        </w:rPr>
        <w:t>直接落地流程图</w:t>
      </w:r>
    </w:p>
    <w:p w14:paraId="6E40EA90">
      <w:pPr>
        <w:keepNext w:val="0"/>
        <w:keepLines w:val="0"/>
        <w:pageBreakBefore w:val="0"/>
        <w:kinsoku/>
        <w:wordWrap/>
        <w:overflowPunct/>
        <w:topLinePunct w:val="0"/>
        <w:autoSpaceDE/>
        <w:autoSpaceDN/>
        <w:bidi w:val="0"/>
        <w:adjustRightInd/>
        <w:snapToGrid/>
        <w:spacing w:line="620" w:lineRule="exact"/>
        <w:jc w:val="left"/>
        <w:textAlignment w:val="auto"/>
        <w:rPr>
          <w:rFonts w:eastAsia="楷体_GB2312"/>
          <w:b/>
          <w:color w:val="auto"/>
          <w:sz w:val="24"/>
          <w:u w:val="none"/>
          <w:shd w:val="clear" w:color="auto" w:fill="FFFFFF"/>
        </w:rPr>
      </w:pPr>
    </w:p>
    <w:p w14:paraId="3B2796E6">
      <w:pPr>
        <w:keepNext w:val="0"/>
        <w:keepLines w:val="0"/>
        <w:pageBreakBefore w:val="0"/>
        <w:kinsoku/>
        <w:wordWrap/>
        <w:overflowPunct/>
        <w:topLinePunct w:val="0"/>
        <w:autoSpaceDE/>
        <w:autoSpaceDN/>
        <w:bidi w:val="0"/>
        <w:adjustRightInd/>
        <w:snapToGrid/>
        <w:spacing w:line="620" w:lineRule="exact"/>
        <w:textAlignment w:val="auto"/>
        <w:rPr>
          <w:rFonts w:eastAsia="方正黑体_GBK"/>
          <w:color w:val="auto"/>
          <w:sz w:val="32"/>
          <w:szCs w:val="32"/>
          <w:u w:val="none"/>
          <w:shd w:val="clear" w:color="auto" w:fill="FFFFFF"/>
        </w:rPr>
      </w:pPr>
      <w:r>
        <w:rPr>
          <w:rFonts w:eastAsia="方正黑体_GBK"/>
          <w:color w:val="auto"/>
          <w:sz w:val="32"/>
          <w:szCs w:val="32"/>
          <w:u w:val="none"/>
          <w:shd w:val="clear" w:color="auto" w:fill="FFFFFF"/>
          <w:lang w:bidi="ar"/>
        </w:rPr>
        <w:t>1.项目申报阶段：</w:t>
      </w:r>
    </w:p>
    <w:p w14:paraId="7C91201E">
      <w:pPr>
        <w:keepNext w:val="0"/>
        <w:keepLines w:val="0"/>
        <w:pageBreakBefore w:val="0"/>
        <w:tabs>
          <w:tab w:val="left" w:pos="5204"/>
        </w:tabs>
        <w:kinsoku/>
        <w:wordWrap/>
        <w:overflowPunct/>
        <w:topLinePunct w:val="0"/>
        <w:autoSpaceDE/>
        <w:autoSpaceDN/>
        <w:bidi w:val="0"/>
        <w:adjustRightInd/>
        <w:snapToGrid/>
        <w:spacing w:line="620" w:lineRule="exact"/>
        <w:jc w:val="left"/>
        <w:textAlignment w:val="auto"/>
        <w:rPr>
          <w:rFonts w:eastAsia="Times New Roman"/>
          <w:color w:val="auto"/>
          <w:sz w:val="44"/>
          <w:szCs w:val="44"/>
          <w:u w:val="none"/>
        </w:rPr>
      </w:pPr>
    </w:p>
    <w:p w14:paraId="769EE76C">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r>
        <w:rPr>
          <w:color w:val="auto"/>
          <w:u w:val="none"/>
        </w:rPr>
        <mc:AlternateContent>
          <mc:Choice Requires="wpg">
            <w:drawing>
              <wp:anchor distT="0" distB="0" distL="114300" distR="114300" simplePos="0" relativeHeight="251659264" behindDoc="0" locked="0" layoutInCell="1" allowOverlap="1">
                <wp:simplePos x="0" y="0"/>
                <wp:positionH relativeFrom="column">
                  <wp:posOffset>-37465</wp:posOffset>
                </wp:positionH>
                <wp:positionV relativeFrom="paragraph">
                  <wp:posOffset>22860</wp:posOffset>
                </wp:positionV>
                <wp:extent cx="8842375" cy="3114040"/>
                <wp:effectExtent l="5080" t="5080" r="10795" b="5080"/>
                <wp:wrapNone/>
                <wp:docPr id="20" name="组合 20"/>
                <wp:cNvGraphicFramePr/>
                <a:graphic xmlns:a="http://schemas.openxmlformats.org/drawingml/2006/main">
                  <a:graphicData uri="http://schemas.microsoft.com/office/word/2010/wordprocessingGroup">
                    <wpg:wgp>
                      <wpg:cNvGrpSpPr/>
                      <wpg:grpSpPr>
                        <a:xfrm>
                          <a:off x="0" y="0"/>
                          <a:ext cx="8842356" cy="3114014"/>
                          <a:chOff x="3200" y="176142"/>
                          <a:chExt cx="14359" cy="5113"/>
                        </a:xfrm>
                      </wpg:grpSpPr>
                      <wps:wsp>
                        <wps:cNvPr id="5" name="文本框 5"/>
                        <wps:cNvSpPr txBox="1"/>
                        <wps:spPr>
                          <a:xfrm>
                            <a:off x="3200" y="176162"/>
                            <a:ext cx="1806" cy="14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4A9003">
                              <w:pPr>
                                <w:spacing w:line="320" w:lineRule="exact"/>
                                <w:rPr>
                                  <w:rFonts w:eastAsia="方正仿宋简体"/>
                                  <w:sz w:val="24"/>
                                </w:rPr>
                              </w:pPr>
                              <w:r>
                                <w:rPr>
                                  <w:rFonts w:eastAsia="方正仿宋简体"/>
                                  <w:b/>
                                  <w:sz w:val="24"/>
                                  <w:lang w:bidi="ar"/>
                                </w:rPr>
                                <w:t>确定投资意向,开展相关工作</w:t>
                              </w:r>
                              <w:r>
                                <w:rPr>
                                  <w:rFonts w:eastAsia="方正仿宋简体"/>
                                  <w:sz w:val="24"/>
                                  <w:lang w:bidi="ar"/>
                                </w:rPr>
                                <w:t>–申报企业</w:t>
                              </w:r>
                            </w:p>
                          </w:txbxContent>
                        </wps:txbx>
                        <wps:bodyPr upright="1"/>
                      </wps:wsp>
                      <wps:wsp>
                        <wps:cNvPr id="6" name="文本框 6"/>
                        <wps:cNvSpPr txBox="1"/>
                        <wps:spPr>
                          <a:xfrm>
                            <a:off x="12626" y="176144"/>
                            <a:ext cx="2212" cy="146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DF8E3C">
                              <w:pPr>
                                <w:spacing w:line="320" w:lineRule="exact"/>
                                <w:rPr>
                                  <w:rFonts w:eastAsia="方正仿宋简体"/>
                                  <w:sz w:val="24"/>
                                </w:rPr>
                              </w:pPr>
                              <w:r>
                                <w:rPr>
                                  <w:rFonts w:eastAsia="方正仿宋简体"/>
                                  <w:b/>
                                  <w:sz w:val="24"/>
                                  <w:lang w:bidi="ar"/>
                                </w:rPr>
                                <w:t>接受申请，充分告知，签订双向承诺书</w:t>
                              </w:r>
                              <w:r>
                                <w:rPr>
                                  <w:rFonts w:eastAsia="方正仿宋简体"/>
                                  <w:sz w:val="24"/>
                                  <w:lang w:bidi="ar"/>
                                </w:rPr>
                                <w:t>–行政服务中心、申报企业</w:t>
                              </w:r>
                            </w:p>
                          </w:txbxContent>
                        </wps:txbx>
                        <wps:bodyPr upright="1"/>
                      </wps:wsp>
                      <wps:wsp>
                        <wps:cNvPr id="7" name="文本框 7"/>
                        <wps:cNvSpPr txBox="1"/>
                        <wps:spPr>
                          <a:xfrm>
                            <a:off x="15277" y="176142"/>
                            <a:ext cx="2213" cy="143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453B9D">
                              <w:pPr>
                                <w:spacing w:before="156" w:beforeLines="50" w:line="320" w:lineRule="exact"/>
                                <w:rPr>
                                  <w:rFonts w:eastAsia="方正仿宋简体"/>
                                  <w:sz w:val="24"/>
                                </w:rPr>
                              </w:pPr>
                              <w:r>
                                <w:rPr>
                                  <w:rFonts w:eastAsia="方正仿宋简体"/>
                                  <w:b/>
                                  <w:sz w:val="24"/>
                                  <w:lang w:bidi="ar"/>
                                </w:rPr>
                                <w:t>承诺书推送报备</w:t>
                              </w:r>
                              <w:r>
                                <w:rPr>
                                  <w:rFonts w:eastAsia="方正仿宋简体"/>
                                  <w:sz w:val="24"/>
                                  <w:lang w:bidi="ar"/>
                                </w:rPr>
                                <w:t>–行政服务中心</w:t>
                              </w:r>
                            </w:p>
                          </w:txbxContent>
                        </wps:txbx>
                        <wps:bodyPr upright="1"/>
                      </wps:wsp>
                      <wps:wsp>
                        <wps:cNvPr id="8" name="文本框 8"/>
                        <wps:cNvSpPr txBox="1"/>
                        <wps:spPr>
                          <a:xfrm>
                            <a:off x="7993" y="176156"/>
                            <a:ext cx="2124" cy="14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6D8A2B">
                              <w:pPr>
                                <w:spacing w:line="320" w:lineRule="exact"/>
                                <w:rPr>
                                  <w:rFonts w:eastAsia="方正仿宋简体"/>
                                  <w:sz w:val="24"/>
                                </w:rPr>
                              </w:pPr>
                              <w:r>
                                <w:rPr>
                                  <w:rFonts w:eastAsia="方正仿宋简体"/>
                                  <w:b/>
                                  <w:sz w:val="24"/>
                                  <w:lang w:bidi="ar"/>
                                </w:rPr>
                                <w:t>取得用地规划许可及项目用地（含规划条件）</w:t>
                              </w:r>
                              <w:r>
                                <w:rPr>
                                  <w:rFonts w:eastAsia="方正仿宋简体"/>
                                  <w:sz w:val="24"/>
                                  <w:lang w:bidi="ar"/>
                                </w:rPr>
                                <w:t>–自然资源部门</w:t>
                              </w:r>
                            </w:p>
                          </w:txbxContent>
                        </wps:txbx>
                        <wps:bodyPr upright="1"/>
                      </wps:wsp>
                      <wps:wsp>
                        <wps:cNvPr id="9" name="文本框 9"/>
                        <wps:cNvSpPr txBox="1"/>
                        <wps:spPr>
                          <a:xfrm>
                            <a:off x="11205" y="179086"/>
                            <a:ext cx="4087" cy="2169"/>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DC71C96">
                              <w:pPr>
                                <w:spacing w:before="156" w:beforeLines="50" w:line="320" w:lineRule="exact"/>
                                <w:rPr>
                                  <w:rFonts w:hint="eastAsia" w:ascii="方正仿宋简体" w:hAnsi="方正仿宋简体" w:eastAsia="方正仿宋简体" w:cs="方正仿宋简体"/>
                                  <w:b/>
                                  <w:sz w:val="24"/>
                                  <w:u w:val="single"/>
                                </w:rPr>
                              </w:pPr>
                              <w:r>
                                <w:rPr>
                                  <w:rFonts w:hint="eastAsia" w:ascii="方正仿宋简体" w:hAnsi="方正仿宋简体" w:eastAsia="方正仿宋简体" w:cs="方正仿宋简体"/>
                                  <w:b/>
                                  <w:color w:val="auto"/>
                                  <w:sz w:val="24"/>
                                  <w:u w:val="single"/>
                                  <w:lang w:bidi="ar"/>
                                </w:rPr>
                                <w:t>取得双向承诺书即可开展场地平整、临电临水报装、施工围蔽等工作；建设工程设计方案</w:t>
                              </w:r>
                              <w:r>
                                <w:rPr>
                                  <w:rFonts w:hint="eastAsia" w:ascii="方正仿宋简体" w:hAnsi="方正仿宋简体" w:eastAsia="方正仿宋简体" w:cs="方正仿宋简体"/>
                                  <w:b/>
                                  <w:bCs w:val="0"/>
                                  <w:color w:val="auto"/>
                                  <w:sz w:val="24"/>
                                  <w:u w:val="single"/>
                                  <w:lang w:bidi="ar"/>
                                </w:rPr>
                                <w:t>备案</w:t>
                              </w:r>
                              <w:r>
                                <w:rPr>
                                  <w:rFonts w:hint="eastAsia" w:ascii="方正仿宋简体" w:hAnsi="方正仿宋简体" w:eastAsia="方正仿宋简体" w:cs="方正仿宋简体"/>
                                  <w:b/>
                                  <w:bCs w:val="0"/>
                                  <w:color w:val="auto"/>
                                  <w:sz w:val="24"/>
                                  <w:u w:val="single"/>
                                  <w:lang w:val="en-US" w:eastAsia="zh-CN" w:bidi="ar"/>
                                </w:rPr>
                                <w:t>并取得建设工程施工图设计文件审查合格后</w:t>
                              </w:r>
                              <w:r>
                                <w:rPr>
                                  <w:rFonts w:hint="eastAsia" w:ascii="方正仿宋简体" w:hAnsi="方正仿宋简体" w:eastAsia="方正仿宋简体" w:cs="方正仿宋简体"/>
                                  <w:b/>
                                  <w:color w:val="auto"/>
                                  <w:sz w:val="24"/>
                                  <w:u w:val="single"/>
                                  <w:lang w:bidi="ar"/>
                                </w:rPr>
                                <w:t>即可开工建设。</w:t>
                              </w:r>
                              <w:r>
                                <w:rPr>
                                  <w:rFonts w:hint="eastAsia" w:ascii="方正仿宋简体" w:hAnsi="方正仿宋简体" w:eastAsia="方正仿宋简体" w:cs="方正仿宋简体"/>
                                  <w:color w:val="auto"/>
                                  <w:sz w:val="24"/>
                                  <w:u w:val="single"/>
                                  <w:lang w:bidi="ar"/>
                                </w:rPr>
                                <w:t>–申报企业</w:t>
                              </w:r>
                            </w:p>
                          </w:txbxContent>
                        </wps:txbx>
                        <wps:bodyPr upright="1"/>
                      </wps:wsp>
                      <wps:wsp>
                        <wps:cNvPr id="10" name="文本框 10"/>
                        <wps:cNvSpPr txBox="1"/>
                        <wps:spPr>
                          <a:xfrm>
                            <a:off x="10623" y="176163"/>
                            <a:ext cx="1497" cy="14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6CFCB6">
                              <w:pPr>
                                <w:spacing w:before="156" w:beforeLines="50" w:line="320" w:lineRule="exact"/>
                                <w:rPr>
                                  <w:sz w:val="24"/>
                                </w:rPr>
                              </w:pPr>
                              <w:r>
                                <w:rPr>
                                  <w:rFonts w:hint="eastAsia" w:ascii="方正仿宋简体" w:hAnsi="方正仿宋简体" w:eastAsia="方正仿宋简体" w:cs="方正仿宋简体"/>
                                  <w:b/>
                                  <w:spacing w:val="-6"/>
                                  <w:sz w:val="24"/>
                                  <w:lang w:bidi="ar"/>
                                </w:rPr>
                                <w:t>申请项目直接落地</w:t>
                              </w:r>
                              <w:r>
                                <w:rPr>
                                  <w:rFonts w:hint="eastAsia" w:ascii="方正仿宋简体" w:hAnsi="方正仿宋简体" w:eastAsia="方正仿宋简体" w:cs="方正仿宋简体"/>
                                  <w:spacing w:val="-6"/>
                                  <w:sz w:val="24"/>
                                  <w:lang w:bidi="ar"/>
                                </w:rPr>
                                <w:t xml:space="preserve">–申报企业 </w:t>
                              </w:r>
                              <w:r>
                                <w:rPr>
                                  <w:spacing w:val="-6"/>
                                  <w:sz w:val="24"/>
                                  <w:lang w:bidi="ar"/>
                                </w:rPr>
                                <w:t xml:space="preserve">   </w:t>
                              </w:r>
                              <w:r>
                                <w:rPr>
                                  <w:sz w:val="24"/>
                                  <w:lang w:bidi="ar"/>
                                </w:rPr>
                                <w:t xml:space="preserve"> </w:t>
                              </w:r>
                            </w:p>
                          </w:txbxContent>
                        </wps:txbx>
                        <wps:bodyPr upright="1"/>
                      </wps:wsp>
                      <wps:wsp>
                        <wps:cNvPr id="11" name="文本框 11"/>
                        <wps:cNvSpPr txBox="1"/>
                        <wps:spPr>
                          <a:xfrm>
                            <a:off x="5511" y="176164"/>
                            <a:ext cx="1968" cy="14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F3AECC">
                              <w:pPr>
                                <w:spacing w:line="320" w:lineRule="exact"/>
                                <w:rPr>
                                  <w:rFonts w:eastAsia="方正仿宋简体"/>
                                  <w:sz w:val="24"/>
                                </w:rPr>
                              </w:pPr>
                              <w:r>
                                <w:rPr>
                                  <w:rFonts w:eastAsia="方正仿宋简体"/>
                                  <w:b/>
                                  <w:sz w:val="24"/>
                                  <w:u w:val="single"/>
                                  <w:lang w:bidi="ar"/>
                                </w:rPr>
                                <w:t xml:space="preserve">广东省投资项目在线监管平台获得项目代码 </w:t>
                              </w:r>
                              <w:r>
                                <w:rPr>
                                  <w:rFonts w:eastAsia="方正仿宋简体"/>
                                  <w:sz w:val="24"/>
                                  <w:u w:val="single"/>
                                  <w:lang w:bidi="ar"/>
                                </w:rPr>
                                <w:t>–申报企业</w:t>
                              </w:r>
                            </w:p>
                          </w:txbxContent>
                        </wps:txbx>
                        <wps:bodyPr upright="1"/>
                      </wps:wsp>
                      <wps:wsp>
                        <wps:cNvPr id="12" name="文本框 12"/>
                        <wps:cNvSpPr txBox="1"/>
                        <wps:spPr>
                          <a:xfrm>
                            <a:off x="15416" y="179098"/>
                            <a:ext cx="2143" cy="21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9C40810">
                              <w:pPr>
                                <w:spacing w:before="312" w:beforeLines="100" w:line="320" w:lineRule="exact"/>
                                <w:rPr>
                                  <w:rFonts w:hint="eastAsia" w:ascii="方正仿宋简体" w:hAnsi="方正仿宋简体" w:eastAsia="方正仿宋简体" w:cs="方正仿宋简体"/>
                                  <w:b/>
                                  <w:sz w:val="24"/>
                                  <w:u w:val="single"/>
                                </w:rPr>
                              </w:pPr>
                              <w:r>
                                <w:rPr>
                                  <w:rFonts w:hint="eastAsia" w:ascii="方正仿宋简体" w:hAnsi="方正仿宋简体" w:eastAsia="方正仿宋简体" w:cs="方正仿宋简体"/>
                                  <w:b/>
                                  <w:sz w:val="24"/>
                                  <w:u w:val="single"/>
                                  <w:lang w:bidi="ar"/>
                                </w:rPr>
                                <w:t>签订双向承诺书情况推送各审批部门</w:t>
                              </w:r>
                              <w:r>
                                <w:rPr>
                                  <w:rFonts w:hint="eastAsia" w:ascii="方正仿宋简体" w:hAnsi="方正仿宋简体" w:eastAsia="方正仿宋简体" w:cs="方正仿宋简体"/>
                                  <w:sz w:val="24"/>
                                  <w:u w:val="single"/>
                                  <w:lang w:bidi="ar"/>
                                </w:rPr>
                                <w:t>–行政服务中心</w:t>
                              </w:r>
                            </w:p>
                          </w:txbxContent>
                        </wps:txbx>
                        <wps:bodyPr upright="1"/>
                      </wps:wsp>
                      <wps:wsp>
                        <wps:cNvPr id="13" name="直接连接符 13"/>
                        <wps:cNvCnPr/>
                        <wps:spPr>
                          <a:xfrm>
                            <a:off x="5049" y="176891"/>
                            <a:ext cx="450" cy="1"/>
                          </a:xfrm>
                          <a:prstGeom prst="line">
                            <a:avLst/>
                          </a:prstGeom>
                          <a:ln w="12700" cap="flat" cmpd="sng">
                            <a:solidFill>
                              <a:srgbClr val="000000"/>
                            </a:solidFill>
                            <a:prstDash val="solid"/>
                            <a:headEnd type="none" w="med" len="med"/>
                            <a:tailEnd type="triangle" w="med" len="med"/>
                          </a:ln>
                        </wps:spPr>
                        <wps:bodyPr upright="1"/>
                      </wps:wsp>
                      <wps:wsp>
                        <wps:cNvPr id="14" name="直接连接符 14"/>
                        <wps:cNvCnPr/>
                        <wps:spPr>
                          <a:xfrm>
                            <a:off x="7518" y="176874"/>
                            <a:ext cx="450" cy="1"/>
                          </a:xfrm>
                          <a:prstGeom prst="line">
                            <a:avLst/>
                          </a:prstGeom>
                          <a:ln w="12700" cap="flat" cmpd="sng">
                            <a:solidFill>
                              <a:srgbClr val="000000"/>
                            </a:solidFill>
                            <a:prstDash val="solid"/>
                            <a:headEnd type="none" w="med" len="med"/>
                            <a:tailEnd type="triangle" w="med" len="med"/>
                          </a:ln>
                        </wps:spPr>
                        <wps:bodyPr upright="1"/>
                      </wps:wsp>
                      <wps:wsp>
                        <wps:cNvPr id="15" name="直接连接符 15"/>
                        <wps:cNvCnPr/>
                        <wps:spPr>
                          <a:xfrm>
                            <a:off x="10153" y="176874"/>
                            <a:ext cx="450" cy="1"/>
                          </a:xfrm>
                          <a:prstGeom prst="line">
                            <a:avLst/>
                          </a:prstGeom>
                          <a:ln w="12700" cap="flat" cmpd="sng">
                            <a:solidFill>
                              <a:srgbClr val="000000"/>
                            </a:solidFill>
                            <a:prstDash val="solid"/>
                            <a:headEnd type="none" w="med" len="med"/>
                            <a:tailEnd type="triangle" w="med" len="med"/>
                          </a:ln>
                        </wps:spPr>
                        <wps:bodyPr upright="1"/>
                      </wps:wsp>
                      <wps:wsp>
                        <wps:cNvPr id="16" name="直接连接符 16"/>
                        <wps:cNvCnPr/>
                        <wps:spPr>
                          <a:xfrm>
                            <a:off x="12157" y="176878"/>
                            <a:ext cx="450" cy="1"/>
                          </a:xfrm>
                          <a:prstGeom prst="line">
                            <a:avLst/>
                          </a:prstGeom>
                          <a:ln w="12700" cap="flat" cmpd="sng">
                            <a:solidFill>
                              <a:srgbClr val="000000"/>
                            </a:solidFill>
                            <a:prstDash val="solid"/>
                            <a:headEnd type="none" w="med" len="med"/>
                            <a:tailEnd type="triangle" w="med" len="med"/>
                          </a:ln>
                        </wps:spPr>
                        <wps:bodyPr upright="1"/>
                      </wps:wsp>
                      <wps:wsp>
                        <wps:cNvPr id="17" name="直接连接符 17"/>
                        <wps:cNvCnPr/>
                        <wps:spPr>
                          <a:xfrm>
                            <a:off x="14792" y="176854"/>
                            <a:ext cx="450" cy="1"/>
                          </a:xfrm>
                          <a:prstGeom prst="line">
                            <a:avLst/>
                          </a:prstGeom>
                          <a:ln w="12700" cap="flat" cmpd="sng">
                            <a:solidFill>
                              <a:srgbClr val="000000"/>
                            </a:solidFill>
                            <a:prstDash val="solid"/>
                            <a:headEnd type="none" w="med" len="med"/>
                            <a:tailEnd type="triangle" w="med" len="med"/>
                          </a:ln>
                        </wps:spPr>
                        <wps:bodyPr upright="1"/>
                      </wps:wsp>
                      <wps:wsp>
                        <wps:cNvPr id="18" name="直接连接符 18"/>
                        <wps:cNvCnPr/>
                        <wps:spPr>
                          <a:xfrm>
                            <a:off x="13677" y="177636"/>
                            <a:ext cx="1" cy="1434"/>
                          </a:xfrm>
                          <a:prstGeom prst="line">
                            <a:avLst/>
                          </a:prstGeom>
                          <a:ln w="12700" cap="flat" cmpd="sng">
                            <a:solidFill>
                              <a:srgbClr val="000000"/>
                            </a:solidFill>
                            <a:prstDash val="solid"/>
                            <a:headEnd type="none" w="med" len="med"/>
                            <a:tailEnd type="triangle" w="med" len="med"/>
                          </a:ln>
                        </wps:spPr>
                        <wps:bodyPr upright="1"/>
                      </wps:wsp>
                      <wps:wsp>
                        <wps:cNvPr id="19" name="直接连接符 19"/>
                        <wps:cNvCnPr/>
                        <wps:spPr>
                          <a:xfrm>
                            <a:off x="16426" y="177633"/>
                            <a:ext cx="1" cy="1434"/>
                          </a:xfrm>
                          <a:prstGeom prst="line">
                            <a:avLst/>
                          </a:prstGeom>
                          <a:ln w="12700"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2.95pt;margin-top:1.8pt;height:245.2pt;width:696.25pt;z-index:251659264;mso-width-relative:page;mso-height-relative:page;" coordorigin="3200,176142" coordsize="14359,5113" o:gfxdata="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">
                <o:lock v:ext="edit" aspectratio="f"/>
                <v:shape id="_x0000_s1026" o:spid="_x0000_s1026" o:spt="202" type="#_x0000_t202" style="position:absolute;left:3200;top:176162;height:1449;width:1806;"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04A9003">
                        <w:pPr>
                          <w:spacing w:line="320" w:lineRule="exact"/>
                          <w:rPr>
                            <w:rFonts w:eastAsia="方正仿宋简体"/>
                            <w:sz w:val="24"/>
                          </w:rPr>
                        </w:pPr>
                        <w:r>
                          <w:rPr>
                            <w:rFonts w:eastAsia="方正仿宋简体"/>
                            <w:b/>
                            <w:sz w:val="24"/>
                            <w:lang w:bidi="ar"/>
                          </w:rPr>
                          <w:t>确定投资意向,开展相关工作</w:t>
                        </w:r>
                        <w:r>
                          <w:rPr>
                            <w:rFonts w:eastAsia="方正仿宋简体"/>
                            <w:sz w:val="24"/>
                            <w:lang w:bidi="ar"/>
                          </w:rPr>
                          <w:t>–申报企业</w:t>
                        </w:r>
                      </w:p>
                    </w:txbxContent>
                  </v:textbox>
                </v:shape>
                <v:shape id="_x0000_s1026" o:spid="_x0000_s1026" o:spt="202" type="#_x0000_t202" style="position:absolute;left:12626;top:176144;height:1461;width:2212;"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9DF8E3C">
                        <w:pPr>
                          <w:spacing w:line="320" w:lineRule="exact"/>
                          <w:rPr>
                            <w:rFonts w:eastAsia="方正仿宋简体"/>
                            <w:sz w:val="24"/>
                          </w:rPr>
                        </w:pPr>
                        <w:r>
                          <w:rPr>
                            <w:rFonts w:eastAsia="方正仿宋简体"/>
                            <w:b/>
                            <w:sz w:val="24"/>
                            <w:lang w:bidi="ar"/>
                          </w:rPr>
                          <w:t>接受申请，充分告知，签订双向承诺书</w:t>
                        </w:r>
                        <w:r>
                          <w:rPr>
                            <w:rFonts w:eastAsia="方正仿宋简体"/>
                            <w:sz w:val="24"/>
                            <w:lang w:bidi="ar"/>
                          </w:rPr>
                          <w:t>–行政服务中心、申报企业</w:t>
                        </w:r>
                      </w:p>
                    </w:txbxContent>
                  </v:textbox>
                </v:shape>
                <v:shape id="_x0000_s1026" o:spid="_x0000_s1026" o:spt="202" type="#_x0000_t202" style="position:absolute;left:15277;top:176142;height:1438;width:2213;"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0453B9D">
                        <w:pPr>
                          <w:spacing w:before="156" w:beforeLines="50" w:line="320" w:lineRule="exact"/>
                          <w:rPr>
                            <w:rFonts w:eastAsia="方正仿宋简体"/>
                            <w:sz w:val="24"/>
                          </w:rPr>
                        </w:pPr>
                        <w:r>
                          <w:rPr>
                            <w:rFonts w:eastAsia="方正仿宋简体"/>
                            <w:b/>
                            <w:sz w:val="24"/>
                            <w:lang w:bidi="ar"/>
                          </w:rPr>
                          <w:t>承诺书推送报备</w:t>
                        </w:r>
                        <w:r>
                          <w:rPr>
                            <w:rFonts w:eastAsia="方正仿宋简体"/>
                            <w:sz w:val="24"/>
                            <w:lang w:bidi="ar"/>
                          </w:rPr>
                          <w:t>–行政服务中心</w:t>
                        </w:r>
                      </w:p>
                    </w:txbxContent>
                  </v:textbox>
                </v:shape>
                <v:shape id="_x0000_s1026" o:spid="_x0000_s1026" o:spt="202" type="#_x0000_t202" style="position:absolute;left:7993;top:176156;height:1449;width:2124;"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C6D8A2B">
                        <w:pPr>
                          <w:spacing w:line="320" w:lineRule="exact"/>
                          <w:rPr>
                            <w:rFonts w:eastAsia="方正仿宋简体"/>
                            <w:sz w:val="24"/>
                          </w:rPr>
                        </w:pPr>
                        <w:r>
                          <w:rPr>
                            <w:rFonts w:eastAsia="方正仿宋简体"/>
                            <w:b/>
                            <w:sz w:val="24"/>
                            <w:lang w:bidi="ar"/>
                          </w:rPr>
                          <w:t>取得用地规划许可及项目用地（含规划条件）</w:t>
                        </w:r>
                        <w:r>
                          <w:rPr>
                            <w:rFonts w:eastAsia="方正仿宋简体"/>
                            <w:sz w:val="24"/>
                            <w:lang w:bidi="ar"/>
                          </w:rPr>
                          <w:t>–自然资源部门</w:t>
                        </w:r>
                      </w:p>
                    </w:txbxContent>
                  </v:textbox>
                </v:shape>
                <v:shape id="_x0000_s1026" o:spid="_x0000_s1026" o:spt="202" type="#_x0000_t202" style="position:absolute;left:11205;top:179086;height:2169;width:4087;" fillcolor="#FFFFFF" filled="t" stroked="t" coordsize="21600,21600" o:gfxdata="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Jirb4A&#10;AADaAAAADwAAAAAAAAABACAAAAAiAAAAZHJzL2Rvd25yZXYueG1sUEsBAhQAFAAAAAgAh07iQDMv&#10;BZ47AAAAOQAAABAAAAAAAAAAAQAgAAAADQEAAGRycy9zaGFwZXhtbC54bWxQSwUGAAAAAAYABgBb&#10;AQAAtwMAAAAA&#10;">
                  <v:fill on="t" focussize="0,0"/>
                  <v:stroke color="#000000" joinstyle="miter" dashstyle="dash"/>
                  <v:imagedata o:title=""/>
                  <o:lock v:ext="edit" aspectratio="f"/>
                  <v:textbox>
                    <w:txbxContent>
                      <w:p w14:paraId="2DC71C96">
                        <w:pPr>
                          <w:spacing w:before="156" w:beforeLines="50" w:line="320" w:lineRule="exact"/>
                          <w:rPr>
                            <w:rFonts w:hint="eastAsia" w:ascii="方正仿宋简体" w:hAnsi="方正仿宋简体" w:eastAsia="方正仿宋简体" w:cs="方正仿宋简体"/>
                            <w:b/>
                            <w:sz w:val="24"/>
                            <w:u w:val="single"/>
                          </w:rPr>
                        </w:pPr>
                        <w:r>
                          <w:rPr>
                            <w:rFonts w:hint="eastAsia" w:ascii="方正仿宋简体" w:hAnsi="方正仿宋简体" w:eastAsia="方正仿宋简体" w:cs="方正仿宋简体"/>
                            <w:b/>
                            <w:color w:val="auto"/>
                            <w:sz w:val="24"/>
                            <w:u w:val="single"/>
                            <w:lang w:bidi="ar"/>
                          </w:rPr>
                          <w:t>取得双向承诺书即可开展场地平整、临电临水报装、施工围蔽等工作；建设工程设计方案</w:t>
                        </w:r>
                        <w:r>
                          <w:rPr>
                            <w:rFonts w:hint="eastAsia" w:ascii="方正仿宋简体" w:hAnsi="方正仿宋简体" w:eastAsia="方正仿宋简体" w:cs="方正仿宋简体"/>
                            <w:b/>
                            <w:bCs w:val="0"/>
                            <w:color w:val="auto"/>
                            <w:sz w:val="24"/>
                            <w:u w:val="single"/>
                            <w:lang w:bidi="ar"/>
                          </w:rPr>
                          <w:t>备案</w:t>
                        </w:r>
                        <w:r>
                          <w:rPr>
                            <w:rFonts w:hint="eastAsia" w:ascii="方正仿宋简体" w:hAnsi="方正仿宋简体" w:eastAsia="方正仿宋简体" w:cs="方正仿宋简体"/>
                            <w:b/>
                            <w:bCs w:val="0"/>
                            <w:color w:val="auto"/>
                            <w:sz w:val="24"/>
                            <w:u w:val="single"/>
                            <w:lang w:val="en-US" w:eastAsia="zh-CN" w:bidi="ar"/>
                          </w:rPr>
                          <w:t>并取得建设工程施工图设计文件审查合格后</w:t>
                        </w:r>
                        <w:r>
                          <w:rPr>
                            <w:rFonts w:hint="eastAsia" w:ascii="方正仿宋简体" w:hAnsi="方正仿宋简体" w:eastAsia="方正仿宋简体" w:cs="方正仿宋简体"/>
                            <w:b/>
                            <w:color w:val="auto"/>
                            <w:sz w:val="24"/>
                            <w:u w:val="single"/>
                            <w:lang w:bidi="ar"/>
                          </w:rPr>
                          <w:t>即可开工建设。</w:t>
                        </w:r>
                        <w:r>
                          <w:rPr>
                            <w:rFonts w:hint="eastAsia" w:ascii="方正仿宋简体" w:hAnsi="方正仿宋简体" w:eastAsia="方正仿宋简体" w:cs="方正仿宋简体"/>
                            <w:color w:val="auto"/>
                            <w:sz w:val="24"/>
                            <w:u w:val="single"/>
                            <w:lang w:bidi="ar"/>
                          </w:rPr>
                          <w:t>–申报企业</w:t>
                        </w:r>
                      </w:p>
                    </w:txbxContent>
                  </v:textbox>
                </v:shape>
                <v:shape id="_x0000_s1026" o:spid="_x0000_s1026" o:spt="202" type="#_x0000_t202" style="position:absolute;left:10623;top:176163;height:1449;width:1497;"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76CFCB6">
                        <w:pPr>
                          <w:spacing w:before="156" w:beforeLines="50" w:line="320" w:lineRule="exact"/>
                          <w:rPr>
                            <w:sz w:val="24"/>
                          </w:rPr>
                        </w:pPr>
                        <w:r>
                          <w:rPr>
                            <w:rFonts w:hint="eastAsia" w:ascii="方正仿宋简体" w:hAnsi="方正仿宋简体" w:eastAsia="方正仿宋简体" w:cs="方正仿宋简体"/>
                            <w:b/>
                            <w:spacing w:val="-6"/>
                            <w:sz w:val="24"/>
                            <w:lang w:bidi="ar"/>
                          </w:rPr>
                          <w:t>申请项目直接落地</w:t>
                        </w:r>
                        <w:r>
                          <w:rPr>
                            <w:rFonts w:hint="eastAsia" w:ascii="方正仿宋简体" w:hAnsi="方正仿宋简体" w:eastAsia="方正仿宋简体" w:cs="方正仿宋简体"/>
                            <w:spacing w:val="-6"/>
                            <w:sz w:val="24"/>
                            <w:lang w:bidi="ar"/>
                          </w:rPr>
                          <w:t xml:space="preserve">–申报企业 </w:t>
                        </w:r>
                        <w:r>
                          <w:rPr>
                            <w:spacing w:val="-6"/>
                            <w:sz w:val="24"/>
                            <w:lang w:bidi="ar"/>
                          </w:rPr>
                          <w:t xml:space="preserve">   </w:t>
                        </w:r>
                        <w:r>
                          <w:rPr>
                            <w:sz w:val="24"/>
                            <w:lang w:bidi="ar"/>
                          </w:rPr>
                          <w:t xml:space="preserve"> </w:t>
                        </w:r>
                      </w:p>
                    </w:txbxContent>
                  </v:textbox>
                </v:shape>
                <v:shape id="_x0000_s1026" o:spid="_x0000_s1026" o:spt="202" type="#_x0000_t202" style="position:absolute;left:5511;top:176164;height:1449;width:1968;"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FF3AECC">
                        <w:pPr>
                          <w:spacing w:line="320" w:lineRule="exact"/>
                          <w:rPr>
                            <w:rFonts w:eastAsia="方正仿宋简体"/>
                            <w:sz w:val="24"/>
                          </w:rPr>
                        </w:pPr>
                        <w:r>
                          <w:rPr>
                            <w:rFonts w:eastAsia="方正仿宋简体"/>
                            <w:b/>
                            <w:sz w:val="24"/>
                            <w:u w:val="single"/>
                            <w:lang w:bidi="ar"/>
                          </w:rPr>
                          <w:t xml:space="preserve">广东省投资项目在线监管平台获得项目代码 </w:t>
                        </w:r>
                        <w:r>
                          <w:rPr>
                            <w:rFonts w:eastAsia="方正仿宋简体"/>
                            <w:sz w:val="24"/>
                            <w:u w:val="single"/>
                            <w:lang w:bidi="ar"/>
                          </w:rPr>
                          <w:t>–申报企业</w:t>
                        </w:r>
                      </w:p>
                    </w:txbxContent>
                  </v:textbox>
                </v:shape>
                <v:shape id="_x0000_s1026" o:spid="_x0000_s1026" o:spt="202" type="#_x0000_t202" style="position:absolute;left:15416;top:179098;height:2145;width:2143;" fillcolor="#FFFFFF" filled="t" stroked="t" coordsize="21600,21600" o:gfxdata="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80W1rsAAADb&#10;AAAADwAAAAAAAAABACAAAAAiAAAAZHJzL2Rvd25yZXYueG1sUEsBAhQAFAAAAAgAh07iQDMvBZ47&#10;AAAAOQAAABAAAAAAAAAAAQAgAAAACgEAAGRycy9zaGFwZXhtbC54bWxQSwUGAAAAAAYABgBbAQAA&#10;tAMAAAAA&#10;">
                  <v:fill on="t" focussize="0,0"/>
                  <v:stroke color="#000000" joinstyle="miter" dashstyle="dash"/>
                  <v:imagedata o:title=""/>
                  <o:lock v:ext="edit" aspectratio="f"/>
                  <v:textbox>
                    <w:txbxContent>
                      <w:p w14:paraId="09C40810">
                        <w:pPr>
                          <w:spacing w:before="312" w:beforeLines="100" w:line="320" w:lineRule="exact"/>
                          <w:rPr>
                            <w:rFonts w:hint="eastAsia" w:ascii="方正仿宋简体" w:hAnsi="方正仿宋简体" w:eastAsia="方正仿宋简体" w:cs="方正仿宋简体"/>
                            <w:b/>
                            <w:sz w:val="24"/>
                            <w:u w:val="single"/>
                          </w:rPr>
                        </w:pPr>
                        <w:r>
                          <w:rPr>
                            <w:rFonts w:hint="eastAsia" w:ascii="方正仿宋简体" w:hAnsi="方正仿宋简体" w:eastAsia="方正仿宋简体" w:cs="方正仿宋简体"/>
                            <w:b/>
                            <w:sz w:val="24"/>
                            <w:u w:val="single"/>
                            <w:lang w:bidi="ar"/>
                          </w:rPr>
                          <w:t>签订双向承诺书情况推送各审批部门</w:t>
                        </w:r>
                        <w:r>
                          <w:rPr>
                            <w:rFonts w:hint="eastAsia" w:ascii="方正仿宋简体" w:hAnsi="方正仿宋简体" w:eastAsia="方正仿宋简体" w:cs="方正仿宋简体"/>
                            <w:sz w:val="24"/>
                            <w:u w:val="single"/>
                            <w:lang w:bidi="ar"/>
                          </w:rPr>
                          <w:t>–行政服务中心</w:t>
                        </w:r>
                      </w:p>
                    </w:txbxContent>
                  </v:textbox>
                </v:shape>
                <v:line id="_x0000_s1026" o:spid="_x0000_s1026" o:spt="20" style="position:absolute;left:5049;top:176891;height:1;width:450;" filled="f" stroked="t" coordsize="21600,21600" o:gfxdata="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ECbu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7518;top:176874;height:1;width:450;" filled="f" stroked="t" coordsize="21600,21600" o:gfxdata="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b6a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0153;top:176874;height:1;width:450;" filled="f" stroked="t" coordsize="21600,21600" o:gfxdata="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RsB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2157;top:176878;height:1;width:450;" filled="f" stroked="t" coordsize="21600,21600" o:gfxdata="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4V2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4792;top:176854;height:1;width:450;" filled="f" stroked="t" coordsize="21600,21600" o:gfxdata="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KyDt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3677;top:177636;height:1434;width:1;" filled="f" stroked="t" coordsize="21600,21600" o:gfxdata="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tLSf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6426;top:177633;height:1434;width:1;" filled="f" stroked="t" coordsize="21600,21600" o:gfxdata="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EE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w:pict>
          </mc:Fallback>
        </mc:AlternateContent>
      </w:r>
    </w:p>
    <w:p w14:paraId="009D04B3">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14:paraId="1ACE0082">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14:paraId="28333F3D">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14:paraId="04FC1911">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14:paraId="792AB6E9">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14:paraId="2233B91B">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14:paraId="3919951D">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14:paraId="1D824D23">
      <w:pPr>
        <w:keepNext w:val="0"/>
        <w:keepLines w:val="0"/>
        <w:pageBreakBefore w:val="0"/>
        <w:kinsoku/>
        <w:wordWrap/>
        <w:overflowPunct/>
        <w:topLinePunct w:val="0"/>
        <w:autoSpaceDE/>
        <w:autoSpaceDN/>
        <w:bidi w:val="0"/>
        <w:adjustRightInd/>
        <w:snapToGrid/>
        <w:spacing w:line="620" w:lineRule="exact"/>
        <w:jc w:val="left"/>
        <w:textAlignment w:val="auto"/>
        <w:rPr>
          <w:rFonts w:eastAsia="黑体"/>
          <w:color w:val="auto"/>
          <w:sz w:val="30"/>
          <w:szCs w:val="30"/>
          <w:u w:val="none"/>
          <w:shd w:val="clear" w:color="auto" w:fill="FFFFFF"/>
          <w:lang w:bidi="ar"/>
        </w:rPr>
      </w:pPr>
    </w:p>
    <w:p w14:paraId="348B6416">
      <w:pPr>
        <w:keepNext w:val="0"/>
        <w:keepLines w:val="0"/>
        <w:pageBreakBefore w:val="0"/>
        <w:kinsoku/>
        <w:wordWrap/>
        <w:overflowPunct/>
        <w:topLinePunct w:val="0"/>
        <w:autoSpaceDE/>
        <w:autoSpaceDN/>
        <w:bidi w:val="0"/>
        <w:adjustRightInd/>
        <w:snapToGrid/>
        <w:spacing w:line="620" w:lineRule="exact"/>
        <w:jc w:val="left"/>
        <w:textAlignment w:val="auto"/>
        <w:rPr>
          <w:rFonts w:eastAsia="黑体"/>
          <w:color w:val="auto"/>
          <w:sz w:val="32"/>
          <w:szCs w:val="32"/>
          <w:u w:val="none"/>
          <w:shd w:val="clear" w:color="auto" w:fill="FFFFFF"/>
        </w:rPr>
      </w:pPr>
      <w:r>
        <w:rPr>
          <w:rFonts w:eastAsia="黑体"/>
          <w:color w:val="auto"/>
          <w:sz w:val="32"/>
          <w:szCs w:val="32"/>
          <w:u w:val="none"/>
          <w:shd w:val="clear" w:color="auto" w:fill="FFFFFF"/>
          <w:lang w:bidi="ar"/>
        </w:rPr>
        <w:t>2.</w:t>
      </w:r>
      <w:r>
        <w:rPr>
          <w:rFonts w:hint="eastAsia" w:eastAsia="黑体" w:cs="黑体"/>
          <w:color w:val="auto"/>
          <w:sz w:val="32"/>
          <w:szCs w:val="32"/>
          <w:u w:val="none"/>
          <w:shd w:val="clear" w:color="auto" w:fill="FFFFFF"/>
          <w:lang w:bidi="ar"/>
        </w:rPr>
        <w:t>项目验收阶段：</w:t>
      </w:r>
      <w:r>
        <w:rPr>
          <w:rFonts w:eastAsia="黑体"/>
          <w:color w:val="auto"/>
          <w:sz w:val="32"/>
          <w:szCs w:val="32"/>
          <w:u w:val="none"/>
          <w:shd w:val="clear" w:color="auto" w:fill="FFFFFF"/>
          <w:lang w:bidi="ar"/>
        </w:rPr>
        <w:t xml:space="preserve"> </w:t>
      </w:r>
    </w:p>
    <w:p w14:paraId="66F75F72">
      <w:pPr>
        <w:keepNext w:val="0"/>
        <w:keepLines w:val="0"/>
        <w:pageBreakBefore w:val="0"/>
        <w:kinsoku/>
        <w:wordWrap/>
        <w:overflowPunct/>
        <w:topLinePunct w:val="0"/>
        <w:autoSpaceDE/>
        <w:autoSpaceDN/>
        <w:bidi w:val="0"/>
        <w:adjustRightInd/>
        <w:snapToGrid/>
        <w:spacing w:line="620" w:lineRule="exact"/>
        <w:jc w:val="left"/>
        <w:textAlignment w:val="auto"/>
        <w:rPr>
          <w:rFonts w:eastAsia="黑体"/>
          <w:color w:val="auto"/>
          <w:sz w:val="30"/>
          <w:szCs w:val="30"/>
          <w:u w:val="none"/>
          <w:shd w:val="clear" w:color="auto" w:fill="FFFFFF"/>
        </w:rPr>
      </w:pPr>
      <w:r>
        <w:rPr>
          <w:color w:val="auto"/>
          <w:u w:val="none"/>
        </w:rPr>
        <mc:AlternateContent>
          <mc:Choice Requires="wpg">
            <w:drawing>
              <wp:anchor distT="0" distB="0" distL="114300" distR="114300" simplePos="0" relativeHeight="251660288" behindDoc="0" locked="0" layoutInCell="1" allowOverlap="1">
                <wp:simplePos x="0" y="0"/>
                <wp:positionH relativeFrom="column">
                  <wp:posOffset>273685</wp:posOffset>
                </wp:positionH>
                <wp:positionV relativeFrom="paragraph">
                  <wp:posOffset>345440</wp:posOffset>
                </wp:positionV>
                <wp:extent cx="8343900" cy="2283460"/>
                <wp:effectExtent l="4445" t="4445" r="14605" b="17145"/>
                <wp:wrapNone/>
                <wp:docPr id="33" name="组合 33"/>
                <wp:cNvGraphicFramePr/>
                <a:graphic xmlns:a="http://schemas.openxmlformats.org/drawingml/2006/main">
                  <a:graphicData uri="http://schemas.microsoft.com/office/word/2010/wordprocessingGroup">
                    <wpg:wgp>
                      <wpg:cNvGrpSpPr/>
                      <wpg:grpSpPr>
                        <a:xfrm>
                          <a:off x="0" y="0"/>
                          <a:ext cx="8343900" cy="2283460"/>
                          <a:chOff x="1883" y="186338"/>
                          <a:chExt cx="13140" cy="3596"/>
                        </a:xfrm>
                      </wpg:grpSpPr>
                      <wps:wsp>
                        <wps:cNvPr id="21" name="文本框 21"/>
                        <wps:cNvSpPr txBox="1"/>
                        <wps:spPr>
                          <a:xfrm>
                            <a:off x="1883" y="188486"/>
                            <a:ext cx="2282" cy="14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EA2FDC">
                              <w:pPr>
                                <w:spacing w:before="156" w:beforeLines="50" w:line="320" w:lineRule="exac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b/>
                                  <w:sz w:val="24"/>
                                  <w:lang w:bidi="ar"/>
                                </w:rPr>
                                <w:t>建设工程规划条件核实合格证核发</w:t>
                              </w:r>
                              <w:r>
                                <w:rPr>
                                  <w:rFonts w:eastAsia="方正仿宋简体"/>
                                  <w:b/>
                                  <w:bCs/>
                                  <w:sz w:val="24"/>
                                  <w:lang w:bidi="ar"/>
                                </w:rPr>
                                <w:t>–</w:t>
                              </w:r>
                              <w:r>
                                <w:rPr>
                                  <w:rFonts w:hint="eastAsia" w:ascii="方正仿宋简体" w:hAnsi="方正仿宋简体" w:eastAsia="方正仿宋简体" w:cs="方正仿宋简体"/>
                                  <w:sz w:val="24"/>
                                  <w:lang w:bidi="ar"/>
                                </w:rPr>
                                <w:t>自然资源部门</w:t>
                              </w:r>
                            </w:p>
                          </w:txbxContent>
                        </wps:txbx>
                        <wps:bodyPr upright="1"/>
                      </wps:wsp>
                      <wps:wsp>
                        <wps:cNvPr id="22" name="文本框 22"/>
                        <wps:cNvSpPr txBox="1"/>
                        <wps:spPr>
                          <a:xfrm>
                            <a:off x="9298" y="188498"/>
                            <a:ext cx="2282" cy="143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30F322">
                              <w:pPr>
                                <w:spacing w:before="156" w:beforeLines="50" w:line="320" w:lineRule="exact"/>
                                <w:rPr>
                                  <w:sz w:val="24"/>
                                </w:rPr>
                              </w:pPr>
                              <w:r>
                                <w:rPr>
                                  <w:rFonts w:hint="eastAsia" w:ascii="方正仿宋简体" w:hAnsi="方正仿宋简体" w:eastAsia="方正仿宋简体" w:cs="方正仿宋简体"/>
                                  <w:b/>
                                  <w:sz w:val="24"/>
                                  <w:lang w:bidi="ar"/>
                                </w:rPr>
                                <w:t>建设工程竣工验收（含一般建筑防雷验收）</w:t>
                              </w:r>
                              <w:r>
                                <w:rPr>
                                  <w:rFonts w:eastAsia="方正仿宋简体"/>
                                  <w:b/>
                                  <w:bCs/>
                                  <w:sz w:val="24"/>
                                  <w:lang w:bidi="ar"/>
                                </w:rPr>
                                <w:t>–</w:t>
                              </w:r>
                              <w:r>
                                <w:rPr>
                                  <w:rFonts w:hint="eastAsia" w:ascii="方正仿宋简体" w:hAnsi="方正仿宋简体" w:eastAsia="方正仿宋简体" w:cs="方正仿宋简体"/>
                                  <w:sz w:val="24"/>
                                  <w:lang w:bidi="ar"/>
                                </w:rPr>
                                <w:t>住建部门</w:t>
                              </w:r>
                            </w:p>
                          </w:txbxContent>
                        </wps:txbx>
                        <wps:bodyPr upright="1"/>
                      </wps:wsp>
                      <wps:wsp>
                        <wps:cNvPr id="23" name="文本框 23"/>
                        <wps:cNvSpPr txBox="1"/>
                        <wps:spPr>
                          <a:xfrm>
                            <a:off x="12741" y="188527"/>
                            <a:ext cx="2282" cy="139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46643C">
                              <w:pPr>
                                <w:spacing w:before="312" w:beforeLines="100" w:line="320" w:lineRule="exac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b/>
                                  <w:sz w:val="24"/>
                                  <w:lang w:bidi="ar"/>
                                </w:rPr>
                                <w:t>消防验收</w:t>
                              </w:r>
                              <w:r>
                                <w:rPr>
                                  <w:rFonts w:eastAsia="方正仿宋简体"/>
                                  <w:b/>
                                  <w:bCs/>
                                  <w:sz w:val="24"/>
                                  <w:lang w:bidi="ar"/>
                                </w:rPr>
                                <w:t>–</w:t>
                              </w:r>
                              <w:r>
                                <w:rPr>
                                  <w:rFonts w:hint="eastAsia" w:ascii="方正仿宋简体" w:hAnsi="方正仿宋简体" w:eastAsia="方正仿宋简体" w:cs="方正仿宋简体"/>
                                  <w:sz w:val="24"/>
                                  <w:lang w:bidi="ar"/>
                                </w:rPr>
                                <w:t>住建主管部门</w:t>
                              </w:r>
                            </w:p>
                          </w:txbxContent>
                        </wps:txbx>
                        <wps:bodyPr upright="1"/>
                      </wps:wsp>
                      <wps:wsp>
                        <wps:cNvPr id="24" name="文本框 24"/>
                        <wps:cNvSpPr txBox="1"/>
                        <wps:spPr>
                          <a:xfrm>
                            <a:off x="5471" y="186338"/>
                            <a:ext cx="6408" cy="951"/>
                          </a:xfrm>
                          <a:prstGeom prst="rect">
                            <a:avLst/>
                          </a:prstGeom>
                          <a:noFill/>
                          <a:ln w="9525" cap="flat" cmpd="sng">
                            <a:solidFill>
                              <a:srgbClr val="000000"/>
                            </a:solidFill>
                            <a:prstDash val="dash"/>
                            <a:miter/>
                            <a:headEnd type="none" w="med" len="med"/>
                            <a:tailEnd type="none" w="med" len="med"/>
                          </a:ln>
                        </wps:spPr>
                        <wps:txbx>
                          <w:txbxContent>
                            <w:p w14:paraId="00F8E1DB">
                              <w:pPr>
                                <w:spacing w:before="62" w:beforeLines="20" w:line="320" w:lineRule="exact"/>
                                <w:rPr>
                                  <w:rFonts w:eastAsia="方正仿宋简体"/>
                                  <w:b/>
                                  <w:sz w:val="24"/>
                                  <w:u w:val="single"/>
                                </w:rPr>
                              </w:pPr>
                              <w:r>
                                <w:rPr>
                                  <w:rFonts w:eastAsia="方正仿宋简体"/>
                                  <w:b/>
                                  <w:sz w:val="24"/>
                                  <w:u w:val="single"/>
                                  <w:lang w:bidi="ar"/>
                                </w:rPr>
                                <w:t>联合测绘（规划条件核实测绘、不动产测绘）</w:t>
                              </w:r>
                              <w:r>
                                <w:rPr>
                                  <w:rFonts w:eastAsia="方正仿宋简体"/>
                                  <w:sz w:val="24"/>
                                  <w:u w:val="single"/>
                                  <w:lang w:bidi="ar"/>
                                </w:rPr>
                                <w:t>–具备专业资格的第三方机构</w:t>
                              </w:r>
                            </w:p>
                          </w:txbxContent>
                        </wps:txbx>
                        <wps:bodyPr upright="1"/>
                      </wps:wsp>
                      <wps:wsp>
                        <wps:cNvPr id="25" name="直接连接符 25"/>
                        <wps:cNvCnPr/>
                        <wps:spPr>
                          <a:xfrm>
                            <a:off x="8679" y="187325"/>
                            <a:ext cx="1" cy="573"/>
                          </a:xfrm>
                          <a:prstGeom prst="line">
                            <a:avLst/>
                          </a:prstGeom>
                          <a:ln w="9525" cap="flat" cmpd="sng">
                            <a:solidFill>
                              <a:srgbClr val="000000"/>
                            </a:solidFill>
                            <a:prstDash val="solid"/>
                            <a:headEnd type="none" w="med" len="med"/>
                            <a:tailEnd type="arrow" w="med" len="med"/>
                          </a:ln>
                        </wps:spPr>
                        <wps:bodyPr upright="1"/>
                      </wps:wsp>
                      <wps:wsp>
                        <wps:cNvPr id="26" name="文本框 26"/>
                        <wps:cNvSpPr txBox="1"/>
                        <wps:spPr>
                          <a:xfrm>
                            <a:off x="5632" y="188502"/>
                            <a:ext cx="2282" cy="1422"/>
                          </a:xfrm>
                          <a:prstGeom prst="rect">
                            <a:avLst/>
                          </a:prstGeom>
                          <a:noFill/>
                          <a:ln w="9525" cap="flat" cmpd="sng">
                            <a:solidFill>
                              <a:srgbClr val="000000"/>
                            </a:solidFill>
                            <a:prstDash val="solid"/>
                            <a:miter/>
                            <a:headEnd type="none" w="med" len="med"/>
                            <a:tailEnd type="none" w="med" len="med"/>
                          </a:ln>
                        </wps:spPr>
                        <wps:txbx>
                          <w:txbxContent>
                            <w:p w14:paraId="3E7EC5B0">
                              <w:pPr>
                                <w:spacing w:before="312" w:beforeLines="100" w:line="320" w:lineRule="exact"/>
                                <w:rPr>
                                  <w:rFonts w:hint="eastAsia" w:ascii="方正仿宋简体" w:hAnsi="方正仿宋简体" w:eastAsia="方正仿宋简体" w:cs="方正仿宋简体"/>
                                  <w:sz w:val="24"/>
                                  <w:u w:val="single"/>
                                </w:rPr>
                              </w:pPr>
                              <w:r>
                                <w:rPr>
                                  <w:rFonts w:hint="eastAsia" w:ascii="方正仿宋简体" w:hAnsi="方正仿宋简体" w:eastAsia="方正仿宋简体" w:cs="方正仿宋简体"/>
                                  <w:b/>
                                  <w:sz w:val="24"/>
                                  <w:u w:val="single"/>
                                  <w:lang w:bidi="ar"/>
                                </w:rPr>
                                <w:t>建设工程档案验收</w:t>
                              </w:r>
                              <w:r>
                                <w:rPr>
                                  <w:rFonts w:eastAsia="方正仿宋简体"/>
                                  <w:sz w:val="24"/>
                                  <w:u w:val="single"/>
                                  <w:lang w:bidi="ar"/>
                                </w:rPr>
                                <w:t>–</w:t>
                              </w:r>
                              <w:r>
                                <w:rPr>
                                  <w:rFonts w:hint="eastAsia" w:ascii="方正仿宋简体" w:hAnsi="方正仿宋简体" w:eastAsia="方正仿宋简体" w:cs="方正仿宋简体"/>
                                  <w:sz w:val="24"/>
                                  <w:u w:val="single"/>
                                  <w:lang w:bidi="ar"/>
                                </w:rPr>
                                <w:t>自然资源部门</w:t>
                              </w:r>
                            </w:p>
                          </w:txbxContent>
                        </wps:txbx>
                        <wps:bodyPr upright="1"/>
                      </wps:wsp>
                      <wpg:grpSp>
                        <wpg:cNvPr id="32" name="组合 32"/>
                        <wpg:cNvGrpSpPr/>
                        <wpg:grpSpPr>
                          <a:xfrm>
                            <a:off x="3018" y="187889"/>
                            <a:ext cx="10868" cy="600"/>
                            <a:chOff x="3018" y="187929"/>
                            <a:chExt cx="10868" cy="600"/>
                          </a:xfrm>
                        </wpg:grpSpPr>
                        <wps:wsp>
                          <wps:cNvPr id="27" name="直接连接符 27"/>
                          <wps:cNvCnPr/>
                          <wps:spPr>
                            <a:xfrm>
                              <a:off x="3027" y="187937"/>
                              <a:ext cx="1" cy="573"/>
                            </a:xfrm>
                            <a:prstGeom prst="line">
                              <a:avLst/>
                            </a:prstGeom>
                            <a:ln w="9525" cap="flat" cmpd="sng">
                              <a:solidFill>
                                <a:srgbClr val="000000"/>
                              </a:solidFill>
                              <a:prstDash val="solid"/>
                              <a:headEnd type="none" w="med" len="med"/>
                              <a:tailEnd type="arrow" w="med" len="med"/>
                            </a:ln>
                          </wps:spPr>
                          <wps:bodyPr upright="1"/>
                        </wps:wsp>
                        <wps:wsp>
                          <wps:cNvPr id="28" name="直接连接符 28"/>
                          <wps:cNvCnPr/>
                          <wps:spPr>
                            <a:xfrm>
                              <a:off x="3018" y="187937"/>
                              <a:ext cx="10869" cy="1"/>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a:off x="10451" y="187930"/>
                              <a:ext cx="1" cy="573"/>
                            </a:xfrm>
                            <a:prstGeom prst="line">
                              <a:avLst/>
                            </a:prstGeom>
                            <a:ln w="9525" cap="flat" cmpd="sng">
                              <a:solidFill>
                                <a:srgbClr val="000000"/>
                              </a:solidFill>
                              <a:prstDash val="solid"/>
                              <a:headEnd type="none" w="med" len="med"/>
                              <a:tailEnd type="arrow" w="med" len="med"/>
                            </a:ln>
                          </wps:spPr>
                          <wps:bodyPr upright="1"/>
                        </wps:wsp>
                        <wps:wsp>
                          <wps:cNvPr id="30" name="直接连接符 30"/>
                          <wps:cNvCnPr/>
                          <wps:spPr>
                            <a:xfrm>
                              <a:off x="13885" y="187929"/>
                              <a:ext cx="1" cy="601"/>
                            </a:xfrm>
                            <a:prstGeom prst="line">
                              <a:avLst/>
                            </a:prstGeom>
                            <a:ln w="9525" cap="flat" cmpd="sng">
                              <a:solidFill>
                                <a:srgbClr val="000000"/>
                              </a:solidFill>
                              <a:prstDash val="solid"/>
                              <a:headEnd type="none" w="med" len="med"/>
                              <a:tailEnd type="arrow" w="med" len="med"/>
                            </a:ln>
                          </wps:spPr>
                          <wps:bodyPr upright="1"/>
                        </wps:wsp>
                        <wps:wsp>
                          <wps:cNvPr id="31" name="直接连接符 31"/>
                          <wps:cNvCnPr/>
                          <wps:spPr>
                            <a:xfrm>
                              <a:off x="6774" y="187933"/>
                              <a:ext cx="1" cy="573"/>
                            </a:xfrm>
                            <a:prstGeom prst="line">
                              <a:avLst/>
                            </a:prstGeom>
                            <a:ln w="9525" cap="flat" cmpd="sng">
                              <a:solidFill>
                                <a:srgbClr val="000000"/>
                              </a:solidFill>
                              <a:prstDash val="solid"/>
                              <a:headEnd type="none" w="med" len="med"/>
                              <a:tailEnd type="arrow" w="med" len="med"/>
                            </a:ln>
                          </wps:spPr>
                          <wps:bodyPr upright="1"/>
                        </wps:wsp>
                      </wpg:grpSp>
                    </wpg:wgp>
                  </a:graphicData>
                </a:graphic>
              </wp:anchor>
            </w:drawing>
          </mc:Choice>
          <mc:Fallback>
            <w:pict>
              <v:group id="_x0000_s1026" o:spid="_x0000_s1026" o:spt="203" style="position:absolute;left:0pt;margin-left:21.55pt;margin-top:27.2pt;height:179.8pt;width:657pt;z-index:251660288;mso-width-relative:page;mso-height-relative:page;" coordorigin="1883,186338" coordsize="13140,3596" o:gfxdata="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">
                <o:lock v:ext="edit" aspectratio="f"/>
                <v:shape id="_x0000_s1026" o:spid="_x0000_s1026" o:spt="202" type="#_x0000_t202" style="position:absolute;left:1883;top:188486;height:1437;width:2282;"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BEA2FDC">
                        <w:pPr>
                          <w:spacing w:before="156" w:beforeLines="50" w:line="320" w:lineRule="exac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b/>
                            <w:sz w:val="24"/>
                            <w:lang w:bidi="ar"/>
                          </w:rPr>
                          <w:t>建设工程规划条件核实合格证核发</w:t>
                        </w:r>
                        <w:r>
                          <w:rPr>
                            <w:rFonts w:eastAsia="方正仿宋简体"/>
                            <w:b/>
                            <w:bCs/>
                            <w:sz w:val="24"/>
                            <w:lang w:bidi="ar"/>
                          </w:rPr>
                          <w:t>–</w:t>
                        </w:r>
                        <w:r>
                          <w:rPr>
                            <w:rFonts w:hint="eastAsia" w:ascii="方正仿宋简体" w:hAnsi="方正仿宋简体" w:eastAsia="方正仿宋简体" w:cs="方正仿宋简体"/>
                            <w:sz w:val="24"/>
                            <w:lang w:bidi="ar"/>
                          </w:rPr>
                          <w:t>自然资源部门</w:t>
                        </w:r>
                      </w:p>
                    </w:txbxContent>
                  </v:textbox>
                </v:shape>
                <v:shape id="_x0000_s1026" o:spid="_x0000_s1026" o:spt="202" type="#_x0000_t202" style="position:absolute;left:9298;top:188498;height:1436;width:2282;"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930F322">
                        <w:pPr>
                          <w:spacing w:before="156" w:beforeLines="50" w:line="320" w:lineRule="exact"/>
                          <w:rPr>
                            <w:sz w:val="24"/>
                          </w:rPr>
                        </w:pPr>
                        <w:r>
                          <w:rPr>
                            <w:rFonts w:hint="eastAsia" w:ascii="方正仿宋简体" w:hAnsi="方正仿宋简体" w:eastAsia="方正仿宋简体" w:cs="方正仿宋简体"/>
                            <w:b/>
                            <w:sz w:val="24"/>
                            <w:lang w:bidi="ar"/>
                          </w:rPr>
                          <w:t>建设工程竣工验收（含一般建筑防雷验收）</w:t>
                        </w:r>
                        <w:r>
                          <w:rPr>
                            <w:rFonts w:eastAsia="方正仿宋简体"/>
                            <w:b/>
                            <w:bCs/>
                            <w:sz w:val="24"/>
                            <w:lang w:bidi="ar"/>
                          </w:rPr>
                          <w:t>–</w:t>
                        </w:r>
                        <w:r>
                          <w:rPr>
                            <w:rFonts w:hint="eastAsia" w:ascii="方正仿宋简体" w:hAnsi="方正仿宋简体" w:eastAsia="方正仿宋简体" w:cs="方正仿宋简体"/>
                            <w:sz w:val="24"/>
                            <w:lang w:bidi="ar"/>
                          </w:rPr>
                          <w:t>住建部门</w:t>
                        </w:r>
                      </w:p>
                    </w:txbxContent>
                  </v:textbox>
                </v:shape>
                <v:shape id="_x0000_s1026" o:spid="_x0000_s1026" o:spt="202" type="#_x0000_t202" style="position:absolute;left:12741;top:188527;height:1396;width:2282;"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A46643C">
                        <w:pPr>
                          <w:spacing w:before="312" w:beforeLines="100" w:line="320" w:lineRule="exac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b/>
                            <w:sz w:val="24"/>
                            <w:lang w:bidi="ar"/>
                          </w:rPr>
                          <w:t>消防验收</w:t>
                        </w:r>
                        <w:r>
                          <w:rPr>
                            <w:rFonts w:eastAsia="方正仿宋简体"/>
                            <w:b/>
                            <w:bCs/>
                            <w:sz w:val="24"/>
                            <w:lang w:bidi="ar"/>
                          </w:rPr>
                          <w:t>–</w:t>
                        </w:r>
                        <w:r>
                          <w:rPr>
                            <w:rFonts w:hint="eastAsia" w:ascii="方正仿宋简体" w:hAnsi="方正仿宋简体" w:eastAsia="方正仿宋简体" w:cs="方正仿宋简体"/>
                            <w:sz w:val="24"/>
                            <w:lang w:bidi="ar"/>
                          </w:rPr>
                          <w:t>住建主管部门</w:t>
                        </w:r>
                      </w:p>
                    </w:txbxContent>
                  </v:textbox>
                </v:shape>
                <v:shape id="_x0000_s1026" o:spid="_x0000_s1026" o:spt="202" type="#_x0000_t202" style="position:absolute;left:5471;top:186338;height:951;width:6408;" filled="f" stroked="t" coordsize="21600,21600" o:gfxdata="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1+ta/&#10;AAAA2wAAAA8AAAAAAAAAAQAgAAAAIgAAAGRycy9kb3ducmV2LnhtbFBLAQIUABQAAAAIAIdO4kAz&#10;LwWeOwAAADkAAAAQAAAAAAAAAAEAIAAAAA4BAABkcnMvc2hhcGV4bWwueG1sUEsFBgAAAAAGAAYA&#10;WwEAALgDAAAAAA==&#10;">
                  <v:fill on="f" focussize="0,0"/>
                  <v:stroke color="#000000" joinstyle="miter" dashstyle="dash"/>
                  <v:imagedata o:title=""/>
                  <o:lock v:ext="edit" aspectratio="f"/>
                  <v:textbox>
                    <w:txbxContent>
                      <w:p w14:paraId="00F8E1DB">
                        <w:pPr>
                          <w:spacing w:before="62" w:beforeLines="20" w:line="320" w:lineRule="exact"/>
                          <w:rPr>
                            <w:rFonts w:eastAsia="方正仿宋简体"/>
                            <w:b/>
                            <w:sz w:val="24"/>
                            <w:u w:val="single"/>
                          </w:rPr>
                        </w:pPr>
                        <w:r>
                          <w:rPr>
                            <w:rFonts w:eastAsia="方正仿宋简体"/>
                            <w:b/>
                            <w:sz w:val="24"/>
                            <w:u w:val="single"/>
                            <w:lang w:bidi="ar"/>
                          </w:rPr>
                          <w:t>联合测绘（规划条件核实测绘、不动产测绘）</w:t>
                        </w:r>
                        <w:r>
                          <w:rPr>
                            <w:rFonts w:eastAsia="方正仿宋简体"/>
                            <w:sz w:val="24"/>
                            <w:u w:val="single"/>
                            <w:lang w:bidi="ar"/>
                          </w:rPr>
                          <w:t>–具备专业资格的第三方机构</w:t>
                        </w:r>
                      </w:p>
                    </w:txbxContent>
                  </v:textbox>
                </v:shape>
                <v:line id="_x0000_s1026" o:spid="_x0000_s1026" o:spt="20" style="position:absolute;left:8679;top:187325;height:573;width:1;" filled="f" stroked="t" coordsize="21600,21600" o:gfxdata="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SkI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_x0000_s1026" o:spid="_x0000_s1026" o:spt="202" type="#_x0000_t202" style="position:absolute;left:5632;top:188502;height:1422;width:2282;" filled="f" stroked="t" coordsize="21600,21600" o:gfxdata="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KWme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14:paraId="3E7EC5B0">
                        <w:pPr>
                          <w:spacing w:before="312" w:beforeLines="100" w:line="320" w:lineRule="exact"/>
                          <w:rPr>
                            <w:rFonts w:hint="eastAsia" w:ascii="方正仿宋简体" w:hAnsi="方正仿宋简体" w:eastAsia="方正仿宋简体" w:cs="方正仿宋简体"/>
                            <w:sz w:val="24"/>
                            <w:u w:val="single"/>
                          </w:rPr>
                        </w:pPr>
                        <w:r>
                          <w:rPr>
                            <w:rFonts w:hint="eastAsia" w:ascii="方正仿宋简体" w:hAnsi="方正仿宋简体" w:eastAsia="方正仿宋简体" w:cs="方正仿宋简体"/>
                            <w:b/>
                            <w:sz w:val="24"/>
                            <w:u w:val="single"/>
                            <w:lang w:bidi="ar"/>
                          </w:rPr>
                          <w:t>建设工程档案验收</w:t>
                        </w:r>
                        <w:r>
                          <w:rPr>
                            <w:rFonts w:eastAsia="方正仿宋简体"/>
                            <w:sz w:val="24"/>
                            <w:u w:val="single"/>
                            <w:lang w:bidi="ar"/>
                          </w:rPr>
                          <w:t>–</w:t>
                        </w:r>
                        <w:r>
                          <w:rPr>
                            <w:rFonts w:hint="eastAsia" w:ascii="方正仿宋简体" w:hAnsi="方正仿宋简体" w:eastAsia="方正仿宋简体" w:cs="方正仿宋简体"/>
                            <w:sz w:val="24"/>
                            <w:u w:val="single"/>
                            <w:lang w:bidi="ar"/>
                          </w:rPr>
                          <w:t>自然资源部门</w:t>
                        </w:r>
                      </w:p>
                    </w:txbxContent>
                  </v:textbox>
                </v:shape>
                <v:group id="_x0000_s1026" o:spid="_x0000_s1026" o:spt="203" style="position:absolute;left:3018;top:187889;height:600;width:10868;" coordorigin="3018,187929" coordsize="10868,60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027;top:187937;height:573;width:1;" filled="f" stroked="t" coordsize="21600,21600" o:gfxdata="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qfz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3018;top:187937;height:1;width:10869;"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0451;top:187930;height:573;width:1;" filled="f" stroked="t" coordsize="21600,21600" o:gfxdata="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muJ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13885;top:187929;height:601;width:1;" filled="f" stroked="t" coordsize="21600,21600" o:gfxdata="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6kWS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6774;top:187933;height:573;width:1;" filled="f" stroked="t" coordsize="21600,21600" o:gfxdata="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Y0/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w:pict>
          </mc:Fallback>
        </mc:AlternateContent>
      </w:r>
    </w:p>
    <w:p w14:paraId="02C9387F">
      <w:pPr>
        <w:keepNext w:val="0"/>
        <w:keepLines w:val="0"/>
        <w:pageBreakBefore w:val="0"/>
        <w:kinsoku/>
        <w:wordWrap/>
        <w:overflowPunct/>
        <w:topLinePunct w:val="0"/>
        <w:autoSpaceDE/>
        <w:autoSpaceDN/>
        <w:bidi w:val="0"/>
        <w:adjustRightInd/>
        <w:snapToGrid/>
        <w:spacing w:line="620" w:lineRule="exact"/>
        <w:jc w:val="left"/>
        <w:textAlignment w:val="auto"/>
        <w:rPr>
          <w:rFonts w:eastAsia="黑体"/>
          <w:color w:val="auto"/>
          <w:sz w:val="30"/>
          <w:szCs w:val="30"/>
          <w:u w:val="none"/>
          <w:shd w:val="clear" w:color="auto" w:fill="FFFFFF"/>
        </w:rPr>
      </w:pPr>
    </w:p>
    <w:p w14:paraId="109301A3">
      <w:pPr>
        <w:keepNext w:val="0"/>
        <w:keepLines w:val="0"/>
        <w:pageBreakBefore w:val="0"/>
        <w:kinsoku/>
        <w:wordWrap/>
        <w:overflowPunct/>
        <w:topLinePunct w:val="0"/>
        <w:autoSpaceDE/>
        <w:autoSpaceDN/>
        <w:bidi w:val="0"/>
        <w:adjustRightInd/>
        <w:snapToGrid/>
        <w:spacing w:line="620" w:lineRule="exact"/>
        <w:jc w:val="left"/>
        <w:textAlignment w:val="auto"/>
        <w:rPr>
          <w:rFonts w:eastAsia="黑体"/>
          <w:color w:val="auto"/>
          <w:sz w:val="30"/>
          <w:szCs w:val="30"/>
          <w:u w:val="none"/>
          <w:shd w:val="clear" w:color="auto" w:fill="FFFFFF"/>
        </w:rPr>
      </w:pPr>
    </w:p>
    <w:p w14:paraId="525F1C04">
      <w:pPr>
        <w:keepNext w:val="0"/>
        <w:keepLines w:val="0"/>
        <w:pageBreakBefore w:val="0"/>
        <w:kinsoku/>
        <w:wordWrap/>
        <w:overflowPunct/>
        <w:topLinePunct w:val="0"/>
        <w:autoSpaceDE/>
        <w:autoSpaceDN/>
        <w:bidi w:val="0"/>
        <w:adjustRightInd/>
        <w:snapToGrid/>
        <w:spacing w:line="620" w:lineRule="exact"/>
        <w:jc w:val="left"/>
        <w:textAlignment w:val="auto"/>
        <w:rPr>
          <w:rFonts w:eastAsia="黑体"/>
          <w:color w:val="auto"/>
          <w:sz w:val="30"/>
          <w:szCs w:val="30"/>
          <w:u w:val="none"/>
          <w:shd w:val="clear" w:color="auto" w:fill="FFFFFF"/>
        </w:rPr>
      </w:pPr>
    </w:p>
    <w:p w14:paraId="3C685DE8">
      <w:pPr>
        <w:keepNext w:val="0"/>
        <w:keepLines w:val="0"/>
        <w:pageBreakBefore w:val="0"/>
        <w:kinsoku/>
        <w:wordWrap/>
        <w:overflowPunct/>
        <w:topLinePunct w:val="0"/>
        <w:autoSpaceDE/>
        <w:autoSpaceDN/>
        <w:bidi w:val="0"/>
        <w:adjustRightInd/>
        <w:snapToGrid/>
        <w:spacing w:line="620" w:lineRule="exact"/>
        <w:jc w:val="left"/>
        <w:textAlignment w:val="auto"/>
        <w:rPr>
          <w:rFonts w:eastAsia="Times New Roman"/>
          <w:color w:val="auto"/>
          <w:sz w:val="44"/>
          <w:szCs w:val="44"/>
          <w:u w:val="none"/>
        </w:rPr>
      </w:pPr>
    </w:p>
    <w:p w14:paraId="2F966C3B">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14:paraId="251D2694">
      <w:pPr>
        <w:keepNext w:val="0"/>
        <w:keepLines w:val="0"/>
        <w:pageBreakBefore w:val="0"/>
        <w:kinsoku/>
        <w:wordWrap/>
        <w:overflowPunct/>
        <w:topLinePunct w:val="0"/>
        <w:autoSpaceDE/>
        <w:autoSpaceDN/>
        <w:bidi w:val="0"/>
        <w:adjustRightInd/>
        <w:snapToGrid/>
        <w:spacing w:line="620" w:lineRule="exact"/>
        <w:textAlignment w:val="auto"/>
        <w:rPr>
          <w:rFonts w:eastAsia="Times New Roman"/>
          <w:color w:val="auto"/>
          <w:sz w:val="44"/>
          <w:szCs w:val="44"/>
          <w:u w:val="none"/>
        </w:rPr>
      </w:pPr>
    </w:p>
    <w:p w14:paraId="7407FF8A">
      <w:pPr>
        <w:keepNext w:val="0"/>
        <w:keepLines w:val="0"/>
        <w:pageBreakBefore w:val="0"/>
        <w:kinsoku/>
        <w:wordWrap/>
        <w:overflowPunct/>
        <w:topLinePunct w:val="0"/>
        <w:autoSpaceDE/>
        <w:autoSpaceDN/>
        <w:bidi w:val="0"/>
        <w:adjustRightInd/>
        <w:snapToGrid/>
        <w:spacing w:line="620" w:lineRule="exact"/>
        <w:jc w:val="left"/>
        <w:textAlignment w:val="auto"/>
        <w:rPr>
          <w:rFonts w:eastAsia="楷体_GB2312"/>
          <w:color w:val="auto"/>
          <w:sz w:val="24"/>
          <w:u w:val="none"/>
        </w:rPr>
      </w:pPr>
    </w:p>
    <w:p w14:paraId="45A3FD97">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方正楷体简体" w:hAnsi="方正楷体简体" w:eastAsia="方正楷体简体" w:cs="方正楷体简体"/>
          <w:color w:val="auto"/>
          <w:sz w:val="24"/>
          <w:u w:val="none"/>
          <w:lang w:bidi="ar"/>
        </w:rPr>
      </w:pPr>
      <w:r>
        <w:rPr>
          <w:rFonts w:hint="eastAsia" w:ascii="方正楷体简体" w:hAnsi="方正楷体简体" w:eastAsia="方正楷体简体" w:cs="方正楷体简体"/>
          <w:color w:val="auto"/>
          <w:sz w:val="24"/>
          <w:u w:val="none"/>
          <w:lang w:bidi="ar"/>
        </w:rPr>
        <w:t>备注：如建设项目涉及人民防空工程建设的，必须有人民防空主管部门参加人民防空工程质量监督和竣工验收。</w:t>
      </w:r>
    </w:p>
    <w:p w14:paraId="5510918F">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方正楷体简体" w:hAnsi="方正楷体简体" w:eastAsia="方正楷体简体" w:cs="方正楷体简体"/>
          <w:color w:val="auto"/>
          <w:sz w:val="24"/>
          <w:u w:val="none"/>
          <w:lang w:bidi="ar"/>
        </w:rPr>
      </w:pPr>
    </w:p>
    <w:p w14:paraId="29C0EFD8">
      <w:pPr>
        <w:keepNext w:val="0"/>
        <w:keepLines w:val="0"/>
        <w:pageBreakBefore w:val="0"/>
        <w:kinsoku/>
        <w:wordWrap/>
        <w:overflowPunct/>
        <w:topLinePunct w:val="0"/>
        <w:autoSpaceDE/>
        <w:autoSpaceDN/>
        <w:bidi w:val="0"/>
        <w:adjustRightInd/>
        <w:snapToGrid/>
        <w:spacing w:line="620" w:lineRule="exact"/>
        <w:jc w:val="left"/>
        <w:textAlignment w:val="auto"/>
        <w:rPr>
          <w:rFonts w:hint="eastAsia" w:ascii="方正楷体简体" w:hAnsi="方正楷体简体" w:eastAsia="方正楷体简体" w:cs="方正楷体简体"/>
          <w:color w:val="auto"/>
          <w:sz w:val="24"/>
          <w:u w:val="none"/>
          <w:lang w:bidi="ar"/>
        </w:rPr>
      </w:pPr>
    </w:p>
    <w:p w14:paraId="13EF0B9E">
      <w:pPr>
        <w:keepNext w:val="0"/>
        <w:keepLines w:val="0"/>
        <w:pageBreakBefore w:val="0"/>
        <w:kinsoku/>
        <w:wordWrap/>
        <w:overflowPunct/>
        <w:topLinePunct w:val="0"/>
        <w:autoSpaceDE/>
        <w:autoSpaceDN/>
        <w:bidi w:val="0"/>
        <w:adjustRightInd/>
        <w:snapToGrid/>
        <w:spacing w:line="620" w:lineRule="exact"/>
        <w:textAlignment w:val="auto"/>
        <w:rPr>
          <w:rFonts w:ascii="方正黑体简体" w:eastAsia="方正黑体简体"/>
          <w:color w:val="auto"/>
          <w:sz w:val="32"/>
          <w:szCs w:val="32"/>
          <w:u w:val="none"/>
        </w:rPr>
        <w:sectPr>
          <w:footerReference r:id="rId5" w:type="default"/>
          <w:pgSz w:w="16838" w:h="11906" w:orient="landscape"/>
          <w:pgMar w:top="1417" w:right="1417" w:bottom="1417" w:left="1417" w:header="851" w:footer="1134" w:gutter="0"/>
          <w:cols w:space="720" w:num="1"/>
          <w:docGrid w:type="lines" w:linePitch="312" w:charSpace="0"/>
        </w:sectPr>
      </w:pPr>
    </w:p>
    <w:p w14:paraId="784162CD">
      <w:pPr>
        <w:keepNext w:val="0"/>
        <w:keepLines w:val="0"/>
        <w:pageBreakBefore w:val="0"/>
        <w:kinsoku/>
        <w:wordWrap/>
        <w:overflowPunct/>
        <w:topLinePunct w:val="0"/>
        <w:autoSpaceDE/>
        <w:autoSpaceDN/>
        <w:bidi w:val="0"/>
        <w:adjustRightInd/>
        <w:snapToGrid/>
        <w:spacing w:line="620" w:lineRule="exact"/>
        <w:textAlignment w:val="auto"/>
        <w:outlineLvl w:val="0"/>
        <w:rPr>
          <w:rFonts w:eastAsia="方正黑体_GBK"/>
          <w:color w:val="auto"/>
          <w:sz w:val="32"/>
          <w:szCs w:val="32"/>
          <w:u w:val="none"/>
        </w:rPr>
      </w:pPr>
      <w:r>
        <w:rPr>
          <w:rFonts w:eastAsia="方正黑体_GBK"/>
          <w:color w:val="auto"/>
          <w:sz w:val="32"/>
          <w:szCs w:val="32"/>
          <w:u w:val="none"/>
          <w:lang w:bidi="ar"/>
        </w:rPr>
        <w:t>附件3</w:t>
      </w:r>
    </w:p>
    <w:p w14:paraId="0DAC1992">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简体"/>
          <w:color w:val="auto"/>
          <w:sz w:val="36"/>
          <w:szCs w:val="36"/>
          <w:u w:val="none"/>
        </w:rPr>
      </w:pPr>
    </w:p>
    <w:p w14:paraId="149BE863">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简体"/>
          <w:color w:val="auto"/>
          <w:spacing w:val="-11"/>
          <w:sz w:val="44"/>
          <w:szCs w:val="44"/>
          <w:u w:val="none"/>
        </w:rPr>
      </w:pPr>
      <w:r>
        <w:rPr>
          <w:rFonts w:hint="eastAsia" w:hAnsi="方正小标宋简体" w:eastAsia="方正小标宋简体" w:cs="方正小标宋简体"/>
          <w:color w:val="auto"/>
          <w:spacing w:val="-11"/>
          <w:sz w:val="44"/>
          <w:szCs w:val="44"/>
          <w:u w:val="none"/>
          <w:lang w:bidi="ar"/>
        </w:rPr>
        <w:t>产业投资项目</w:t>
      </w:r>
      <w:r>
        <w:rPr>
          <w:rFonts w:eastAsia="方正小标宋简体"/>
          <w:color w:val="auto"/>
          <w:spacing w:val="-11"/>
          <w:sz w:val="44"/>
          <w:szCs w:val="44"/>
          <w:u w:val="none"/>
          <w:lang w:bidi="ar"/>
        </w:rPr>
        <w:t>“</w:t>
      </w:r>
      <w:r>
        <w:rPr>
          <w:rFonts w:hint="eastAsia" w:hAnsi="方正小标宋简体" w:eastAsia="方正小标宋简体" w:cs="方正小标宋简体"/>
          <w:color w:val="auto"/>
          <w:spacing w:val="-11"/>
          <w:sz w:val="44"/>
          <w:szCs w:val="44"/>
          <w:u w:val="none"/>
          <w:lang w:bidi="ar"/>
        </w:rPr>
        <w:t>双容双承诺</w:t>
      </w:r>
      <w:r>
        <w:rPr>
          <w:rFonts w:eastAsia="方正小标宋简体"/>
          <w:color w:val="auto"/>
          <w:spacing w:val="-11"/>
          <w:sz w:val="44"/>
          <w:szCs w:val="44"/>
          <w:u w:val="none"/>
          <w:lang w:bidi="ar"/>
        </w:rPr>
        <w:t>”</w:t>
      </w:r>
      <w:r>
        <w:rPr>
          <w:rFonts w:hint="eastAsia" w:hAnsi="方正小标宋简体" w:eastAsia="方正小标宋简体" w:cs="方正小标宋简体"/>
          <w:color w:val="auto"/>
          <w:spacing w:val="-11"/>
          <w:sz w:val="44"/>
          <w:szCs w:val="44"/>
          <w:u w:val="none"/>
          <w:lang w:bidi="ar"/>
        </w:rPr>
        <w:t>直接落地双向承诺书</w:t>
      </w:r>
    </w:p>
    <w:p w14:paraId="274788EA">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kern w:val="0"/>
          <w:sz w:val="32"/>
          <w:szCs w:val="32"/>
          <w:u w:val="none"/>
        </w:rPr>
      </w:pPr>
    </w:p>
    <w:p w14:paraId="4B3AB185">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r>
        <w:rPr>
          <w:rFonts w:eastAsia="方正仿宋简体"/>
          <w:color w:val="auto"/>
          <w:sz w:val="32"/>
          <w:szCs w:val="32"/>
          <w:u w:val="none"/>
          <w:lang w:bidi="ar"/>
        </w:rPr>
        <w:t>根据</w:t>
      </w:r>
      <w:r>
        <w:rPr>
          <w:rFonts w:eastAsia="方正仿宋简体"/>
          <w:color w:val="auto"/>
          <w:sz w:val="32"/>
          <w:szCs w:val="32"/>
          <w:highlight w:val="none"/>
          <w:u w:val="none"/>
          <w:lang w:bidi="ar"/>
        </w:rPr>
        <w:t>《中共广东省委、广东省人民政府关于深化投融资体制改革的实施意见》和《</w:t>
      </w:r>
      <w:r>
        <w:rPr>
          <w:rFonts w:hint="eastAsia" w:eastAsia="方正仿宋简体"/>
          <w:color w:val="auto"/>
          <w:sz w:val="32"/>
          <w:szCs w:val="32"/>
          <w:highlight w:val="none"/>
          <w:u w:val="none"/>
          <w:lang w:val="en-US" w:eastAsia="zh-CN" w:bidi="ar"/>
        </w:rPr>
        <w:t>源城区</w:t>
      </w:r>
      <w:r>
        <w:rPr>
          <w:rFonts w:eastAsia="方正仿宋简体"/>
          <w:color w:val="auto"/>
          <w:sz w:val="32"/>
          <w:szCs w:val="32"/>
          <w:highlight w:val="none"/>
          <w:u w:val="none"/>
          <w:lang w:bidi="ar"/>
        </w:rPr>
        <w:t>深化产业投资项目“双容双承诺”直接落地改革实施方案》</w:t>
      </w:r>
      <w:r>
        <w:rPr>
          <w:rFonts w:eastAsia="方正仿宋简体"/>
          <w:color w:val="auto"/>
          <w:sz w:val="32"/>
          <w:szCs w:val="32"/>
          <w:u w:val="none"/>
          <w:lang w:bidi="ar"/>
        </w:rPr>
        <w:t>要求</w:t>
      </w:r>
      <w:r>
        <w:rPr>
          <w:rFonts w:hint="eastAsia" w:eastAsia="方正仿宋简体"/>
          <w:color w:val="auto"/>
          <w:sz w:val="32"/>
          <w:szCs w:val="32"/>
          <w:u w:val="none"/>
          <w:lang w:eastAsia="zh-CN" w:bidi="ar"/>
        </w:rPr>
        <w:t>，</w:t>
      </w:r>
      <w:r>
        <w:rPr>
          <w:rFonts w:eastAsia="方正仿宋简体"/>
          <w:color w:val="auto"/>
          <w:sz w:val="32"/>
          <w:szCs w:val="32"/>
          <w:u w:val="none"/>
          <w:lang w:bidi="ar"/>
        </w:rPr>
        <w:t>对产业投资项目直接落地实行</w:t>
      </w:r>
      <w:r>
        <w:rPr>
          <w:rFonts w:eastAsia="方正仿宋简体"/>
          <w:color w:val="auto"/>
          <w:sz w:val="32"/>
          <w:szCs w:val="32"/>
          <w:u w:val="none"/>
          <w:shd w:val="clear" w:color="auto" w:fill="FFFFFF"/>
          <w:lang w:bidi="ar"/>
        </w:rPr>
        <w:t>双向依法承诺制度，</w:t>
      </w:r>
      <w:r>
        <w:rPr>
          <w:rFonts w:eastAsia="方正仿宋简体"/>
          <w:color w:val="auto"/>
          <w:sz w:val="32"/>
          <w:szCs w:val="32"/>
          <w:u w:val="none"/>
          <w:lang w:bidi="ar"/>
        </w:rPr>
        <w:t>企业承诺内容包括环境影响评价、节能评估、消防设计、人防设计、防雷装置设计、建设工程设计方案审查、施工图审查、安全监督登记、施工许可等手续。行政服务中心和有关部门的承诺内容包括要主动对接，指导协助企业及时办理法律法规要求的各项手续，密切跟踪服务，依法严格按标准履职监管，不得缺位，也不得变相增加法律法规规定以外的审批以及监管事项等。</w:t>
      </w:r>
    </w:p>
    <w:p w14:paraId="702B90B2">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r>
        <w:rPr>
          <w:rFonts w:eastAsia="方正仿宋简体"/>
          <w:color w:val="auto"/>
          <w:sz w:val="32"/>
          <w:szCs w:val="32"/>
          <w:u w:val="none"/>
          <w:lang w:bidi="ar"/>
        </w:rPr>
        <w:t>现经双方同意，签订本《产业投资项目“双容双承诺”直接落地双向承诺书》，具体承诺条款详见附件1、附件2。</w:t>
      </w:r>
    </w:p>
    <w:p w14:paraId="1011BDE9">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sz w:val="32"/>
          <w:szCs w:val="32"/>
          <w:u w:val="none"/>
        </w:rPr>
      </w:pPr>
    </w:p>
    <w:p w14:paraId="1944F58D">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eastAsia="方正仿宋简体"/>
          <w:color w:val="auto"/>
          <w:sz w:val="32"/>
          <w:szCs w:val="32"/>
          <w:u w:val="none"/>
        </w:rPr>
      </w:pPr>
      <w:r>
        <w:rPr>
          <w:rFonts w:eastAsia="方正仿宋简体"/>
          <w:color w:val="auto"/>
          <w:sz w:val="32"/>
          <w:szCs w:val="32"/>
          <w:u w:val="none"/>
          <w:lang w:bidi="ar"/>
        </w:rPr>
        <w:t>附件：1.企业承诺条款</w:t>
      </w:r>
    </w:p>
    <w:p w14:paraId="56626C37">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r>
        <w:rPr>
          <w:rFonts w:eastAsia="方正仿宋简体"/>
          <w:color w:val="auto"/>
          <w:sz w:val="32"/>
          <w:szCs w:val="32"/>
          <w:u w:val="none"/>
          <w:lang w:bidi="ar"/>
        </w:rPr>
        <w:t xml:space="preserve">      2.政府部门承诺条款</w:t>
      </w:r>
    </w:p>
    <w:p w14:paraId="44913ADE">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p>
    <w:p w14:paraId="7D288B98">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p>
    <w:p w14:paraId="65FF0C48">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sz w:val="32"/>
          <w:szCs w:val="32"/>
          <w:u w:val="none"/>
        </w:rPr>
      </w:pPr>
      <w:r>
        <w:rPr>
          <w:rFonts w:eastAsia="方正仿宋简体"/>
          <w:color w:val="auto"/>
          <w:sz w:val="32"/>
          <w:szCs w:val="32"/>
          <w:u w:val="none"/>
          <w:lang w:bidi="ar"/>
        </w:rPr>
        <w:t xml:space="preserve">承诺企业（公章）：     </w:t>
      </w:r>
      <w:r>
        <w:rPr>
          <w:rFonts w:hint="eastAsia" w:eastAsia="方正仿宋简体"/>
          <w:color w:val="auto"/>
          <w:sz w:val="32"/>
          <w:szCs w:val="32"/>
          <w:u w:val="none"/>
          <w:lang w:bidi="ar"/>
        </w:rPr>
        <w:t xml:space="preserve"> </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行政服务中心（公章）：</w:t>
      </w:r>
    </w:p>
    <w:p w14:paraId="294E14F4">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sz w:val="32"/>
          <w:szCs w:val="32"/>
          <w:u w:val="none"/>
        </w:rPr>
      </w:pPr>
      <w:r>
        <w:rPr>
          <w:rFonts w:eastAsia="方正仿宋简体"/>
          <w:color w:val="auto"/>
          <w:sz w:val="32"/>
          <w:szCs w:val="32"/>
          <w:u w:val="none"/>
          <w:lang w:bidi="ar"/>
        </w:rPr>
        <w:t>法定代表人（签字）：    法定代表人（签字）：</w:t>
      </w:r>
    </w:p>
    <w:p w14:paraId="3B509464">
      <w:pPr>
        <w:keepNext w:val="0"/>
        <w:keepLines w:val="0"/>
        <w:pageBreakBefore w:val="0"/>
        <w:kinsoku/>
        <w:wordWrap/>
        <w:overflowPunct/>
        <w:topLinePunct w:val="0"/>
        <w:autoSpaceDE/>
        <w:autoSpaceDN/>
        <w:bidi w:val="0"/>
        <w:adjustRightInd/>
        <w:snapToGrid/>
        <w:spacing w:line="620" w:lineRule="exact"/>
        <w:ind w:firstLine="960" w:firstLineChars="300"/>
        <w:textAlignment w:val="auto"/>
        <w:rPr>
          <w:rFonts w:eastAsia="方正仿宋简体"/>
          <w:color w:val="auto"/>
          <w:sz w:val="32"/>
          <w:szCs w:val="32"/>
          <w:u w:val="none"/>
        </w:rPr>
      </w:pPr>
      <w:r>
        <w:rPr>
          <w:rFonts w:eastAsia="方正仿宋简体"/>
          <w:color w:val="auto"/>
          <w:sz w:val="32"/>
          <w:szCs w:val="32"/>
          <w:u w:val="none"/>
          <w:lang w:bidi="ar"/>
        </w:rPr>
        <w:t xml:space="preserve">年 </w:t>
      </w:r>
      <w:r>
        <w:rPr>
          <w:rFonts w:hint="eastAsia" w:eastAsia="方正仿宋简体"/>
          <w:color w:val="auto"/>
          <w:sz w:val="32"/>
          <w:szCs w:val="32"/>
          <w:u w:val="none"/>
          <w:lang w:bidi="ar"/>
        </w:rPr>
        <w:t xml:space="preserve"> </w:t>
      </w:r>
      <w:r>
        <w:rPr>
          <w:rFonts w:eastAsia="方正仿宋简体"/>
          <w:color w:val="auto"/>
          <w:sz w:val="32"/>
          <w:szCs w:val="32"/>
          <w:u w:val="none"/>
          <w:lang w:bidi="ar"/>
        </w:rPr>
        <w:t xml:space="preserve"> 月 </w:t>
      </w:r>
      <w:r>
        <w:rPr>
          <w:rFonts w:hint="eastAsia" w:eastAsia="方正仿宋简体"/>
          <w:color w:val="auto"/>
          <w:sz w:val="32"/>
          <w:szCs w:val="32"/>
          <w:u w:val="none"/>
          <w:lang w:bidi="ar"/>
        </w:rPr>
        <w:t xml:space="preserve"> </w:t>
      </w:r>
      <w:r>
        <w:rPr>
          <w:rFonts w:eastAsia="方正仿宋简体"/>
          <w:color w:val="auto"/>
          <w:sz w:val="32"/>
          <w:szCs w:val="32"/>
          <w:u w:val="none"/>
          <w:lang w:bidi="ar"/>
        </w:rPr>
        <w:t xml:space="preserve"> 日   </w:t>
      </w:r>
      <w:r>
        <w:rPr>
          <w:rFonts w:hint="eastAsia" w:eastAsia="方正仿宋简体"/>
          <w:color w:val="auto"/>
          <w:sz w:val="32"/>
          <w:szCs w:val="32"/>
          <w:u w:val="none"/>
          <w:lang w:bidi="ar"/>
        </w:rPr>
        <w:t xml:space="preserve">        </w:t>
      </w:r>
      <w:r>
        <w:rPr>
          <w:rFonts w:eastAsia="方正仿宋简体"/>
          <w:color w:val="auto"/>
          <w:sz w:val="32"/>
          <w:szCs w:val="32"/>
          <w:u w:val="none"/>
          <w:lang w:bidi="ar"/>
        </w:rPr>
        <w:t xml:space="preserve">年 </w:t>
      </w:r>
      <w:r>
        <w:rPr>
          <w:rFonts w:hint="eastAsia" w:eastAsia="方正仿宋简体"/>
          <w:color w:val="auto"/>
          <w:sz w:val="32"/>
          <w:szCs w:val="32"/>
          <w:u w:val="none"/>
          <w:lang w:bidi="ar"/>
        </w:rPr>
        <w:t xml:space="preserve"> </w:t>
      </w:r>
      <w:r>
        <w:rPr>
          <w:rFonts w:eastAsia="方正仿宋简体"/>
          <w:color w:val="auto"/>
          <w:sz w:val="32"/>
          <w:szCs w:val="32"/>
          <w:u w:val="none"/>
          <w:lang w:bidi="ar"/>
        </w:rPr>
        <w:t xml:space="preserve"> 月 </w:t>
      </w:r>
      <w:r>
        <w:rPr>
          <w:rFonts w:hint="eastAsia" w:eastAsia="方正仿宋简体"/>
          <w:color w:val="auto"/>
          <w:sz w:val="32"/>
          <w:szCs w:val="32"/>
          <w:u w:val="none"/>
          <w:lang w:bidi="ar"/>
        </w:rPr>
        <w:t xml:space="preserve"> </w:t>
      </w:r>
      <w:r>
        <w:rPr>
          <w:rFonts w:eastAsia="方正仿宋简体"/>
          <w:color w:val="auto"/>
          <w:sz w:val="32"/>
          <w:szCs w:val="32"/>
          <w:u w:val="none"/>
          <w:lang w:bidi="ar"/>
        </w:rPr>
        <w:t xml:space="preserve"> 日</w:t>
      </w:r>
    </w:p>
    <w:p w14:paraId="100E1C74">
      <w:pPr>
        <w:keepNext w:val="0"/>
        <w:keepLines w:val="0"/>
        <w:pageBreakBefore w:val="0"/>
        <w:kinsoku/>
        <w:wordWrap/>
        <w:overflowPunct/>
        <w:topLinePunct w:val="0"/>
        <w:autoSpaceDE/>
        <w:autoSpaceDN/>
        <w:bidi w:val="0"/>
        <w:adjustRightInd/>
        <w:snapToGrid/>
        <w:spacing w:line="620" w:lineRule="exact"/>
        <w:textAlignment w:val="auto"/>
        <w:outlineLvl w:val="0"/>
        <w:rPr>
          <w:rFonts w:eastAsia="方正黑体_GBK"/>
          <w:color w:val="auto"/>
          <w:sz w:val="32"/>
          <w:szCs w:val="32"/>
          <w:u w:val="none"/>
          <w:lang w:bidi="ar"/>
        </w:rPr>
      </w:pPr>
      <w:r>
        <w:rPr>
          <w:rFonts w:hint="eastAsia" w:eastAsia="仿宋_GB2312" w:cs="仿宋_GB2312"/>
          <w:color w:val="auto"/>
          <w:sz w:val="32"/>
          <w:szCs w:val="32"/>
          <w:u w:val="none"/>
          <w:lang w:bidi="ar"/>
        </w:rPr>
        <w:br w:type="page"/>
      </w:r>
      <w:r>
        <w:rPr>
          <w:rFonts w:hint="eastAsia" w:eastAsia="方正黑体_GBK"/>
          <w:color w:val="auto"/>
          <w:sz w:val="32"/>
          <w:szCs w:val="32"/>
          <w:u w:val="none"/>
          <w:lang w:bidi="ar"/>
        </w:rPr>
        <w:t>附件</w:t>
      </w:r>
      <w:r>
        <w:rPr>
          <w:rFonts w:eastAsia="方正黑体_GBK"/>
          <w:color w:val="auto"/>
          <w:sz w:val="32"/>
          <w:szCs w:val="32"/>
          <w:u w:val="none"/>
          <w:lang w:bidi="ar"/>
        </w:rPr>
        <w:t>3-1</w:t>
      </w:r>
    </w:p>
    <w:p w14:paraId="08279105">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hAnsi="方正小标宋简体" w:eastAsia="方正小标宋简体" w:cs="方正小标宋简体"/>
          <w:color w:val="auto"/>
          <w:sz w:val="36"/>
          <w:szCs w:val="36"/>
          <w:u w:val="none"/>
          <w:lang w:bidi="ar"/>
        </w:rPr>
      </w:pPr>
    </w:p>
    <w:p w14:paraId="3DB808D8">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hAnsi="方正小标宋简体" w:eastAsia="方正小标宋简体" w:cs="方正小标宋简体"/>
          <w:color w:val="auto"/>
          <w:spacing w:val="-11"/>
          <w:sz w:val="44"/>
          <w:szCs w:val="44"/>
          <w:u w:val="none"/>
          <w:lang w:bidi="ar"/>
        </w:rPr>
      </w:pPr>
      <w:r>
        <w:rPr>
          <w:rFonts w:hint="eastAsia" w:hAnsi="方正小标宋简体" w:eastAsia="方正小标宋简体" w:cs="方正小标宋简体"/>
          <w:color w:val="auto"/>
          <w:spacing w:val="-11"/>
          <w:sz w:val="44"/>
          <w:szCs w:val="44"/>
          <w:u w:val="none"/>
          <w:lang w:bidi="ar"/>
        </w:rPr>
        <w:t>企业承诺条款</w:t>
      </w:r>
    </w:p>
    <w:p w14:paraId="242158E5">
      <w:pPr>
        <w:keepNext w:val="0"/>
        <w:keepLines w:val="0"/>
        <w:pageBreakBefore w:val="0"/>
        <w:kinsoku/>
        <w:wordWrap/>
        <w:overflowPunct/>
        <w:topLinePunct w:val="0"/>
        <w:autoSpaceDE/>
        <w:autoSpaceDN/>
        <w:bidi w:val="0"/>
        <w:adjustRightInd/>
        <w:snapToGrid/>
        <w:spacing w:before="156" w:beforeLines="50" w:line="620" w:lineRule="exact"/>
        <w:jc w:val="center"/>
        <w:textAlignment w:val="auto"/>
        <w:rPr>
          <w:rFonts w:hint="eastAsia" w:ascii="方正楷体简体" w:hAnsi="方正楷体简体" w:eastAsia="方正楷体简体" w:cs="方正楷体简体"/>
          <w:color w:val="auto"/>
          <w:sz w:val="32"/>
          <w:szCs w:val="32"/>
          <w:u w:val="none"/>
        </w:rPr>
      </w:pPr>
      <w:r>
        <w:rPr>
          <w:rFonts w:hint="eastAsia" w:ascii="方正楷体简体" w:hAnsi="方正楷体简体" w:eastAsia="方正楷体简体" w:cs="方正楷体简体"/>
          <w:color w:val="auto"/>
          <w:sz w:val="32"/>
          <w:szCs w:val="32"/>
          <w:u w:val="none"/>
          <w:lang w:bidi="ar"/>
        </w:rPr>
        <w:t>（范本，可根据项目实际情况进行调整）</w:t>
      </w:r>
    </w:p>
    <w:p w14:paraId="3AF14DF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kern w:val="0"/>
          <w:sz w:val="32"/>
          <w:szCs w:val="32"/>
          <w:u w:val="none"/>
        </w:rPr>
      </w:pPr>
    </w:p>
    <w:p w14:paraId="63A3F86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根据</w:t>
      </w:r>
      <w:r>
        <w:rPr>
          <w:rFonts w:eastAsia="方正仿宋简体"/>
          <w:color w:val="auto"/>
          <w:sz w:val="32"/>
          <w:szCs w:val="32"/>
          <w:highlight w:val="none"/>
          <w:u w:val="none"/>
          <w:lang w:bidi="ar"/>
        </w:rPr>
        <w:t>《中共广东省委、广东省人民政府关于深化投融资体制改革的实施意见》和《</w:t>
      </w:r>
      <w:r>
        <w:rPr>
          <w:rFonts w:hint="eastAsia" w:eastAsia="方正仿宋简体"/>
          <w:color w:val="auto"/>
          <w:sz w:val="32"/>
          <w:szCs w:val="32"/>
          <w:highlight w:val="none"/>
          <w:u w:val="none"/>
          <w:lang w:val="en-US" w:eastAsia="zh-CN" w:bidi="ar"/>
        </w:rPr>
        <w:t>源城区</w:t>
      </w:r>
      <w:r>
        <w:rPr>
          <w:rFonts w:eastAsia="方正仿宋简体"/>
          <w:color w:val="auto"/>
          <w:sz w:val="32"/>
          <w:szCs w:val="32"/>
          <w:highlight w:val="none"/>
          <w:u w:val="none"/>
          <w:lang w:bidi="ar"/>
        </w:rPr>
        <w:t>深化产业投资项目“双容双承诺”直接落地改革实施方案》</w:t>
      </w:r>
      <w:r>
        <w:rPr>
          <w:rFonts w:eastAsia="方正仿宋简体"/>
          <w:color w:val="auto"/>
          <w:sz w:val="32"/>
          <w:szCs w:val="32"/>
          <w:u w:val="none"/>
          <w:lang w:bidi="ar"/>
        </w:rPr>
        <w:t>要求，我公司在</w:t>
      </w:r>
      <w:r>
        <w:rPr>
          <w:rFonts w:hint="eastAsia" w:eastAsia="方正仿宋简体"/>
          <w:color w:val="auto"/>
          <w:sz w:val="32"/>
          <w:szCs w:val="32"/>
          <w:u w:val="none"/>
          <w:lang w:val="en-US" w:eastAsia="zh-CN" w:bidi="ar"/>
        </w:rPr>
        <w:t>源城区</w:t>
      </w:r>
      <w:r>
        <w:rPr>
          <w:rFonts w:eastAsia="方正仿宋简体"/>
          <w:color w:val="auto"/>
          <w:sz w:val="32"/>
          <w:szCs w:val="32"/>
          <w:u w:val="none"/>
          <w:lang w:bidi="ar"/>
        </w:rPr>
        <w:t>投资建设的项目，自愿参与</w:t>
      </w:r>
      <w:r>
        <w:rPr>
          <w:rFonts w:eastAsia="方正仿宋简体"/>
          <w:color w:val="auto"/>
          <w:sz w:val="32"/>
          <w:szCs w:val="32"/>
          <w:u w:val="none"/>
          <w:shd w:val="clear" w:color="auto" w:fill="FFFFFF"/>
          <w:lang w:bidi="ar"/>
        </w:rPr>
        <w:t>产业投资项目“先建后验”直接落地改革</w:t>
      </w:r>
      <w:r>
        <w:rPr>
          <w:rFonts w:eastAsia="方正仿宋简体"/>
          <w:color w:val="auto"/>
          <w:sz w:val="32"/>
          <w:szCs w:val="32"/>
          <w:u w:val="none"/>
          <w:lang w:bidi="ar"/>
        </w:rPr>
        <w:t>，遵守有关的管理规定，申请容缺预办竣工前的相关审批手续，郑重承诺自项目施工之日起，至项目主体工程完工之日止，严格按照相关审批、监管部门和单位的要求，依法依规完成下列事项：</w:t>
      </w:r>
    </w:p>
    <w:p w14:paraId="0DBCAB4D">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根据《中华人民共和国城乡规划法》等法律法规有关规定，严格按照自然资源部门核发的规划设计条件及相关技术管理规定规范，开展方案设计，并在规划条件核实前将建设工程设计方案（含人防地下室设计方案）报</w:t>
      </w:r>
      <w:r>
        <w:rPr>
          <w:rFonts w:hint="eastAsia" w:eastAsia="方正仿宋简体"/>
          <w:color w:val="auto"/>
          <w:sz w:val="32"/>
          <w:szCs w:val="32"/>
          <w:u w:val="none"/>
          <w:lang w:val="en-US" w:eastAsia="zh-CN" w:bidi="ar"/>
        </w:rPr>
        <w:t>源城区</w:t>
      </w:r>
      <w:r>
        <w:rPr>
          <w:rFonts w:eastAsia="方正仿宋简体"/>
          <w:color w:val="auto"/>
          <w:sz w:val="32"/>
          <w:szCs w:val="32"/>
          <w:u w:val="none"/>
          <w:lang w:bidi="ar"/>
        </w:rPr>
        <w:t>行政服务中心（以下简称中心）专窗审查，直至合格备案。</w:t>
      </w:r>
    </w:p>
    <w:p w14:paraId="2C73EE1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二、严格按照报经审查合格备案的建设工程设计方案（含人防地下室设计方案）成果图纸和内容组织施工。</w:t>
      </w:r>
    </w:p>
    <w:p w14:paraId="2800870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三、在项目主体工程封顶前申请办理完成建设用地手续（包括建设用地规划许可、不动产产权登记证）、建设工程规划许可手续。</w:t>
      </w:r>
    </w:p>
    <w:p w14:paraId="5214C9C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四、在建设施工场地临主干道、集散广场或者人流较集中区域悬挂建设工程规划许可内容及附图的公示牌，其尺寸规格严格按照自然资源部门有关规定执行。</w:t>
      </w:r>
    </w:p>
    <w:p w14:paraId="5C9F5DE5">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五、严格按照承诺的建设工程设计方案施工。</w:t>
      </w:r>
    </w:p>
    <w:p w14:paraId="09E23573">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eastAsia="方正仿宋简体"/>
          <w:b/>
          <w:bCs/>
          <w:color w:val="auto"/>
          <w:sz w:val="32"/>
          <w:szCs w:val="32"/>
          <w:u w:val="none"/>
          <w:lang w:val="en-US" w:eastAsia="zh-CN" w:bidi="ar"/>
        </w:rPr>
      </w:pPr>
      <w:r>
        <w:rPr>
          <w:rFonts w:eastAsia="方正仿宋简体"/>
          <w:b w:val="0"/>
          <w:bCs w:val="0"/>
          <w:color w:val="auto"/>
          <w:sz w:val="32"/>
          <w:szCs w:val="32"/>
          <w:u w:val="none"/>
          <w:lang w:bidi="ar"/>
        </w:rPr>
        <w:t>六、施工图设计文件应符合国家标准规范，所有新建扩建项目、现状改建项目应在</w:t>
      </w:r>
      <w:r>
        <w:rPr>
          <w:rFonts w:hint="eastAsia" w:eastAsia="方正仿宋简体"/>
          <w:b w:val="0"/>
          <w:bCs w:val="0"/>
          <w:color w:val="auto"/>
          <w:sz w:val="32"/>
          <w:szCs w:val="32"/>
          <w:u w:val="none"/>
          <w:lang w:val="en-US" w:eastAsia="zh-CN" w:bidi="ar"/>
        </w:rPr>
        <w:t>主体</w:t>
      </w:r>
      <w:r>
        <w:rPr>
          <w:rFonts w:eastAsia="方正仿宋简体"/>
          <w:b w:val="0"/>
          <w:bCs w:val="0"/>
          <w:color w:val="auto"/>
          <w:sz w:val="32"/>
          <w:szCs w:val="32"/>
          <w:u w:val="none"/>
          <w:lang w:bidi="ar"/>
        </w:rPr>
        <w:t>施工前</w:t>
      </w:r>
      <w:r>
        <w:rPr>
          <w:rFonts w:hint="eastAsia" w:eastAsia="方正仿宋简体"/>
          <w:b w:val="0"/>
          <w:bCs w:val="0"/>
          <w:color w:val="auto"/>
          <w:sz w:val="32"/>
          <w:szCs w:val="32"/>
          <w:u w:val="none"/>
          <w:lang w:val="en-US" w:eastAsia="zh-CN" w:bidi="ar"/>
        </w:rPr>
        <w:t>或</w:t>
      </w:r>
      <w:r>
        <w:rPr>
          <w:rFonts w:eastAsia="方正仿宋简体"/>
          <w:b w:val="0"/>
          <w:bCs w:val="0"/>
          <w:color w:val="auto"/>
          <w:sz w:val="32"/>
          <w:szCs w:val="32"/>
          <w:u w:val="none"/>
          <w:lang w:bidi="ar"/>
        </w:rPr>
        <w:t>内部改造项目应在正式施工前取得</w:t>
      </w:r>
      <w:r>
        <w:rPr>
          <w:rFonts w:hint="eastAsia" w:eastAsia="方正仿宋简体"/>
          <w:b w:val="0"/>
          <w:bCs w:val="0"/>
          <w:color w:val="auto"/>
          <w:sz w:val="32"/>
          <w:szCs w:val="32"/>
          <w:u w:val="none"/>
          <w:lang w:val="en-US" w:eastAsia="zh-CN" w:bidi="ar"/>
        </w:rPr>
        <w:t>如下材料：</w:t>
      </w:r>
    </w:p>
    <w:p w14:paraId="083C41B9">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一</w:t>
      </w:r>
      <w:r>
        <w:rPr>
          <w:rFonts w:eastAsia="方正仿宋简体"/>
          <w:b w:val="0"/>
          <w:bCs w:val="0"/>
          <w:color w:val="auto"/>
          <w:sz w:val="32"/>
          <w:szCs w:val="32"/>
          <w:u w:val="none"/>
          <w:lang w:bidi="ar"/>
        </w:rPr>
        <w:t>）经施工企业主要技术负责人签字并盖企业公章确认的施工场地具备施工条件的意见书。</w:t>
      </w:r>
    </w:p>
    <w:p w14:paraId="49609E55">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二</w:t>
      </w:r>
      <w:r>
        <w:rPr>
          <w:rFonts w:eastAsia="方正仿宋简体"/>
          <w:b w:val="0"/>
          <w:bCs w:val="0"/>
          <w:color w:val="auto"/>
          <w:sz w:val="32"/>
          <w:szCs w:val="32"/>
          <w:u w:val="none"/>
          <w:lang w:bidi="ar"/>
        </w:rPr>
        <w:t>）施工合同。</w:t>
      </w:r>
    </w:p>
    <w:p w14:paraId="6C0E738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三</w:t>
      </w:r>
      <w:r>
        <w:rPr>
          <w:rFonts w:eastAsia="方正仿宋简体"/>
          <w:b w:val="0"/>
          <w:bCs w:val="0"/>
          <w:color w:val="auto"/>
          <w:sz w:val="32"/>
          <w:szCs w:val="32"/>
          <w:u w:val="none"/>
          <w:lang w:bidi="ar"/>
        </w:rPr>
        <w:t>）中标通知书（依法必须招标的工程项目提供）。</w:t>
      </w:r>
    </w:p>
    <w:p w14:paraId="7C376343">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四</w:t>
      </w:r>
      <w:r>
        <w:rPr>
          <w:rFonts w:eastAsia="方正仿宋简体"/>
          <w:b w:val="0"/>
          <w:bCs w:val="0"/>
          <w:color w:val="auto"/>
          <w:sz w:val="32"/>
          <w:szCs w:val="32"/>
          <w:u w:val="none"/>
          <w:lang w:bidi="ar"/>
        </w:rPr>
        <w:t>）施工图设计文件及其审查合格证明。</w:t>
      </w:r>
    </w:p>
    <w:p w14:paraId="529FCAB9">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五</w:t>
      </w:r>
      <w:r>
        <w:rPr>
          <w:rFonts w:eastAsia="方正仿宋简体"/>
          <w:b w:val="0"/>
          <w:bCs w:val="0"/>
          <w:color w:val="auto"/>
          <w:sz w:val="32"/>
          <w:szCs w:val="32"/>
          <w:u w:val="none"/>
          <w:lang w:bidi="ar"/>
        </w:rPr>
        <w:t>）建设资金落实承诺书。</w:t>
      </w:r>
    </w:p>
    <w:p w14:paraId="403DD5E7">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六</w:t>
      </w:r>
      <w:r>
        <w:rPr>
          <w:rFonts w:eastAsia="方正仿宋简体"/>
          <w:b w:val="0"/>
          <w:bCs w:val="0"/>
          <w:color w:val="auto"/>
          <w:sz w:val="32"/>
          <w:szCs w:val="32"/>
          <w:u w:val="none"/>
          <w:lang w:bidi="ar"/>
        </w:rPr>
        <w:t>）建设、勘察、设计、施工、监理五方责任主体签署《法定代表人授权书》及《工程质量终身责任承诺书》。</w:t>
      </w:r>
    </w:p>
    <w:p w14:paraId="563B98FD">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七</w:t>
      </w:r>
      <w:r>
        <w:rPr>
          <w:rFonts w:eastAsia="方正仿宋简体"/>
          <w:b w:val="0"/>
          <w:bCs w:val="0"/>
          <w:color w:val="auto"/>
          <w:sz w:val="32"/>
          <w:szCs w:val="32"/>
          <w:u w:val="none"/>
          <w:lang w:bidi="ar"/>
        </w:rPr>
        <w:t>）经建设、监理、施工单位审核批准的施工组织设计（含质量和安全管理制度、管理架构、技术措施）。</w:t>
      </w:r>
    </w:p>
    <w:p w14:paraId="61D4205B">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rPr>
      </w:pPr>
      <w:r>
        <w:rPr>
          <w:rFonts w:eastAsia="方正仿宋简体"/>
          <w:b w:val="0"/>
          <w:bCs w:val="0"/>
          <w:color w:val="auto"/>
          <w:sz w:val="32"/>
          <w:szCs w:val="32"/>
          <w:u w:val="none"/>
          <w:lang w:bidi="ar"/>
        </w:rPr>
        <w:t>（</w:t>
      </w:r>
      <w:r>
        <w:rPr>
          <w:rFonts w:hint="eastAsia" w:eastAsia="方正仿宋简体"/>
          <w:b w:val="0"/>
          <w:bCs w:val="0"/>
          <w:color w:val="auto"/>
          <w:sz w:val="32"/>
          <w:szCs w:val="32"/>
          <w:u w:val="none"/>
          <w:lang w:val="en-US" w:eastAsia="zh-CN" w:bidi="ar"/>
        </w:rPr>
        <w:t>八）</w:t>
      </w:r>
      <w:r>
        <w:rPr>
          <w:rFonts w:eastAsia="方正仿宋简体"/>
          <w:b w:val="0"/>
          <w:bCs w:val="0"/>
          <w:color w:val="auto"/>
          <w:sz w:val="32"/>
          <w:szCs w:val="32"/>
          <w:u w:val="none"/>
          <w:lang w:bidi="ar"/>
        </w:rPr>
        <w:t>危险性较大的分部分项工程清单（危险性较大的分部分项工程提交）。</w:t>
      </w:r>
    </w:p>
    <w:p w14:paraId="3025E049">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七、项目施工过程中，随时接受有关执法部门的监督检查。对违反规划建设和违背自身承诺的行为自行限期改正，逾期不改正自愿接受相关处罚。</w:t>
      </w:r>
    </w:p>
    <w:p w14:paraId="638BCE0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八、主体工程竣工验收前，完成规划、建设、环保、消防、人防、气象等相关行业主管部门涉及到的行政审批事项。</w:t>
      </w:r>
    </w:p>
    <w:p w14:paraId="7A15036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九、建设工程竣工验收前，向中心专窗申请联合验收，并报送有关资料。</w:t>
      </w:r>
    </w:p>
    <w:p w14:paraId="56FBE5FB">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十、对所提交的有关申请材料的真实性负责，并承担因提交材料不真实而造成相关问题的一切法律责任。</w:t>
      </w:r>
    </w:p>
    <w:p w14:paraId="56CF0AB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十一、自项目签订双向承诺书之日起6个月内，完备提供以下资料，正式申办施工许可证：</w:t>
      </w:r>
    </w:p>
    <w:p w14:paraId="6C455B74">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（一）建筑工程施工许可申请表（质量安全监督并联审批）。</w:t>
      </w:r>
    </w:p>
    <w:p w14:paraId="09389F62">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（二）建筑工程用地批准手续。</w:t>
      </w:r>
    </w:p>
    <w:p w14:paraId="7E65FCB4">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（三）建设工程规划许可证。</w:t>
      </w:r>
    </w:p>
    <w:p w14:paraId="3CBF462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十二、在项目建设过程中，严格依法用地和节约集约用地。</w:t>
      </w:r>
    </w:p>
    <w:p w14:paraId="2A779AB8">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三、履行《中华人民共和国消防法》等消防法律法规，严格按照工程建设消防技术标准进行消防设计。执行《建设工程施工现场消防安全技术规范》要求，保障施工现场消防安全。建设、设计、施工、工程监理等单位依法对建设工程的消防设计、施工质量负责。依法办理建设工程消防行政许可或备案抽查手续。如存在消防安全违法行为，将自觉接受相应处罚。</w:t>
      </w:r>
    </w:p>
    <w:p w14:paraId="5050414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四、投资建设项目自施工之日起3个月内，根据安全生产法律法规的相关规定，一是涉及《建设项目安全设施“三同时”监督管理办法》第七条规定的建设项目的，向中心专窗申请办理本项目所涉及的建设项目安全设施“三同时”审批手续，提交本建设项目审批所需的申请资料，并对所提交的有关申请资料的真实性负责。严格按照应急部门审批的内容和要求组织实施，随时接受过程监督检查；二是涉及《建设项目安全设施“三同时”监督管理办法》第七条以外的建设项目的，无需办理建设项目安全设施“三同时”审批手续，自行履行建设项目安全设施“三同时”。</w:t>
      </w:r>
    </w:p>
    <w:p w14:paraId="4FC2CED3">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十五、在项目建设过程中，严格按照《中华人民共和国森林法》、《建设项目使用林地审核审批管理办法》（国家林业局第35号令）执行。</w:t>
      </w:r>
    </w:p>
    <w:p w14:paraId="2D11B678">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十六、在项目建设过程中，主动、及时申办园林绿化相关手续：</w:t>
      </w:r>
    </w:p>
    <w:p w14:paraId="67830CB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（一）在办理项目建设用地规划许可之前完成项目附属绿化建设用地面积审核手续；</w:t>
      </w:r>
    </w:p>
    <w:p w14:paraId="7930EA7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（二）在办理项目建设工程规划许可之前完成项目附属绿化工程设计方案审查手续；</w:t>
      </w:r>
    </w:p>
    <w:p w14:paraId="4137F00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（三）在项目施工过程中，涉及城市绿地、树木审批以及因重大公益性市政建设确需移植古树名木的，在动工之前完成工程建设涉及城市绿地、树木审批手续；</w:t>
      </w:r>
    </w:p>
    <w:p w14:paraId="32F3A9B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十七、本项目施工期直至获得正式排水许可证前严格遵循排水许可下列规定：</w:t>
      </w:r>
    </w:p>
    <w:p w14:paraId="26E3F60A">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临时排水中有沉淀物，足以造成排水设施堵塞或者损坏的，主动修建预沉设施，且临时排水需经预沉设施处理并符合《广东省地方标准〈水污染物排放限值〉》（DB44/26-2001）和《污水排入城镇下水道水质标准》（GB/T 31962-2015）的较严值要求后，方可接入指定的排水系统；</w:t>
      </w:r>
    </w:p>
    <w:p w14:paraId="30247724">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（二）室外排水工程（包括与市政排水系统接口部分）施工设计在报经市政部门批准后再展开施工，室外排水工程（包括与市政排水系统接口部分）施工完毕立即报请中心专窗组织验收，合格后才能交付使用；</w:t>
      </w:r>
    </w:p>
    <w:p w14:paraId="1BE1ED5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（三）室内外严格实行雨水、污水分流，雨水管道和污水管道不混接；</w:t>
      </w:r>
    </w:p>
    <w:p w14:paraId="355CDED3">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（四）不向道路、公共绿地和其他公共场所排水；</w:t>
      </w:r>
    </w:p>
    <w:p w14:paraId="5FCA51C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（五）不发生下列损害排水设施的行为：</w:t>
      </w:r>
    </w:p>
    <w:p w14:paraId="192264D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1、占压、拆卸、穿凿、挖掘、堵塞、填埋、移动排水设施或者影响、改变其功能；</w:t>
      </w:r>
    </w:p>
    <w:p w14:paraId="7FE16135">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2、在排水设施安全防护范围内进行爆破、明火作业、打桩、修建建筑物或者构筑物、植树、埋杆；</w:t>
      </w:r>
    </w:p>
    <w:p w14:paraId="07A28FBD">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3、圈占、覆盖检查井和雨水篦子；</w:t>
      </w:r>
    </w:p>
    <w:p w14:paraId="3074E67C">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4、向排水管道进出口、检查井、雨水篦子和排水明沟内倾倒垃圾、粪便、渣土、杂物、污泥等废弃物；</w:t>
      </w:r>
    </w:p>
    <w:p w14:paraId="756A5AD5">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5、将油污、施工泥浆等直接排入排水设施；</w:t>
      </w:r>
    </w:p>
    <w:p w14:paraId="2F39E2B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6、向排水设施排放有毒、有害、易燃、易爆等物质；</w:t>
      </w:r>
    </w:p>
    <w:p w14:paraId="4FEBC54A">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7、未采取消能措施，向排水管渠直接加压排水；</w:t>
      </w:r>
    </w:p>
    <w:p w14:paraId="18DD6E6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8、其他损害排水设施的行为。</w:t>
      </w:r>
    </w:p>
    <w:p w14:paraId="65E6FA3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（六）若上述承诺未兑现或仅部分兑现，自觉接受有关规定的处罚。</w:t>
      </w:r>
    </w:p>
    <w:p w14:paraId="01561B58">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十八、本工程项目根据《中华人民共和国人民防空法》和关于结合民用建筑修建防空地下室的有关规定，承诺在项目取得正式《建设工程规划许可证》前，依法依规办理人防手续。</w:t>
      </w:r>
    </w:p>
    <w:p w14:paraId="1EF22AE9">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十九、根据《工伤保险条例》等有关规定，在项目开工前，到项目所在地的税务部门申报办理从业人员参加工伤保险相关手续。</w:t>
      </w:r>
    </w:p>
    <w:p w14:paraId="33077313">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二十、根据《广东省人民政府办公厅关于全面治理拖欠异地务工人员工资问题的实施意见》（粤府办〔2016〕111号）等相关规定，就工程项目申报缴纳工资保证金事项作如下承诺：</w:t>
      </w:r>
    </w:p>
    <w:p w14:paraId="7DB25599">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（一）在项目施工后1个月内，主动向劳动保障部门申报缴纳工资保证金并及时完成资金进账或银行保函业务，开设工人工资支付分账专用账户。</w:t>
      </w:r>
    </w:p>
    <w:p w14:paraId="0C533863">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全面依法实施劳动合同制度，实行实名制劳动用工管理，建立职工名册，办理劳动用工备案。工程建设项目建立劳动计酬手册，并在工程项目部配备劳资专管员，建立施工人员进出场登记制度和考勤计量、工资支付等管理台账。</w:t>
      </w:r>
    </w:p>
    <w:p w14:paraId="756D6FD3">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建立农民工工资（劳务费）专用账户管理制度，在工程项目所在地指定银行开设农民工工资（劳务费）专用账户，由建设单位每月按工程进度款不低于15%且按月足额支付工人工资，将人工费按月足额支付到专用账户，并委托银行按月代发农民工工资。绝不将工资发放给不具备用工主体资格的组织和个人。我公司和分包企业等用人单位与农民工解除或终止劳动关系时，须在解除或终止劳动关系当日内结清并一次性支付劳动者工资，并出具书面证明。</w:t>
      </w:r>
    </w:p>
    <w:p w14:paraId="639147A3">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四）承诺在施工现场醒目位置设立农民工维权信息告示牌，向农民工公示所建项目的建设单位、施工总承包企业、劳务和分包企业的总部详细地址、法定代表人（主要负责人）姓名和联系电话，施工总承包企业和分包企业项目经理和劳资专管员姓名、办公电话和手机；同时公示施工所在县（市、区）的最低工资标准，本项目农民工工资每月的具体支付日期，施工所在地行业主管部门、劳动监察机构、劳动人事争议仲裁机构的详细办公地址和投诉电话等信息。</w:t>
      </w:r>
    </w:p>
    <w:p w14:paraId="3253C19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（五）落实企业工资支付和清偿主体责任。各类企业依法向招用的农民工本人按月足额支付工资，严禁将工资支付给其他组织或个人，发生拖欠工资问题承担清偿主体责任。</w:t>
      </w:r>
    </w:p>
    <w:p w14:paraId="2B11427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在工程建设领域，建设单位对所发包工程项目的农民工工资支付负监管责任，施工总承包企业对所承包工程项目的农民工工资支付负总责，分包企业对所招用农民工的工资支付负直接责任。建设单位或施工总承包企业未按合同约定及时划拨工程款，致使分包企业拖欠农民工工资的，由建设单位或施工总承包企业以未结清的工程款为限先行垫付农民工工资。由于建设单位、施工总承包企业或分包企业将工程违法发包、转包或违法分包给不具备用工主体资格的单位或个人，致使拖欠农民工工资的，作为发包方的用人单位应当先支付工资，再依法向承包人追偿。</w:t>
      </w:r>
    </w:p>
    <w:p w14:paraId="024DB724">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（六）自觉接受劳动部门的监督检查，及时改正检查中提出的问题。</w:t>
      </w:r>
    </w:p>
    <w:p w14:paraId="131E0AD8">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（七）在项目施工过程中如出现拖欠农民工和工人工资的，由劳动保障部门及建设部门从工资保证金中予以支付，已支取的部分由我公司在30个工作日内补缴垫付资金。</w:t>
      </w:r>
    </w:p>
    <w:p w14:paraId="2782ACB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（八）在实施过程中如有违反承诺的，立即停工整改，经整改仍未达标的，主动接受相关部门依法依规追究相关责任。</w:t>
      </w:r>
    </w:p>
    <w:p w14:paraId="6ECCAF0D">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十一、在项目动工前，及时到城市管理部门办理建筑垃圾处置核准手续，在手续齐全的条件下对建筑渣土予以处置，并必须保证文明施工。其次，如果出现未经核准擅自处置建筑渣的行为，将自觉接收相应处罚。</w:t>
      </w:r>
    </w:p>
    <w:p w14:paraId="184CF03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在项目动工前，根据《中华人民共和国水土保持法》的规定，生产建设单位应当编制水土保持方案，报县级以上水行政主管部门审批，并按照经批准的水土保持方案，采取水土流失预防和治理措施。</w:t>
      </w:r>
    </w:p>
    <w:p w14:paraId="59822EB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二十二、根据有关规定和要求，承诺办理以下事项：</w:t>
      </w:r>
    </w:p>
    <w:p w14:paraId="20E8B48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eastAsia="方正仿宋简体"/>
          <w:color w:val="auto"/>
          <w:sz w:val="32"/>
          <w:szCs w:val="32"/>
          <w:u w:val="none"/>
          <w:lang w:val="en-US" w:eastAsia="zh-CN"/>
        </w:rPr>
      </w:pPr>
      <w:r>
        <w:rPr>
          <w:rFonts w:eastAsia="方正仿宋简体"/>
          <w:color w:val="auto"/>
          <w:sz w:val="32"/>
          <w:szCs w:val="32"/>
          <w:u w:val="none"/>
          <w:lang w:bidi="ar"/>
        </w:rPr>
        <w:t>（一）</w:t>
      </w:r>
      <w:r>
        <w:rPr>
          <w:rFonts w:hint="eastAsia" w:eastAsia="方正仿宋简体"/>
          <w:color w:val="auto"/>
          <w:sz w:val="32"/>
          <w:szCs w:val="32"/>
          <w:u w:val="none"/>
          <w:lang w:val="en-US" w:eastAsia="zh-CN" w:bidi="ar"/>
        </w:rPr>
        <w:t>自然</w:t>
      </w:r>
      <w:r>
        <w:rPr>
          <w:rFonts w:eastAsia="方正仿宋简体"/>
          <w:color w:val="auto"/>
          <w:sz w:val="32"/>
          <w:szCs w:val="32"/>
          <w:u w:val="none"/>
          <w:lang w:bidi="ar"/>
        </w:rPr>
        <w:t>资源部门——建设工程放线后，在开工前，建设工程验线</w:t>
      </w:r>
      <w:r>
        <w:rPr>
          <w:rFonts w:hint="eastAsia" w:eastAsia="方正仿宋简体"/>
          <w:color w:val="auto"/>
          <w:sz w:val="32"/>
          <w:szCs w:val="32"/>
          <w:u w:val="none"/>
          <w:lang w:eastAsia="zh-CN" w:bidi="ar"/>
        </w:rPr>
        <w:t>；</w:t>
      </w:r>
      <w:r>
        <w:rPr>
          <w:rFonts w:eastAsia="方正仿宋简体"/>
          <w:color w:val="auto"/>
          <w:sz w:val="32"/>
          <w:szCs w:val="32"/>
          <w:u w:val="none"/>
          <w:lang w:bidi="ar"/>
        </w:rPr>
        <w:t>规划条件核实前建设工程设计方案审查、建设工程规划许可证，在工程竣工备案后</w:t>
      </w:r>
      <w:r>
        <w:rPr>
          <w:rFonts w:hint="eastAsia" w:eastAsia="方正仿宋简体"/>
          <w:color w:val="auto"/>
          <w:sz w:val="32"/>
          <w:szCs w:val="32"/>
          <w:u w:val="none"/>
          <w:lang w:val="en-US" w:eastAsia="zh-CN" w:bidi="ar"/>
        </w:rPr>
        <w:t>做好</w:t>
      </w:r>
      <w:r>
        <w:rPr>
          <w:rFonts w:eastAsia="方正仿宋简体"/>
          <w:color w:val="auto"/>
          <w:sz w:val="32"/>
          <w:szCs w:val="32"/>
          <w:u w:val="none"/>
          <w:lang w:bidi="ar"/>
        </w:rPr>
        <w:t>建设工程档案</w:t>
      </w:r>
      <w:r>
        <w:rPr>
          <w:rFonts w:hint="eastAsia" w:eastAsia="方正仿宋简体"/>
          <w:color w:val="auto"/>
          <w:sz w:val="32"/>
          <w:szCs w:val="32"/>
          <w:u w:val="none"/>
          <w:lang w:val="en-US" w:eastAsia="zh-CN" w:bidi="ar"/>
        </w:rPr>
        <w:t>存档以备查验</w:t>
      </w:r>
      <w:r>
        <w:rPr>
          <w:rFonts w:eastAsia="方正仿宋简体"/>
          <w:color w:val="auto"/>
          <w:sz w:val="32"/>
          <w:szCs w:val="32"/>
          <w:u w:val="none"/>
          <w:lang w:bidi="ar"/>
        </w:rPr>
        <w:t>；</w:t>
      </w:r>
      <w:r>
        <w:rPr>
          <w:rFonts w:hint="eastAsia" w:eastAsia="方正仿宋简体"/>
          <w:color w:val="auto"/>
          <w:sz w:val="32"/>
          <w:szCs w:val="32"/>
          <w:u w:val="none"/>
          <w:lang w:val="en-US" w:eastAsia="zh-CN" w:bidi="ar"/>
        </w:rPr>
        <w:t>城市基础设施配套费。</w:t>
      </w:r>
    </w:p>
    <w:p w14:paraId="258ED1E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（二）税务部门——土地出让缴税；</w:t>
      </w:r>
    </w:p>
    <w:p w14:paraId="43DBEA17">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（三）人社部门——申报缴纳工资支付保证金，开设工人资金支付分账专用账户；</w:t>
      </w:r>
    </w:p>
    <w:p w14:paraId="2836F099">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（四）社会保障部门——建筑行业工伤保险；</w:t>
      </w:r>
    </w:p>
    <w:p w14:paraId="32AC86F4">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（五）生态环境部门——建设项目环境影响评价文件审批和建设项目发生重大变动的重新报批；</w:t>
      </w:r>
    </w:p>
    <w:p w14:paraId="07EC5BCC">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b w:val="0"/>
          <w:bCs w:val="0"/>
          <w:color w:val="auto"/>
          <w:sz w:val="32"/>
          <w:szCs w:val="32"/>
          <w:u w:val="none"/>
          <w:lang w:bidi="ar"/>
        </w:rPr>
      </w:pPr>
      <w:r>
        <w:rPr>
          <w:rFonts w:eastAsia="方正仿宋简体"/>
          <w:color w:val="auto"/>
          <w:sz w:val="32"/>
          <w:szCs w:val="32"/>
          <w:u w:val="none"/>
          <w:lang w:bidi="ar"/>
        </w:rPr>
        <w:t>（六）住建部门——</w:t>
      </w:r>
      <w:r>
        <w:rPr>
          <w:rFonts w:hint="eastAsia" w:eastAsia="方正仿宋简体"/>
          <w:b w:val="0"/>
          <w:bCs w:val="0"/>
          <w:color w:val="auto"/>
          <w:sz w:val="32"/>
          <w:szCs w:val="32"/>
          <w:u w:val="none"/>
          <w:lang w:val="en-US" w:eastAsia="zh-CN" w:bidi="ar"/>
        </w:rPr>
        <w:t>建设工程施工图设计文件审查合格书</w:t>
      </w:r>
      <w:r>
        <w:rPr>
          <w:rFonts w:eastAsia="方正仿宋简体"/>
          <w:b w:val="0"/>
          <w:bCs w:val="0"/>
          <w:color w:val="auto"/>
          <w:sz w:val="32"/>
          <w:szCs w:val="32"/>
          <w:u w:val="none"/>
          <w:lang w:bidi="ar"/>
        </w:rPr>
        <w:t>备案</w:t>
      </w:r>
      <w:r>
        <w:rPr>
          <w:rFonts w:hint="eastAsia" w:eastAsia="方正仿宋简体"/>
          <w:b w:val="0"/>
          <w:bCs w:val="0"/>
          <w:color w:val="auto"/>
          <w:sz w:val="32"/>
          <w:szCs w:val="32"/>
          <w:u w:val="none"/>
          <w:lang w:eastAsia="zh-CN" w:bidi="ar"/>
        </w:rPr>
        <w:t>、</w:t>
      </w:r>
      <w:r>
        <w:rPr>
          <w:rFonts w:hint="eastAsia" w:eastAsia="方正仿宋简体"/>
          <w:b w:val="0"/>
          <w:bCs w:val="0"/>
          <w:color w:val="auto"/>
          <w:sz w:val="32"/>
          <w:szCs w:val="32"/>
          <w:u w:val="none"/>
          <w:lang w:val="en-US" w:eastAsia="zh-CN" w:bidi="ar"/>
        </w:rPr>
        <w:t>特殊工程消防设计预审</w:t>
      </w:r>
      <w:r>
        <w:rPr>
          <w:rFonts w:eastAsia="方正仿宋简体"/>
          <w:b w:val="0"/>
          <w:bCs w:val="0"/>
          <w:color w:val="auto"/>
          <w:sz w:val="32"/>
          <w:szCs w:val="32"/>
          <w:u w:val="none"/>
          <w:lang w:bidi="ar"/>
        </w:rPr>
        <w:t>；</w:t>
      </w:r>
    </w:p>
    <w:p w14:paraId="5E3410CC">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（七）招投标监管部门——非国有资金投资建设工程直接发包核准登记；</w:t>
      </w:r>
    </w:p>
    <w:p w14:paraId="4B1BC323">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（八）应急管理部门——建设项目安全设施“三同时”审批手续；</w:t>
      </w:r>
    </w:p>
    <w:p w14:paraId="4BF4176A">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（九）发改部门——固定资产投资项目节能评估（项目投产前办理）及项目立项手续。</w:t>
      </w:r>
    </w:p>
    <w:p w14:paraId="0E6984AC">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十三、我公司承诺不以任何理由，要求建筑设计单位或者建筑施工单位在工程设计或者施工中，违反法律、行政法规和建筑工程质量、安全标准，降低工程质量。不在编制工作量清单时，取消部分图纸设计内容。我公司作为工程质量的第一责任人，会切实履行好自己的职责，不肢解工程，违法发包，会监督施工单位严格按设计图纸施工，及时组织工程竣工验收，按时支付工程款。</w:t>
      </w:r>
    </w:p>
    <w:p w14:paraId="726BF5AD">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二十四、其他承诺事项：</w:t>
      </w:r>
    </w:p>
    <w:p w14:paraId="30D722B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（填写未提供的资料项目）</w:t>
      </w:r>
    </w:p>
    <w:p w14:paraId="400AEB49">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eastAsia="方正仿宋简体"/>
          <w:color w:val="auto"/>
          <w:u w:val="none"/>
        </w:rPr>
      </w:pPr>
      <w:r>
        <w:rPr>
          <w:rFonts w:eastAsia="方正仿宋简体"/>
          <w:color w:val="auto"/>
          <w:sz w:val="32"/>
          <w:szCs w:val="32"/>
          <w:u w:val="none"/>
          <w:lang w:bidi="ar"/>
        </w:rPr>
        <w:t>如我公司违反上述承诺，自愿停止建设，接受相关行政处罚，相关行政处罚、未履行承诺等不良信用记录纳入信用信息共享平台向社会公示，并主动承担所产生的一切法律责任和经济损失。</w:t>
      </w:r>
    </w:p>
    <w:p w14:paraId="3DD98514">
      <w:pPr>
        <w:keepNext w:val="0"/>
        <w:keepLines w:val="0"/>
        <w:pageBreakBefore w:val="0"/>
        <w:kinsoku/>
        <w:wordWrap/>
        <w:overflowPunct/>
        <w:topLinePunct w:val="0"/>
        <w:autoSpaceDE/>
        <w:autoSpaceDN/>
        <w:bidi w:val="0"/>
        <w:adjustRightInd/>
        <w:snapToGrid/>
        <w:spacing w:line="620" w:lineRule="exact"/>
        <w:textAlignment w:val="auto"/>
        <w:outlineLvl w:val="0"/>
        <w:rPr>
          <w:rFonts w:eastAsia="方正黑体_GBK"/>
          <w:color w:val="auto"/>
          <w:sz w:val="32"/>
          <w:szCs w:val="32"/>
          <w:u w:val="none"/>
        </w:rPr>
      </w:pPr>
      <w:r>
        <w:rPr>
          <w:rFonts w:eastAsia="方正仿宋简体"/>
          <w:color w:val="auto"/>
          <w:sz w:val="32"/>
          <w:szCs w:val="32"/>
          <w:u w:val="none"/>
        </w:rPr>
        <w:br w:type="page"/>
      </w:r>
      <w:r>
        <w:rPr>
          <w:rFonts w:eastAsia="方正黑体_GBK"/>
          <w:color w:val="auto"/>
          <w:sz w:val="32"/>
          <w:szCs w:val="32"/>
          <w:u w:val="none"/>
          <w:lang w:bidi="ar"/>
        </w:rPr>
        <w:t>附件3-2</w:t>
      </w:r>
    </w:p>
    <w:p w14:paraId="1A8610F8">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hAnsi="方正小标宋简体" w:eastAsia="方正小标宋简体" w:cs="方正小标宋简体"/>
          <w:color w:val="auto"/>
          <w:sz w:val="36"/>
          <w:szCs w:val="36"/>
          <w:u w:val="none"/>
          <w:lang w:bidi="ar"/>
        </w:rPr>
      </w:pPr>
    </w:p>
    <w:p w14:paraId="6CEF4B7A">
      <w:pPr>
        <w:keepNext w:val="0"/>
        <w:keepLines w:val="0"/>
        <w:pageBreakBefore w:val="0"/>
        <w:kinsoku/>
        <w:wordWrap/>
        <w:overflowPunct/>
        <w:topLinePunct w:val="0"/>
        <w:autoSpaceDE/>
        <w:autoSpaceDN/>
        <w:bidi w:val="0"/>
        <w:adjustRightInd/>
        <w:snapToGrid/>
        <w:spacing w:line="620" w:lineRule="exact"/>
        <w:jc w:val="center"/>
        <w:textAlignment w:val="auto"/>
        <w:rPr>
          <w:rFonts w:eastAsia="方正小标宋_GBK"/>
          <w:color w:val="auto"/>
          <w:sz w:val="44"/>
          <w:szCs w:val="44"/>
          <w:u w:val="none"/>
        </w:rPr>
      </w:pPr>
      <w:r>
        <w:rPr>
          <w:rFonts w:hint="eastAsia" w:hAnsi="方正小标宋简体" w:eastAsia="方正小标宋简体" w:cs="方正小标宋简体"/>
          <w:color w:val="auto"/>
          <w:sz w:val="44"/>
          <w:szCs w:val="44"/>
          <w:u w:val="none"/>
          <w:lang w:bidi="ar"/>
        </w:rPr>
        <w:t>政府部门承诺条款</w:t>
      </w:r>
    </w:p>
    <w:p w14:paraId="6BF26EAD">
      <w:pPr>
        <w:keepNext w:val="0"/>
        <w:keepLines w:val="0"/>
        <w:pageBreakBefore w:val="0"/>
        <w:kinsoku/>
        <w:wordWrap/>
        <w:overflowPunct/>
        <w:topLinePunct w:val="0"/>
        <w:autoSpaceDE/>
        <w:autoSpaceDN/>
        <w:bidi w:val="0"/>
        <w:adjustRightInd/>
        <w:snapToGrid/>
        <w:spacing w:before="156" w:beforeLines="50" w:line="620" w:lineRule="exact"/>
        <w:jc w:val="center"/>
        <w:textAlignment w:val="auto"/>
        <w:rPr>
          <w:rFonts w:eastAsia="方正楷体简体"/>
          <w:color w:val="auto"/>
          <w:sz w:val="32"/>
          <w:szCs w:val="32"/>
          <w:u w:val="none"/>
        </w:rPr>
      </w:pPr>
      <w:r>
        <w:rPr>
          <w:rFonts w:eastAsia="方正楷体简体"/>
          <w:color w:val="auto"/>
          <w:sz w:val="32"/>
          <w:szCs w:val="32"/>
          <w:u w:val="none"/>
          <w:lang w:bidi="ar"/>
        </w:rPr>
        <w:t>（范本，可根据项目实际情况进行调整）</w:t>
      </w:r>
    </w:p>
    <w:p w14:paraId="7F137923">
      <w:pPr>
        <w:keepNext w:val="0"/>
        <w:keepLines w:val="0"/>
        <w:pageBreakBefore w:val="0"/>
        <w:kinsoku/>
        <w:wordWrap/>
        <w:overflowPunct/>
        <w:topLinePunct w:val="0"/>
        <w:autoSpaceDE/>
        <w:autoSpaceDN/>
        <w:bidi w:val="0"/>
        <w:adjustRightInd/>
        <w:snapToGrid/>
        <w:spacing w:line="620" w:lineRule="exact"/>
        <w:textAlignment w:val="auto"/>
        <w:rPr>
          <w:rFonts w:eastAsia="方正仿宋简体"/>
          <w:color w:val="auto"/>
          <w:kern w:val="0"/>
          <w:sz w:val="32"/>
          <w:szCs w:val="32"/>
          <w:u w:val="none"/>
        </w:rPr>
      </w:pPr>
    </w:p>
    <w:p w14:paraId="620AB03F">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r>
        <w:rPr>
          <w:rFonts w:eastAsia="方正仿宋简体"/>
          <w:color w:val="auto"/>
          <w:sz w:val="32"/>
          <w:szCs w:val="32"/>
          <w:u w:val="none"/>
          <w:lang w:bidi="ar"/>
        </w:rPr>
        <w:t>根据</w:t>
      </w:r>
      <w:r>
        <w:rPr>
          <w:rFonts w:eastAsia="方正仿宋简体"/>
          <w:color w:val="auto"/>
          <w:sz w:val="32"/>
          <w:szCs w:val="32"/>
          <w:highlight w:val="none"/>
          <w:u w:val="none"/>
          <w:lang w:bidi="ar"/>
        </w:rPr>
        <w:t>《中共广东省委、广东省人民政府关于深化投融资体制改革的实施意见》和《</w:t>
      </w:r>
      <w:r>
        <w:rPr>
          <w:rFonts w:hint="eastAsia" w:eastAsia="方正仿宋简体"/>
          <w:color w:val="auto"/>
          <w:sz w:val="32"/>
          <w:szCs w:val="32"/>
          <w:highlight w:val="none"/>
          <w:u w:val="none"/>
          <w:lang w:val="en-US" w:eastAsia="zh-CN" w:bidi="ar"/>
        </w:rPr>
        <w:t>源城区</w:t>
      </w:r>
      <w:r>
        <w:rPr>
          <w:rFonts w:eastAsia="方正仿宋简体"/>
          <w:color w:val="auto"/>
          <w:sz w:val="32"/>
          <w:szCs w:val="32"/>
          <w:highlight w:val="none"/>
          <w:u w:val="none"/>
          <w:lang w:bidi="ar"/>
        </w:rPr>
        <w:t>深化产业投资项目“双容双承诺”直接落地改革实施方案》</w:t>
      </w:r>
      <w:r>
        <w:rPr>
          <w:rFonts w:eastAsia="方正仿宋简体"/>
          <w:color w:val="auto"/>
          <w:sz w:val="32"/>
          <w:szCs w:val="32"/>
          <w:u w:val="none"/>
          <w:lang w:bidi="ar"/>
        </w:rPr>
        <w:t>要求，_</w:t>
      </w:r>
      <w:r>
        <w:rPr>
          <w:rFonts w:hint="eastAsia" w:eastAsia="方正仿宋简体"/>
          <w:color w:val="auto"/>
          <w:sz w:val="32"/>
          <w:szCs w:val="32"/>
          <w:u w:val="none"/>
          <w:lang w:bidi="ar"/>
        </w:rPr>
        <w:t xml:space="preserve">        </w:t>
      </w:r>
      <w:r>
        <w:rPr>
          <w:rFonts w:eastAsia="方正仿宋简体"/>
          <w:color w:val="auto"/>
          <w:sz w:val="32"/>
          <w:szCs w:val="32"/>
          <w:u w:val="none"/>
          <w:lang w:bidi="ar"/>
        </w:rPr>
        <w:t>公司在</w:t>
      </w:r>
      <w:r>
        <w:rPr>
          <w:rFonts w:hint="eastAsia" w:eastAsia="方正仿宋简体"/>
          <w:color w:val="auto"/>
          <w:sz w:val="32"/>
          <w:szCs w:val="32"/>
          <w:u w:val="none"/>
          <w:lang w:val="en-US" w:eastAsia="zh-CN" w:bidi="ar"/>
        </w:rPr>
        <w:t>源城区</w:t>
      </w:r>
      <w:r>
        <w:rPr>
          <w:rFonts w:eastAsia="方正仿宋简体"/>
          <w:color w:val="auto"/>
          <w:sz w:val="32"/>
          <w:szCs w:val="32"/>
          <w:u w:val="none"/>
          <w:lang w:bidi="ar"/>
        </w:rPr>
        <w:t>投资建设的     项目，自愿参与</w:t>
      </w:r>
      <w:r>
        <w:rPr>
          <w:rFonts w:eastAsia="方正仿宋简体"/>
          <w:color w:val="auto"/>
          <w:sz w:val="32"/>
          <w:szCs w:val="32"/>
          <w:u w:val="none"/>
          <w:shd w:val="clear" w:color="auto" w:fill="FFFFFF"/>
          <w:lang w:bidi="ar"/>
        </w:rPr>
        <w:t>企业投资项目“先建后验”直接落地改革</w:t>
      </w:r>
      <w:r>
        <w:rPr>
          <w:rFonts w:eastAsia="方正仿宋简体"/>
          <w:color w:val="auto"/>
          <w:sz w:val="32"/>
          <w:szCs w:val="32"/>
          <w:u w:val="none"/>
          <w:lang w:bidi="ar"/>
        </w:rPr>
        <w:t>，并遵守有关管理规定进行项目建设。为做好项目直接落地建设、施工过程、竣工验收全过程跟踪服务，确保项目建设顺利推进，我们郑重承诺严格做好以下事项：</w:t>
      </w:r>
    </w:p>
    <w:p w14:paraId="79871488">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一、</w:t>
      </w:r>
      <w:r>
        <w:rPr>
          <w:rFonts w:hint="eastAsia" w:eastAsia="方正仿宋简体"/>
          <w:color w:val="auto"/>
          <w:sz w:val="32"/>
          <w:szCs w:val="32"/>
          <w:u w:val="none"/>
          <w:lang w:val="en-US" w:eastAsia="zh-CN" w:bidi="ar"/>
        </w:rPr>
        <w:t>区</w:t>
      </w:r>
      <w:r>
        <w:rPr>
          <w:rFonts w:eastAsia="方正仿宋简体"/>
          <w:color w:val="auto"/>
          <w:sz w:val="32"/>
          <w:szCs w:val="32"/>
          <w:u w:val="none"/>
          <w:lang w:bidi="ar"/>
        </w:rPr>
        <w:t>行政服务中心做好充分告知企业投资项目所涉及相关审批及委托中介服务有关事项，协调投资项目从立项阶段到验收阶段所有审批事项申报办理工作。</w:t>
      </w:r>
    </w:p>
    <w:p w14:paraId="7093EA2C">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二、各部门要主动对接，指导协助企业及时办理法律法规要求的各项手续，密切跟踪服务，严格依法按标准履职监管，不得缺位，也不得变相增加审批以及监管事项等。</w:t>
      </w:r>
    </w:p>
    <w:p w14:paraId="282D41F5">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u w:val="none"/>
        </w:rPr>
      </w:pPr>
      <w:r>
        <w:rPr>
          <w:rFonts w:eastAsia="方正仿宋简体"/>
          <w:color w:val="auto"/>
          <w:sz w:val="32"/>
          <w:szCs w:val="32"/>
          <w:u w:val="none"/>
          <w:lang w:bidi="ar"/>
        </w:rPr>
        <w:t>三、投资项目实行容缺受理机制，对次要审批要件不全且企业书面承诺在规定时间内补齐的事项，审批部门先行</w:t>
      </w:r>
      <w:r>
        <w:rPr>
          <w:rFonts w:hint="eastAsia" w:eastAsia="方正仿宋简体"/>
          <w:color w:val="auto"/>
          <w:sz w:val="32"/>
          <w:szCs w:val="32"/>
          <w:u w:val="none"/>
          <w:lang w:val="en-US" w:eastAsia="zh-CN" w:bidi="ar"/>
        </w:rPr>
        <w:t>介入预审</w:t>
      </w:r>
      <w:r>
        <w:rPr>
          <w:rFonts w:eastAsia="方正仿宋简体"/>
          <w:color w:val="auto"/>
          <w:sz w:val="32"/>
          <w:szCs w:val="32"/>
          <w:u w:val="none"/>
          <w:lang w:bidi="ar"/>
        </w:rPr>
        <w:t>并开展</w:t>
      </w:r>
      <w:r>
        <w:rPr>
          <w:rFonts w:hint="eastAsia" w:eastAsia="方正仿宋简体"/>
          <w:color w:val="auto"/>
          <w:sz w:val="32"/>
          <w:szCs w:val="32"/>
          <w:u w:val="none"/>
          <w:lang w:val="en-US" w:eastAsia="zh-CN" w:bidi="ar"/>
        </w:rPr>
        <w:t>预审核</w:t>
      </w:r>
      <w:r>
        <w:rPr>
          <w:rFonts w:eastAsia="方正仿宋简体"/>
          <w:color w:val="auto"/>
          <w:sz w:val="32"/>
          <w:szCs w:val="32"/>
          <w:u w:val="none"/>
          <w:lang w:bidi="ar"/>
        </w:rPr>
        <w:t>评估工作，待要件齐全后尽快作出审批决定，缩短审批时间。</w:t>
      </w:r>
    </w:p>
    <w:p w14:paraId="4CA7233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四、发展改革部门在项目直接落地到竣工验收前，积极配合指导企业做好项目立项手续和节能审查办理有关工作，并且承诺在3个工作日内办结。</w:t>
      </w:r>
    </w:p>
    <w:p w14:paraId="1FA6E46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eastAsia="方正仿宋简体"/>
          <w:color w:val="auto"/>
          <w:sz w:val="32"/>
          <w:szCs w:val="32"/>
          <w:u w:val="none"/>
        </w:rPr>
      </w:pPr>
      <w:r>
        <w:rPr>
          <w:rFonts w:eastAsia="方正仿宋简体"/>
          <w:color w:val="auto"/>
          <w:sz w:val="32"/>
          <w:szCs w:val="32"/>
          <w:u w:val="none"/>
          <w:lang w:bidi="ar"/>
        </w:rPr>
        <w:t>五、自然资源部门承诺做好：在企业竞得土地并签订《成交确认书》后10个工作日内签订土地出让合同；企业按出让合同约定时间缴清土地价款后10个工作日内出具用地批文；资料齐全情况下，除法人或其他组织建造房屋首次登记、涉及历史遗留问题、非公证的继承等复杂的不动产登记外，5个工作日内办结不动产权证。</w:t>
      </w:r>
    </w:p>
    <w:p w14:paraId="6392B693">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eastAsia="方正仿宋简体"/>
          <w:color w:val="auto"/>
          <w:kern w:val="0"/>
          <w:sz w:val="32"/>
          <w:szCs w:val="32"/>
          <w:u w:val="none"/>
          <w:lang w:bidi="ar"/>
        </w:rPr>
      </w:pPr>
      <w:r>
        <w:rPr>
          <w:rFonts w:eastAsia="方正仿宋简体"/>
          <w:color w:val="auto"/>
          <w:kern w:val="0"/>
          <w:sz w:val="32"/>
          <w:szCs w:val="32"/>
          <w:u w:val="none"/>
          <w:lang w:bidi="ar"/>
        </w:rPr>
        <w:t>同时，对项目申请资料齐全，符合规划条件要求，建设用地规划许可在10个工作日内完成；建设工程规划许可在10个工作日内完成；规划验线在7个工作日内完成；规划条件核实在7个工作日内完成。</w:t>
      </w:r>
    </w:p>
    <w:p w14:paraId="32EA2D7E">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eastAsia="方正仿宋简体"/>
          <w:color w:val="auto"/>
          <w:kern w:val="0"/>
          <w:sz w:val="32"/>
          <w:szCs w:val="32"/>
          <w:u w:val="none"/>
          <w:lang w:bidi="ar"/>
        </w:rPr>
      </w:pPr>
      <w:r>
        <w:rPr>
          <w:rFonts w:eastAsia="方正仿宋简体"/>
          <w:color w:val="auto"/>
          <w:kern w:val="0"/>
          <w:sz w:val="32"/>
          <w:szCs w:val="32"/>
          <w:u w:val="none"/>
          <w:lang w:bidi="ar"/>
        </w:rPr>
        <w:t>六、住建部门承诺做好以下工作：一是在收到行政服务中心工程相关资料后，</w:t>
      </w:r>
      <w:r>
        <w:rPr>
          <w:rFonts w:eastAsia="方正仿宋简体"/>
          <w:b w:val="0"/>
          <w:bCs w:val="0"/>
          <w:color w:val="auto"/>
          <w:kern w:val="0"/>
          <w:sz w:val="32"/>
          <w:szCs w:val="32"/>
          <w:u w:val="none"/>
          <w:lang w:bidi="ar"/>
        </w:rPr>
        <w:t>即时</w:t>
      </w:r>
      <w:r>
        <w:rPr>
          <w:rFonts w:hint="eastAsia" w:eastAsia="方正仿宋简体"/>
          <w:b w:val="0"/>
          <w:bCs w:val="0"/>
          <w:color w:val="auto"/>
          <w:kern w:val="0"/>
          <w:sz w:val="32"/>
          <w:szCs w:val="32"/>
          <w:u w:val="none"/>
          <w:lang w:val="en-US" w:eastAsia="zh-CN" w:bidi="ar"/>
        </w:rPr>
        <w:t>编制</w:t>
      </w:r>
      <w:r>
        <w:rPr>
          <w:rFonts w:eastAsia="方正仿宋简体"/>
          <w:b w:val="0"/>
          <w:bCs w:val="0"/>
          <w:color w:val="auto"/>
          <w:kern w:val="0"/>
          <w:sz w:val="32"/>
          <w:szCs w:val="32"/>
          <w:u w:val="none"/>
          <w:lang w:bidi="ar"/>
        </w:rPr>
        <w:t>发</w:t>
      </w:r>
      <w:r>
        <w:rPr>
          <w:rFonts w:hint="eastAsia" w:eastAsia="方正仿宋简体"/>
          <w:b w:val="0"/>
          <w:bCs w:val="0"/>
          <w:color w:val="auto"/>
          <w:kern w:val="0"/>
          <w:sz w:val="32"/>
          <w:szCs w:val="32"/>
          <w:u w:val="none"/>
          <w:lang w:val="en-US" w:eastAsia="zh-CN" w:bidi="ar"/>
        </w:rPr>
        <w:t>出</w:t>
      </w:r>
      <w:r>
        <w:rPr>
          <w:rFonts w:eastAsia="方正仿宋简体"/>
          <w:b w:val="0"/>
          <w:bCs w:val="0"/>
          <w:color w:val="auto"/>
          <w:kern w:val="0"/>
          <w:sz w:val="32"/>
          <w:szCs w:val="32"/>
          <w:u w:val="none"/>
          <w:lang w:bidi="ar"/>
        </w:rPr>
        <w:t>工程监督</w:t>
      </w:r>
      <w:r>
        <w:rPr>
          <w:rFonts w:hint="eastAsia" w:eastAsia="方正仿宋简体"/>
          <w:b w:val="0"/>
          <w:bCs w:val="0"/>
          <w:color w:val="auto"/>
          <w:kern w:val="0"/>
          <w:sz w:val="32"/>
          <w:szCs w:val="32"/>
          <w:u w:val="none"/>
          <w:lang w:val="en-US" w:eastAsia="zh-CN" w:bidi="ar"/>
        </w:rPr>
        <w:t>登记及施工许可证</w:t>
      </w:r>
      <w:r>
        <w:rPr>
          <w:rFonts w:eastAsia="方正仿宋简体"/>
          <w:b w:val="0"/>
          <w:bCs w:val="0"/>
          <w:color w:val="auto"/>
          <w:kern w:val="0"/>
          <w:sz w:val="32"/>
          <w:szCs w:val="32"/>
          <w:u w:val="none"/>
          <w:lang w:bidi="ar"/>
        </w:rPr>
        <w:t>号，并介入工程项目的施工</w:t>
      </w:r>
      <w:r>
        <w:rPr>
          <w:rFonts w:hint="eastAsia" w:eastAsia="方正仿宋简体"/>
          <w:b w:val="0"/>
          <w:bCs w:val="0"/>
          <w:color w:val="auto"/>
          <w:kern w:val="0"/>
          <w:sz w:val="32"/>
          <w:szCs w:val="32"/>
          <w:u w:val="none"/>
          <w:lang w:val="en-US" w:eastAsia="zh-CN" w:bidi="ar"/>
        </w:rPr>
        <w:t>质量</w:t>
      </w:r>
      <w:r>
        <w:rPr>
          <w:rFonts w:eastAsia="方正仿宋简体"/>
          <w:b w:val="0"/>
          <w:bCs w:val="0"/>
          <w:color w:val="auto"/>
          <w:kern w:val="0"/>
          <w:sz w:val="32"/>
          <w:szCs w:val="32"/>
          <w:u w:val="none"/>
          <w:lang w:bidi="ar"/>
        </w:rPr>
        <w:t>安全监督，</w:t>
      </w:r>
      <w:r>
        <w:rPr>
          <w:rFonts w:eastAsia="方正仿宋简体"/>
          <w:color w:val="auto"/>
          <w:kern w:val="0"/>
          <w:sz w:val="32"/>
          <w:szCs w:val="32"/>
          <w:u w:val="none"/>
          <w:lang w:bidi="ar"/>
        </w:rPr>
        <w:t>及时到现场进行安全技术交底；二是做好工程质量安全监督工作，保证工程项目施工顺利进行。依法对施工现场进行监督，督促施工企业建立和健全质量安全保障体系，严格按照国家法律、法规和标准、规范，完善施工现场安全生产设施，对危险性较大工程进行重点监督，加大监督巡查频率，防止事故发生，确保工程项目建设的顺利进行。三是实行监督靠前，服务指导靠前，提高事故预控能力。将施工企业施工过程中常用的文件、规定上传住建局网站方便企业查阅；在工程开工前的安全交底会除做好常规性交底外，还针对工程项目特点对各施工阶段应完善的安全资料作详细说明，使企业少走弯路。四是落实承诺制，各项手续进一步提速。符合办理施工许可条件的，当场受理，承诺1天办结，并出具施工许可电子证；不符合条件的，一次性告知存在问题。工程达到竣工验收条件时，及时提醒参建单位按相关法律法规组织工程竣工验收。</w:t>
      </w:r>
    </w:p>
    <w:p w14:paraId="4488BC72">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eastAsia="方正仿宋简体"/>
          <w:color w:val="auto"/>
          <w:kern w:val="0"/>
          <w:sz w:val="32"/>
          <w:szCs w:val="32"/>
          <w:u w:val="none"/>
          <w:lang w:bidi="ar"/>
        </w:rPr>
      </w:pPr>
      <w:r>
        <w:rPr>
          <w:rFonts w:eastAsia="方正仿宋简体"/>
          <w:color w:val="auto"/>
          <w:kern w:val="0"/>
          <w:sz w:val="32"/>
          <w:szCs w:val="32"/>
          <w:u w:val="none"/>
          <w:lang w:bidi="ar"/>
        </w:rPr>
        <w:t>同时，协助企业及时办理“应建或易地修建防空地下室的民用建筑项目许可”，根据人防法律法规和技术规范及时向企业出具《人防工程设计要点通知书》或人防易地建设费缴款通知书；密切跟踪，协助企业做好人防工程设计与图纸审查工作；指导企业和相关单位认真做好人防工程施工质量、安全工作，依法依规做好人防工程质量监督和竣工验收备案工作。</w:t>
      </w:r>
    </w:p>
    <w:p w14:paraId="50F62279">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eastAsia="方正仿宋简体"/>
          <w:color w:val="auto"/>
          <w:kern w:val="0"/>
          <w:sz w:val="32"/>
          <w:szCs w:val="32"/>
          <w:u w:val="none"/>
          <w:lang w:bidi="ar"/>
        </w:rPr>
      </w:pPr>
      <w:r>
        <w:rPr>
          <w:rFonts w:eastAsia="方正仿宋简体"/>
          <w:color w:val="auto"/>
          <w:kern w:val="0"/>
          <w:sz w:val="32"/>
          <w:szCs w:val="32"/>
          <w:u w:val="none"/>
          <w:lang w:bidi="ar"/>
        </w:rPr>
        <w:t>七、生态环境部门主动提前介入，指导协助企业依法依规及时办理环评相关手续；对于列入市的年度重点项目进行现场指导，专人跟踪负责；对符合产业政策、产业准入、相关环保规划和环评技术规范要求的环评</w:t>
      </w:r>
      <w:r>
        <w:rPr>
          <w:rFonts w:hint="eastAsia" w:eastAsia="方正仿宋简体"/>
          <w:color w:val="auto"/>
          <w:kern w:val="0"/>
          <w:sz w:val="32"/>
          <w:szCs w:val="32"/>
          <w:u w:val="none"/>
          <w:lang w:val="en-US" w:eastAsia="zh-CN" w:bidi="ar"/>
        </w:rPr>
        <w:t>报告表项目</w:t>
      </w:r>
      <w:r>
        <w:rPr>
          <w:rFonts w:eastAsia="方正仿宋简体"/>
          <w:color w:val="auto"/>
          <w:kern w:val="0"/>
          <w:sz w:val="32"/>
          <w:szCs w:val="32"/>
          <w:u w:val="none"/>
          <w:lang w:bidi="ar"/>
        </w:rPr>
        <w:t>，承诺</w:t>
      </w:r>
      <w:r>
        <w:rPr>
          <w:rFonts w:hint="eastAsia" w:eastAsia="方正仿宋简体"/>
          <w:color w:val="auto"/>
          <w:kern w:val="0"/>
          <w:sz w:val="32"/>
          <w:szCs w:val="32"/>
          <w:u w:val="none"/>
          <w:lang w:val="en-US" w:eastAsia="zh-CN" w:bidi="ar"/>
        </w:rPr>
        <w:t>1个工作日</w:t>
      </w:r>
      <w:r>
        <w:rPr>
          <w:rFonts w:eastAsia="方正仿宋简体"/>
          <w:color w:val="auto"/>
          <w:kern w:val="0"/>
          <w:sz w:val="32"/>
          <w:szCs w:val="32"/>
          <w:u w:val="none"/>
          <w:lang w:bidi="ar"/>
        </w:rPr>
        <w:t>完成审批（不包括受理公告、</w:t>
      </w:r>
      <w:r>
        <w:rPr>
          <w:rFonts w:hint="eastAsia" w:eastAsia="方正仿宋简体"/>
          <w:color w:val="auto"/>
          <w:kern w:val="0"/>
          <w:sz w:val="32"/>
          <w:szCs w:val="32"/>
          <w:u w:val="none"/>
          <w:lang w:val="en-US" w:eastAsia="zh-CN" w:bidi="ar"/>
        </w:rPr>
        <w:t>拟批准</w:t>
      </w:r>
      <w:r>
        <w:rPr>
          <w:rFonts w:eastAsia="方正仿宋简体"/>
          <w:color w:val="auto"/>
          <w:kern w:val="0"/>
          <w:sz w:val="32"/>
          <w:szCs w:val="32"/>
          <w:u w:val="none"/>
          <w:lang w:bidi="ar"/>
        </w:rPr>
        <w:t>公示</w:t>
      </w:r>
      <w:r>
        <w:rPr>
          <w:rFonts w:hint="eastAsia" w:eastAsia="方正仿宋简体"/>
          <w:color w:val="auto"/>
          <w:kern w:val="0"/>
          <w:sz w:val="32"/>
          <w:szCs w:val="32"/>
          <w:u w:val="none"/>
          <w:lang w:val="en-US" w:eastAsia="zh-CN" w:bidi="ar"/>
        </w:rPr>
        <w:t>及技术评估</w:t>
      </w:r>
      <w:r>
        <w:rPr>
          <w:rFonts w:eastAsia="方正仿宋简体"/>
          <w:color w:val="auto"/>
          <w:kern w:val="0"/>
          <w:sz w:val="32"/>
          <w:szCs w:val="32"/>
          <w:u w:val="none"/>
          <w:lang w:bidi="ar"/>
        </w:rPr>
        <w:t>时间）。</w:t>
      </w:r>
    </w:p>
    <w:p w14:paraId="3422D6FE">
      <w:pPr>
        <w:keepNext w:val="0"/>
        <w:keepLines w:val="0"/>
        <w:pageBreakBefore w:val="0"/>
        <w:kinsoku/>
        <w:wordWrap/>
        <w:overflowPunct/>
        <w:topLinePunct w:val="0"/>
        <w:autoSpaceDE/>
        <w:autoSpaceDN/>
        <w:bidi w:val="0"/>
        <w:adjustRightInd/>
        <w:snapToGrid/>
        <w:spacing w:line="620" w:lineRule="exact"/>
        <w:ind w:firstLine="640"/>
        <w:textAlignment w:val="auto"/>
        <w:rPr>
          <w:rFonts w:eastAsia="方正仿宋简体"/>
          <w:color w:val="auto"/>
          <w:sz w:val="32"/>
          <w:szCs w:val="32"/>
          <w:u w:val="none"/>
        </w:rPr>
      </w:pPr>
      <w:r>
        <w:rPr>
          <w:rFonts w:eastAsia="方正仿宋简体"/>
          <w:bCs/>
          <w:color w:val="auto"/>
          <w:sz w:val="32"/>
          <w:szCs w:val="32"/>
          <w:u w:val="none"/>
          <w:lang w:val="zh-TW" w:bidi="ar"/>
        </w:rPr>
        <w:t>八、</w:t>
      </w:r>
      <w:r>
        <w:rPr>
          <w:rFonts w:eastAsia="方正仿宋简体"/>
          <w:bCs/>
          <w:color w:val="auto"/>
          <w:sz w:val="32"/>
          <w:szCs w:val="32"/>
          <w:u w:val="none"/>
          <w:lang w:bidi="ar"/>
        </w:rPr>
        <w:t>应急管理</w:t>
      </w:r>
      <w:r>
        <w:rPr>
          <w:rFonts w:eastAsia="方正仿宋简体"/>
          <w:color w:val="auto"/>
          <w:sz w:val="32"/>
          <w:szCs w:val="32"/>
          <w:u w:val="none"/>
          <w:lang w:bidi="ar"/>
        </w:rPr>
        <w:t>部门将依法加强事前事中事后监管，把源头管控和优化服务更好结合起来，优化工作流程，简化办事环节，积极协助企业开展建设项目安全设施“三同时”工作，对符合条件的项目加紧审批，力促项目早日落地。</w:t>
      </w:r>
    </w:p>
    <w:p w14:paraId="2A5524CE">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color w:val="auto"/>
          <w:sz w:val="32"/>
          <w:szCs w:val="32"/>
          <w:u w:val="none"/>
        </w:rPr>
      </w:pPr>
      <w:r>
        <w:rPr>
          <w:rFonts w:eastAsia="方正仿宋简体"/>
          <w:color w:val="auto"/>
          <w:sz w:val="32"/>
          <w:szCs w:val="32"/>
          <w:u w:val="none"/>
          <w:lang w:bidi="ar"/>
        </w:rPr>
        <w:t>九、交通运输部门承诺在许可申请材料齐全的情况下，许可事项的审批在承诺时限内完成。</w:t>
      </w:r>
    </w:p>
    <w:p w14:paraId="018E1B57">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snapToGrid w:val="0"/>
          <w:color w:val="auto"/>
          <w:sz w:val="32"/>
          <w:szCs w:val="32"/>
          <w:u w:val="none"/>
        </w:rPr>
      </w:pPr>
      <w:r>
        <w:rPr>
          <w:rFonts w:eastAsia="方正仿宋简体"/>
          <w:color w:val="auto"/>
          <w:sz w:val="32"/>
          <w:szCs w:val="32"/>
          <w:u w:val="none"/>
          <w:lang w:bidi="ar"/>
        </w:rPr>
        <w:t>十、</w:t>
      </w:r>
      <w:r>
        <w:rPr>
          <w:rFonts w:eastAsia="方正仿宋简体"/>
          <w:snapToGrid w:val="0"/>
          <w:color w:val="auto"/>
          <w:sz w:val="32"/>
          <w:szCs w:val="32"/>
          <w:u w:val="none"/>
          <w:lang w:bidi="ar"/>
        </w:rPr>
        <w:t>国资部门将积极配合有关部门做好企业投资项目直接落地改革工作。</w:t>
      </w:r>
    </w:p>
    <w:p w14:paraId="1F6B2AFC">
      <w:pPr>
        <w:keepNext w:val="0"/>
        <w:keepLines w:val="0"/>
        <w:pageBreakBefore w:val="0"/>
        <w:kinsoku/>
        <w:wordWrap/>
        <w:overflowPunct/>
        <w:topLinePunct w:val="0"/>
        <w:autoSpaceDE/>
        <w:autoSpaceDN/>
        <w:bidi w:val="0"/>
        <w:adjustRightInd/>
        <w:snapToGrid/>
        <w:spacing w:line="620" w:lineRule="exact"/>
        <w:ind w:firstLine="645"/>
        <w:textAlignment w:val="auto"/>
        <w:rPr>
          <w:rFonts w:eastAsia="方正仿宋简体"/>
          <w:snapToGrid w:val="0"/>
          <w:color w:val="auto"/>
          <w:sz w:val="32"/>
          <w:szCs w:val="32"/>
          <w:u w:val="none"/>
        </w:rPr>
      </w:pPr>
      <w:r>
        <w:rPr>
          <w:rFonts w:eastAsia="方正仿宋简体"/>
          <w:snapToGrid w:val="0"/>
          <w:color w:val="auto"/>
          <w:sz w:val="32"/>
          <w:szCs w:val="32"/>
          <w:u w:val="none"/>
          <w:lang w:bidi="ar"/>
        </w:rPr>
        <w:t>十一、绿化主管部门严格按照有关要求，做好园林绿化相关行政许可手续的办理工作。</w:t>
      </w:r>
    </w:p>
    <w:p w14:paraId="54B4FF5E">
      <w:pPr>
        <w:keepNext w:val="0"/>
        <w:keepLines w:val="0"/>
        <w:pageBreakBefore w:val="0"/>
        <w:kinsoku/>
        <w:wordWrap/>
        <w:overflowPunct/>
        <w:topLinePunct w:val="0"/>
        <w:autoSpaceDE/>
        <w:autoSpaceDN/>
        <w:bidi w:val="0"/>
        <w:adjustRightInd/>
        <w:snapToGrid/>
        <w:spacing w:line="620" w:lineRule="exact"/>
        <w:ind w:firstLine="645"/>
        <w:textAlignment w:val="auto"/>
        <w:rPr>
          <w:rFonts w:hint="eastAsia" w:eastAsia="方正仿宋简体"/>
          <w:color w:val="auto"/>
          <w:sz w:val="32"/>
          <w:szCs w:val="32"/>
          <w:u w:val="none"/>
          <w:lang w:eastAsia="zh-CN"/>
        </w:rPr>
        <w:sectPr>
          <w:footerReference r:id="rId6" w:type="default"/>
          <w:pgSz w:w="11906" w:h="16838"/>
          <w:pgMar w:top="1871" w:right="1531" w:bottom="1871" w:left="1531" w:header="851" w:footer="1644" w:gutter="0"/>
          <w:cols w:space="720" w:num="1"/>
          <w:docGrid w:type="lines" w:linePitch="312" w:charSpace="0"/>
        </w:sectPr>
      </w:pPr>
      <w:r>
        <w:rPr>
          <w:rFonts w:eastAsia="方正仿宋简体"/>
          <w:snapToGrid w:val="0"/>
          <w:color w:val="auto"/>
          <w:sz w:val="32"/>
          <w:szCs w:val="32"/>
          <w:u w:val="none"/>
          <w:lang w:bidi="ar"/>
        </w:rPr>
        <w:t>如因政府部门未遵守承诺而提供相应的服务进而导致项目无法按承诺期限完成，政府部门应当承担相应的责任，免除企业因未在限时内履行承诺的违约处罚，并及时配合企业完成相关手续的报批</w:t>
      </w:r>
      <w:r>
        <w:rPr>
          <w:rFonts w:hint="eastAsia" w:eastAsia="方正仿宋简体"/>
          <w:snapToGrid w:val="0"/>
          <w:color w:val="auto"/>
          <w:sz w:val="32"/>
          <w:szCs w:val="32"/>
          <w:u w:val="none"/>
          <w:lang w:eastAsia="zh-CN" w:bidi="ar"/>
        </w:rPr>
        <w:t>。</w:t>
      </w:r>
    </w:p>
    <w:p w14:paraId="70EB1D60">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u w:val="none"/>
        </w:rPr>
      </w:pPr>
    </w:p>
    <w:sectPr>
      <w:footerReference r:id="rId7" w:type="default"/>
      <w:pgSz w:w="11906" w:h="16838"/>
      <w:pgMar w:top="1871" w:right="1531" w:bottom="1871" w:left="153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5B81F">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D7D112">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2D7D112">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267F1">
    <w:pPr>
      <w:pStyle w:val="3"/>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8393DB">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F8393DB">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C0EB8">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A82D2">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B2A82D2">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3DC7">
    <w:pPr>
      <w:pStyle w:val="3"/>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A1C1DD">
                          <w:pPr>
                            <w:rPr>
                              <w:rFonts w:hint="eastAsia"/>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DA1C1DD">
                    <w:pPr>
                      <w:rPr>
                        <w:rFonts w:hint="eastAsia"/>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0A847">
    <w:pPr>
      <w:pStyle w:val="4"/>
      <w:pBdr>
        <w:bottom w:val="none" w:color="auto" w:sz="0" w:space="1"/>
      </w:pBdr>
      <w:rPr>
        <w:rFonts w:eastAsia="方正仿宋简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B33BD"/>
    <w:rsid w:val="00E16FE2"/>
    <w:rsid w:val="03CD07B6"/>
    <w:rsid w:val="04623E3F"/>
    <w:rsid w:val="054F4E62"/>
    <w:rsid w:val="0D7341C6"/>
    <w:rsid w:val="11C72224"/>
    <w:rsid w:val="19241467"/>
    <w:rsid w:val="1B7E1BA5"/>
    <w:rsid w:val="1F784B5D"/>
    <w:rsid w:val="281C4C20"/>
    <w:rsid w:val="28E00B79"/>
    <w:rsid w:val="2FE029D7"/>
    <w:rsid w:val="321B33BD"/>
    <w:rsid w:val="34EE6C0F"/>
    <w:rsid w:val="467F21AA"/>
    <w:rsid w:val="556A5DD6"/>
    <w:rsid w:val="56D67BF6"/>
    <w:rsid w:val="59E6208C"/>
    <w:rsid w:val="59F633FA"/>
    <w:rsid w:val="6142619F"/>
    <w:rsid w:val="65000502"/>
    <w:rsid w:val="67206C39"/>
    <w:rsid w:val="67317098"/>
    <w:rsid w:val="69E623BC"/>
    <w:rsid w:val="70155E8C"/>
    <w:rsid w:val="75023E22"/>
    <w:rsid w:val="78C3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10672</Words>
  <Characters>10768</Characters>
  <Lines>0</Lines>
  <Paragraphs>0</Paragraphs>
  <TotalTime>270</TotalTime>
  <ScaleCrop>false</ScaleCrop>
  <LinksUpToDate>false</LinksUpToDate>
  <CharactersWithSpaces>10823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2024-12-11T01:42:00Z</dcterms:created>
  <dc:creator>低调的YL</dc:creator>
  <cp:lastModifiedBy>低调的YL</cp:lastModifiedBy>
  <cp:lastPrinted>2025-01-24T01:27:00Z</cp:lastPrinted>
  <dcterms:modified xsi:type="dcterms:W3CDTF">2025-01-26T02:36:26Z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EFC1F912AA344630A207C2C6E385C556_13</vt:lpwstr>
  </property>
  <property fmtid="{D5CDD505-2E9C-101B-9397-08002B2CF9AE}" pid="4" name="KSOTemplateDocerSaveRecord">
    <vt:lpwstr>eyJoZGlkIjoiMjRkYWQ4ZmRlYWNhOWJiODI2ZDk0MmM2ODg5YzgyZjIiLCJ1c2VySWQiOiI2MDEwMTYyNDUifQ==</vt:lpwstr>
  </property>
</Properties>
</file>