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color w:val="auto"/>
          <w:sz w:val="24"/>
          <w:highlight w:val="none"/>
        </w:rPr>
      </w:pPr>
    </w:p>
    <w:p>
      <w:pPr>
        <w:spacing w:line="600" w:lineRule="auto"/>
        <w:jc w:val="center"/>
        <w:rPr>
          <w:rFonts w:ascii="方正小标宋简体" w:eastAsia="方正小标宋简体"/>
          <w:color w:val="auto"/>
          <w:sz w:val="52"/>
          <w:szCs w:val="52"/>
          <w:highlight w:val="none"/>
        </w:rPr>
      </w:pPr>
    </w:p>
    <w:p>
      <w:pPr>
        <w:spacing w:line="600" w:lineRule="auto"/>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源城区养殖水域滩涂规划</w:t>
      </w:r>
    </w:p>
    <w:p>
      <w:pPr>
        <w:tabs>
          <w:tab w:val="left" w:pos="2220"/>
        </w:tabs>
        <w:spacing w:line="600" w:lineRule="auto"/>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（2018</w:t>
      </w:r>
      <w:r>
        <w:rPr>
          <w:rFonts w:eastAsia="黑体"/>
          <w:color w:val="auto"/>
          <w:sz w:val="52"/>
          <w:szCs w:val="52"/>
          <w:highlight w:val="none"/>
        </w:rPr>
        <w:t>~</w:t>
      </w:r>
      <w:r>
        <w:rPr>
          <w:rFonts w:hint="eastAsia" w:ascii="黑体" w:hAnsi="黑体" w:eastAsia="黑体" w:cs="黑体"/>
          <w:color w:val="auto"/>
          <w:sz w:val="52"/>
          <w:szCs w:val="52"/>
          <w:highlight w:val="none"/>
        </w:rPr>
        <w:t>2030年）</w:t>
      </w:r>
    </w:p>
    <w:p>
      <w:pPr>
        <w:ind w:firstLine="960" w:firstLineChars="200"/>
        <w:rPr>
          <w:color w:val="auto"/>
          <w:sz w:val="48"/>
          <w:szCs w:val="48"/>
          <w:highlight w:val="none"/>
        </w:rPr>
      </w:pPr>
      <w:r>
        <w:rPr>
          <w:rFonts w:hint="eastAsia"/>
          <w:color w:val="auto"/>
          <w:sz w:val="48"/>
          <w:szCs w:val="48"/>
          <w:highlight w:val="none"/>
        </w:rPr>
        <w:t xml:space="preserve">       </w:t>
      </w:r>
      <w:r>
        <w:rPr>
          <w:rFonts w:hint="eastAsia" w:ascii="黑体" w:hAnsi="黑体" w:eastAsia="黑体" w:cs="黑体"/>
          <w:color w:val="auto"/>
          <w:sz w:val="52"/>
          <w:szCs w:val="52"/>
          <w:highlight w:val="none"/>
        </w:rPr>
        <w:t>（修订稿）</w:t>
      </w:r>
    </w:p>
    <w:p>
      <w:pPr>
        <w:ind w:firstLine="1040" w:firstLineChars="200"/>
        <w:rPr>
          <w:color w:val="auto"/>
          <w:sz w:val="52"/>
          <w:szCs w:val="52"/>
          <w:highlight w:val="none"/>
        </w:rPr>
      </w:pPr>
    </w:p>
    <w:p>
      <w:pPr>
        <w:ind w:firstLine="1040" w:firstLineChars="200"/>
        <w:rPr>
          <w:color w:val="auto"/>
          <w:sz w:val="52"/>
          <w:szCs w:val="52"/>
          <w:highlight w:val="none"/>
        </w:rPr>
      </w:pPr>
    </w:p>
    <w:p>
      <w:pPr>
        <w:ind w:firstLine="1040" w:firstLineChars="200"/>
        <w:rPr>
          <w:color w:val="auto"/>
          <w:sz w:val="52"/>
          <w:szCs w:val="52"/>
          <w:highlight w:val="none"/>
        </w:rPr>
      </w:pPr>
    </w:p>
    <w:p>
      <w:pPr>
        <w:ind w:firstLine="1040" w:firstLineChars="200"/>
        <w:rPr>
          <w:color w:val="auto"/>
          <w:sz w:val="52"/>
          <w:szCs w:val="52"/>
          <w:highlight w:val="none"/>
        </w:rPr>
      </w:pPr>
    </w:p>
    <w:p>
      <w:pPr>
        <w:ind w:firstLine="1040" w:firstLineChars="200"/>
        <w:rPr>
          <w:color w:val="auto"/>
          <w:sz w:val="52"/>
          <w:szCs w:val="52"/>
          <w:highlight w:val="none"/>
        </w:rPr>
      </w:pPr>
    </w:p>
    <w:p>
      <w:pPr>
        <w:ind w:firstLine="1040" w:firstLineChars="200"/>
        <w:rPr>
          <w:color w:val="auto"/>
          <w:sz w:val="52"/>
          <w:szCs w:val="52"/>
          <w:highlight w:val="none"/>
        </w:rPr>
      </w:pPr>
    </w:p>
    <w:p>
      <w:pPr>
        <w:ind w:firstLine="1040" w:firstLineChars="200"/>
        <w:rPr>
          <w:color w:val="auto"/>
          <w:sz w:val="52"/>
          <w:szCs w:val="52"/>
          <w:highlight w:val="none"/>
        </w:rPr>
      </w:pPr>
    </w:p>
    <w:p>
      <w:pPr>
        <w:ind w:firstLine="1040" w:firstLineChars="200"/>
        <w:rPr>
          <w:color w:val="auto"/>
          <w:sz w:val="52"/>
          <w:szCs w:val="52"/>
          <w:highlight w:val="none"/>
        </w:rPr>
      </w:pPr>
    </w:p>
    <w:p>
      <w:pPr>
        <w:ind w:firstLine="1040" w:firstLineChars="200"/>
        <w:rPr>
          <w:color w:val="auto"/>
          <w:sz w:val="52"/>
          <w:szCs w:val="52"/>
          <w:highlight w:val="none"/>
        </w:rPr>
      </w:pPr>
    </w:p>
    <w:p>
      <w:pPr>
        <w:rPr>
          <w:rFonts w:ascii="楷体_GB2312" w:eastAsia="楷体_GB2312"/>
          <w:color w:val="auto"/>
          <w:sz w:val="36"/>
          <w:szCs w:val="36"/>
          <w:highlight w:val="none"/>
        </w:rPr>
      </w:pPr>
    </w:p>
    <w:p>
      <w:pPr>
        <w:spacing w:line="600" w:lineRule="auto"/>
        <w:jc w:val="center"/>
        <w:rPr>
          <w:rFonts w:ascii="楷体" w:hAnsi="楷体" w:eastAsia="楷体" w:cs="楷体"/>
          <w:b/>
          <w:bCs/>
          <w:color w:val="auto"/>
          <w:sz w:val="44"/>
          <w:szCs w:val="44"/>
          <w:highlight w:val="none"/>
        </w:rPr>
      </w:pPr>
      <w:r>
        <w:rPr>
          <w:rFonts w:hint="eastAsia" w:ascii="楷体" w:hAnsi="楷体" w:eastAsia="楷体" w:cs="楷体"/>
          <w:b/>
          <w:bCs/>
          <w:color w:val="auto"/>
          <w:sz w:val="44"/>
          <w:szCs w:val="44"/>
          <w:highlight w:val="none"/>
        </w:rPr>
        <w:t>河源市源城区农业农村局</w:t>
      </w:r>
    </w:p>
    <w:p>
      <w:pPr>
        <w:spacing w:line="600" w:lineRule="auto"/>
        <w:jc w:val="center"/>
        <w:rPr>
          <w:rFonts w:ascii="楷体" w:hAnsi="楷体" w:eastAsia="楷体" w:cs="楷体"/>
          <w:b/>
          <w:bCs/>
          <w:color w:val="auto"/>
          <w:sz w:val="44"/>
          <w:szCs w:val="44"/>
          <w:highlight w:val="none"/>
        </w:rPr>
      </w:pPr>
      <w:r>
        <w:rPr>
          <w:rFonts w:hint="eastAsia" w:ascii="楷体" w:hAnsi="楷体" w:eastAsia="楷体" w:cs="楷体"/>
          <w:b/>
          <w:bCs/>
          <w:color w:val="auto"/>
          <w:sz w:val="44"/>
          <w:szCs w:val="44"/>
          <w:highlight w:val="none"/>
        </w:rPr>
        <w:t>中国水产科学研究院珠江水产研究所</w:t>
      </w:r>
    </w:p>
    <w:p>
      <w:pPr>
        <w:spacing w:line="480" w:lineRule="auto"/>
        <w:jc w:val="center"/>
        <w:rPr>
          <w:rFonts w:ascii="方正小标宋简体" w:eastAsia="方正小标宋简体"/>
          <w:b/>
          <w:bCs/>
          <w:color w:val="auto"/>
          <w:sz w:val="32"/>
          <w:szCs w:val="32"/>
          <w:highlight w:val="none"/>
        </w:rPr>
      </w:pPr>
    </w:p>
    <w:p>
      <w:pPr>
        <w:spacing w:line="480" w:lineRule="auto"/>
        <w:jc w:val="center"/>
        <w:rPr>
          <w:rFonts w:ascii="方正小标宋简体" w:eastAsia="方正小标宋简体"/>
          <w:b/>
          <w:bCs/>
          <w:color w:val="auto"/>
          <w:sz w:val="32"/>
          <w:szCs w:val="32"/>
          <w:highlight w:val="none"/>
        </w:rPr>
      </w:pPr>
      <w:r>
        <w:rPr>
          <w:rFonts w:hint="eastAsia" w:ascii="楷体" w:hAnsi="楷体" w:eastAsia="楷体" w:cs="楷体"/>
          <w:b/>
          <w:bCs/>
          <w:color w:val="auto"/>
          <w:sz w:val="32"/>
          <w:szCs w:val="32"/>
          <w:highlight w:val="none"/>
        </w:rPr>
        <w:t>二0二三年十一月</w:t>
      </w:r>
    </w:p>
    <w:p>
      <w:pPr>
        <w:tabs>
          <w:tab w:val="left" w:pos="3015"/>
        </w:tabs>
        <w:rPr>
          <w:color w:val="auto"/>
          <w:sz w:val="36"/>
          <w:szCs w:val="36"/>
          <w:highlight w:val="none"/>
        </w:rPr>
      </w:pPr>
    </w:p>
    <w:p>
      <w:pPr>
        <w:tabs>
          <w:tab w:val="left" w:pos="3015"/>
        </w:tabs>
        <w:ind w:firstLine="602" w:firstLineChars="200"/>
        <w:jc w:val="center"/>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编制小组</w:t>
      </w:r>
    </w:p>
    <w:p>
      <w:pPr>
        <w:tabs>
          <w:tab w:val="left" w:pos="3015"/>
        </w:tabs>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河源市源城区农业农村局</w:t>
      </w:r>
    </w:p>
    <w:p>
      <w:pPr>
        <w:tabs>
          <w:tab w:val="left" w:pos="3015"/>
        </w:tabs>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名单待定</w:t>
      </w:r>
    </w:p>
    <w:p>
      <w:pPr>
        <w:tabs>
          <w:tab w:val="left" w:pos="3015"/>
        </w:tabs>
        <w:rPr>
          <w:rFonts w:ascii="仿宋" w:hAnsi="仿宋" w:eastAsia="仿宋" w:cs="仿宋"/>
          <w:color w:val="auto"/>
          <w:sz w:val="28"/>
          <w:szCs w:val="28"/>
          <w:highlight w:val="none"/>
        </w:rPr>
      </w:pPr>
    </w:p>
    <w:p>
      <w:pPr>
        <w:tabs>
          <w:tab w:val="left" w:pos="3015"/>
        </w:tabs>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中国水产科学研究院珠江水产研究所</w:t>
      </w:r>
    </w:p>
    <w:p>
      <w:pPr>
        <w:tabs>
          <w:tab w:val="left" w:pos="3015"/>
        </w:tabs>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欧密、赵建、罗青、刘海洋、张新铖、费树站</w:t>
      </w:r>
    </w:p>
    <w:p>
      <w:pPr>
        <w:tabs>
          <w:tab w:val="left" w:pos="3015"/>
        </w:tabs>
        <w:ind w:firstLine="600"/>
        <w:rPr>
          <w:color w:val="auto"/>
          <w:sz w:val="30"/>
          <w:szCs w:val="30"/>
          <w:highlight w:val="none"/>
        </w:rPr>
      </w:pPr>
    </w:p>
    <w:p>
      <w:pPr>
        <w:tabs>
          <w:tab w:val="left" w:pos="3015"/>
        </w:tabs>
        <w:ind w:firstLine="600" w:firstLineChars="200"/>
        <w:rPr>
          <w:color w:val="auto"/>
          <w:sz w:val="30"/>
          <w:szCs w:val="30"/>
          <w:highlight w:val="none"/>
        </w:rPr>
      </w:pPr>
    </w:p>
    <w:p>
      <w:pPr>
        <w:tabs>
          <w:tab w:val="left" w:pos="3015"/>
        </w:tabs>
        <w:ind w:firstLine="600" w:firstLineChars="200"/>
        <w:rPr>
          <w:color w:val="auto"/>
          <w:sz w:val="30"/>
          <w:szCs w:val="30"/>
          <w:highlight w:val="none"/>
        </w:rPr>
        <w:sectPr>
          <w:footerReference r:id="rId3" w:type="even"/>
          <w:pgSz w:w="11906" w:h="16838"/>
          <w:pgMar w:top="1440" w:right="1800" w:bottom="1440" w:left="1800" w:header="851" w:footer="992" w:gutter="0"/>
          <w:cols w:space="720" w:num="1"/>
          <w:docGrid w:type="lines" w:linePitch="312" w:charSpace="0"/>
        </w:sectPr>
      </w:pPr>
    </w:p>
    <w:sdt>
      <w:sdtPr>
        <w:rPr>
          <w:rFonts w:hint="eastAsia" w:ascii="仿宋" w:hAnsi="仿宋" w:eastAsia="仿宋" w:cs="仿宋"/>
          <w:b/>
          <w:color w:val="auto"/>
          <w:kern w:val="2"/>
          <w:sz w:val="30"/>
          <w:szCs w:val="30"/>
          <w:highlight w:val="none"/>
          <w:lang w:val="zh-CN"/>
        </w:rPr>
        <w:id w:val="-394202033"/>
        <w:docPartObj>
          <w:docPartGallery w:val="Table of Contents"/>
          <w:docPartUnique/>
        </w:docPartObj>
      </w:sdtPr>
      <w:sdtEndPr>
        <w:rPr>
          <w:rFonts w:hint="eastAsia" w:ascii="仿宋" w:hAnsi="仿宋" w:eastAsia="仿宋" w:cs="仿宋"/>
          <w:b/>
          <w:bCs/>
          <w:color w:val="auto"/>
          <w:kern w:val="2"/>
          <w:sz w:val="28"/>
          <w:szCs w:val="28"/>
          <w:highlight w:val="none"/>
          <w:lang w:val="zh-CN"/>
        </w:rPr>
      </w:sdtEndPr>
      <w:sdtContent>
        <w:sdt>
          <w:sdtPr>
            <w:rPr>
              <w:rFonts w:hint="eastAsia" w:ascii="仿宋" w:hAnsi="仿宋" w:eastAsia="仿宋" w:cs="仿宋"/>
              <w:b/>
              <w:color w:val="auto"/>
              <w:kern w:val="2"/>
              <w:sz w:val="30"/>
              <w:szCs w:val="30"/>
              <w:highlight w:val="none"/>
              <w:lang w:val="zh-CN"/>
            </w:rPr>
            <w:id w:val="-582376771"/>
            <w:docPartObj>
              <w:docPartGallery w:val="Table of Contents"/>
              <w:docPartUnique/>
            </w:docPartObj>
          </w:sdtPr>
          <w:sdtEndPr>
            <w:rPr>
              <w:rFonts w:hint="eastAsia" w:ascii="仿宋" w:hAnsi="仿宋" w:eastAsia="仿宋" w:cs="仿宋"/>
              <w:b/>
              <w:bCs/>
              <w:color w:val="auto"/>
              <w:kern w:val="2"/>
              <w:sz w:val="28"/>
              <w:szCs w:val="28"/>
              <w:highlight w:val="none"/>
              <w:lang w:val="zh-CN"/>
            </w:rPr>
          </w:sdtEndPr>
          <w:sdtContent>
            <w:p>
              <w:pPr>
                <w:pStyle w:val="33"/>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zh-CN"/>
                </w:rPr>
                <w:t>目 录</w:t>
              </w:r>
            </w:p>
            <w:p>
              <w:pPr>
                <w:pStyle w:val="11"/>
                <w:tabs>
                  <w:tab w:val="right" w:leader="dot" w:pos="8306"/>
                </w:tabs>
                <w:spacing w:line="360" w:lineRule="auto"/>
                <w:rPr>
                  <w:rFonts w:ascii="仿宋" w:hAnsi="仿宋" w:eastAsia="仿宋" w:cs="仿宋"/>
                  <w:b/>
                  <w:bCs/>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TOC \o "1-3" \h \z \u </w:instrText>
              </w:r>
              <w:r>
                <w:rPr>
                  <w:rFonts w:hint="eastAsia" w:ascii="仿宋" w:hAnsi="仿宋" w:eastAsia="仿宋" w:cs="仿宋"/>
                  <w:color w:val="auto"/>
                  <w:sz w:val="28"/>
                  <w:szCs w:val="28"/>
                  <w:highlight w:val="none"/>
                </w:rPr>
                <w:fldChar w:fldCharType="separate"/>
              </w:r>
              <w:r>
                <w:rPr>
                  <w:color w:val="auto"/>
                  <w:highlight w:val="none"/>
                </w:rPr>
                <w:fldChar w:fldCharType="begin"/>
              </w:r>
              <w:r>
                <w:rPr>
                  <w:color w:val="auto"/>
                  <w:highlight w:val="none"/>
                </w:rPr>
                <w:instrText xml:space="preserve"> HYPERLINK \l "_Toc32524" </w:instrText>
              </w:r>
              <w:r>
                <w:rPr>
                  <w:color w:val="auto"/>
                  <w:highlight w:val="none"/>
                </w:rPr>
                <w:fldChar w:fldCharType="separate"/>
              </w:r>
              <w:r>
                <w:rPr>
                  <w:rFonts w:hint="eastAsia" w:ascii="仿宋" w:hAnsi="仿宋" w:eastAsia="仿宋" w:cs="仿宋"/>
                  <w:b/>
                  <w:bCs/>
                  <w:color w:val="auto"/>
                  <w:sz w:val="28"/>
                  <w:szCs w:val="28"/>
                  <w:highlight w:val="none"/>
                </w:rPr>
                <w:t>第一章 总则</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_Toc32524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"_Toc15680" </w:instrText>
              </w:r>
              <w:r>
                <w:rPr>
                  <w:color w:val="auto"/>
                  <w:highlight w:val="none"/>
                </w:rPr>
                <w:fldChar w:fldCharType="separate"/>
              </w:r>
              <w:r>
                <w:rPr>
                  <w:rFonts w:hint="eastAsia" w:ascii="仿宋" w:hAnsi="仿宋" w:eastAsia="仿宋" w:cs="仿宋"/>
                  <w:b/>
                  <w:bCs/>
                  <w:color w:val="auto"/>
                  <w:sz w:val="28"/>
                  <w:szCs w:val="28"/>
                  <w:highlight w:val="none"/>
                </w:rPr>
                <w:t>第一节 前言</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_Toc15680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"_Toc26408" </w:instrText>
              </w:r>
              <w:r>
                <w:rPr>
                  <w:color w:val="auto"/>
                  <w:highlight w:val="none"/>
                </w:rPr>
                <w:fldChar w:fldCharType="separate"/>
              </w:r>
              <w:r>
                <w:rPr>
                  <w:rFonts w:hint="eastAsia" w:ascii="仿宋" w:hAnsi="仿宋" w:eastAsia="仿宋" w:cs="仿宋"/>
                  <w:b/>
                  <w:bCs/>
                  <w:color w:val="auto"/>
                  <w:sz w:val="28"/>
                  <w:szCs w:val="28"/>
                  <w:highlight w:val="none"/>
                </w:rPr>
                <w:t>第二节 编制依据</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_Toc26408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4</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"_Toc10711" </w:instrText>
              </w:r>
              <w:r>
                <w:rPr>
                  <w:color w:val="auto"/>
                  <w:highlight w:val="none"/>
                </w:rPr>
                <w:fldChar w:fldCharType="separate"/>
              </w:r>
              <w:r>
                <w:rPr>
                  <w:rFonts w:hint="eastAsia" w:ascii="仿宋" w:hAnsi="仿宋" w:eastAsia="仿宋" w:cs="仿宋"/>
                  <w:b/>
                  <w:bCs/>
                  <w:color w:val="auto"/>
                  <w:sz w:val="28"/>
                  <w:szCs w:val="28"/>
                  <w:highlight w:val="none"/>
                </w:rPr>
                <w:t>第三节 目标任务</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_Toc10711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"_Toc5828" </w:instrText>
              </w:r>
              <w:r>
                <w:rPr>
                  <w:color w:val="auto"/>
                  <w:highlight w:val="none"/>
                </w:rPr>
                <w:fldChar w:fldCharType="separate"/>
              </w:r>
              <w:r>
                <w:rPr>
                  <w:rFonts w:hint="eastAsia" w:ascii="仿宋" w:hAnsi="仿宋" w:eastAsia="仿宋" w:cs="仿宋"/>
                  <w:b/>
                  <w:bCs/>
                  <w:color w:val="auto"/>
                  <w:sz w:val="28"/>
                  <w:szCs w:val="28"/>
                  <w:highlight w:val="none"/>
                </w:rPr>
                <w:t>第四节 基本原则</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_Toc5828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"_Toc3713" </w:instrText>
              </w:r>
              <w:r>
                <w:rPr>
                  <w:color w:val="auto"/>
                  <w:highlight w:val="none"/>
                </w:rPr>
                <w:fldChar w:fldCharType="separate"/>
              </w:r>
              <w:r>
                <w:rPr>
                  <w:rFonts w:hint="eastAsia" w:ascii="仿宋" w:hAnsi="仿宋" w:eastAsia="仿宋" w:cs="仿宋"/>
                  <w:b/>
                  <w:bCs/>
                  <w:color w:val="auto"/>
                  <w:sz w:val="28"/>
                  <w:szCs w:val="28"/>
                  <w:highlight w:val="none"/>
                </w:rPr>
                <w:t>第五节 规划范围</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_Toc3713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9</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"_Toc4968" </w:instrText>
              </w:r>
              <w:r>
                <w:rPr>
                  <w:color w:val="auto"/>
                  <w:highlight w:val="none"/>
                </w:rPr>
                <w:fldChar w:fldCharType="separate"/>
              </w:r>
              <w:r>
                <w:rPr>
                  <w:rFonts w:hint="eastAsia" w:ascii="仿宋" w:hAnsi="仿宋" w:eastAsia="仿宋" w:cs="仿宋"/>
                  <w:b/>
                  <w:bCs/>
                  <w:color w:val="auto"/>
                  <w:sz w:val="28"/>
                  <w:szCs w:val="28"/>
                  <w:highlight w:val="none"/>
                </w:rPr>
                <w:t>第二章 养殖水域滩涂利用评价</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_Toc4968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10</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"_Toc2380" </w:instrText>
              </w:r>
              <w:r>
                <w:rPr>
                  <w:color w:val="auto"/>
                  <w:highlight w:val="none"/>
                </w:rPr>
                <w:fldChar w:fldCharType="separate"/>
              </w:r>
              <w:r>
                <w:rPr>
                  <w:rFonts w:hint="eastAsia" w:ascii="仿宋" w:hAnsi="仿宋" w:eastAsia="仿宋" w:cs="仿宋"/>
                  <w:b/>
                  <w:bCs/>
                  <w:color w:val="auto"/>
                  <w:sz w:val="28"/>
                  <w:szCs w:val="28"/>
                  <w:highlight w:val="none"/>
                </w:rPr>
                <w:t>第六节 水域滩涂承载力分析</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_Toc2380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10</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420" w:firstLineChars="200"/>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"_Toc32520" </w:instrText>
              </w:r>
              <w:r>
                <w:rPr>
                  <w:color w:val="auto"/>
                  <w:highlight w:val="none"/>
                </w:rPr>
                <w:fldChar w:fldCharType="separate"/>
              </w:r>
              <w:r>
                <w:rPr>
                  <w:rFonts w:hint="eastAsia" w:ascii="仿宋" w:hAnsi="仿宋" w:eastAsia="仿宋" w:cs="仿宋"/>
                  <w:color w:val="auto"/>
                  <w:sz w:val="28"/>
                  <w:szCs w:val="28"/>
                  <w:highlight w:val="none"/>
                </w:rPr>
                <w:t>第一条 水域滩涂资源状况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_Toc32520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tabs>
                  <w:tab w:val="right" w:leader="dot" w:pos="8306"/>
                </w:tabs>
                <w:spacing w:line="360" w:lineRule="auto"/>
                <w:ind w:firstLine="420" w:firstLineChars="200"/>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"_Toc10250" </w:instrText>
              </w:r>
              <w:r>
                <w:rPr>
                  <w:color w:val="auto"/>
                  <w:highlight w:val="none"/>
                </w:rPr>
                <w:fldChar w:fldCharType="separate"/>
              </w:r>
              <w:r>
                <w:rPr>
                  <w:rFonts w:hint="eastAsia" w:ascii="仿宋" w:hAnsi="仿宋" w:eastAsia="仿宋" w:cs="仿宋"/>
                  <w:color w:val="auto"/>
                  <w:sz w:val="28"/>
                  <w:szCs w:val="28"/>
                  <w:highlight w:val="none"/>
                </w:rPr>
                <w:t>第二条 自然气候条件</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_Toc10250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tabs>
                  <w:tab w:val="right" w:leader="dot" w:pos="8306"/>
                </w:tabs>
                <w:spacing w:line="360" w:lineRule="auto"/>
                <w:ind w:firstLine="420" w:firstLineChars="200"/>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"_Toc7448" </w:instrText>
              </w:r>
              <w:r>
                <w:rPr>
                  <w:color w:val="auto"/>
                  <w:highlight w:val="none"/>
                </w:rPr>
                <w:fldChar w:fldCharType="separate"/>
              </w:r>
              <w:r>
                <w:rPr>
                  <w:rFonts w:hint="eastAsia" w:ascii="仿宋" w:hAnsi="仿宋" w:eastAsia="仿宋" w:cs="仿宋"/>
                  <w:color w:val="auto"/>
                  <w:sz w:val="28"/>
                  <w:szCs w:val="28"/>
                  <w:highlight w:val="none"/>
                </w:rPr>
                <w:t>第三条 水生生物资源状况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_Toc7448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12</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tabs>
                  <w:tab w:val="right" w:leader="dot" w:pos="8306"/>
                </w:tabs>
                <w:spacing w:line="360" w:lineRule="auto"/>
                <w:ind w:firstLine="420" w:firstLineChars="200"/>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"_Toc417" </w:instrText>
              </w:r>
              <w:r>
                <w:rPr>
                  <w:color w:val="auto"/>
                  <w:highlight w:val="none"/>
                </w:rPr>
                <w:fldChar w:fldCharType="separate"/>
              </w:r>
              <w:r>
                <w:rPr>
                  <w:rFonts w:hint="eastAsia" w:ascii="仿宋" w:hAnsi="仿宋" w:eastAsia="仿宋" w:cs="仿宋"/>
                  <w:color w:val="auto"/>
                  <w:sz w:val="28"/>
                  <w:szCs w:val="28"/>
                  <w:highlight w:val="none"/>
                </w:rPr>
                <w:t>第四条 水域环境状况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_Toc417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tabs>
                  <w:tab w:val="right" w:leader="dot" w:pos="8306"/>
                </w:tabs>
                <w:spacing w:line="360" w:lineRule="auto"/>
                <w:ind w:firstLine="420" w:firstLineChars="2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"_Toc3354" </w:instrText>
              </w:r>
              <w:r>
                <w:rPr>
                  <w:color w:val="auto"/>
                  <w:highlight w:val="none"/>
                </w:rPr>
                <w:fldChar w:fldCharType="separate"/>
              </w:r>
              <w:r>
                <w:rPr>
                  <w:rFonts w:hint="eastAsia" w:ascii="仿宋" w:hAnsi="仿宋" w:eastAsia="仿宋" w:cs="仿宋"/>
                  <w:color w:val="auto"/>
                  <w:sz w:val="28"/>
                  <w:szCs w:val="28"/>
                  <w:highlight w:val="none"/>
                </w:rPr>
                <w:t>第五条 水域滩涂承载力评价</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_Toc3354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"_Toc29405" </w:instrText>
              </w:r>
              <w:r>
                <w:rPr>
                  <w:color w:val="auto"/>
                  <w:highlight w:val="none"/>
                </w:rPr>
                <w:fldChar w:fldCharType="separate"/>
              </w:r>
              <w:r>
                <w:rPr>
                  <w:rFonts w:hint="eastAsia" w:ascii="仿宋" w:hAnsi="仿宋" w:eastAsia="仿宋" w:cs="仿宋"/>
                  <w:b/>
                  <w:bCs/>
                  <w:color w:val="auto"/>
                  <w:sz w:val="28"/>
                  <w:szCs w:val="28"/>
                  <w:highlight w:val="none"/>
                </w:rPr>
                <w:t>第七节 水产养殖产业发展分析</w:t>
              </w:r>
              <w:r>
                <w:rPr>
                  <w:rFonts w:hint="eastAsia" w:ascii="仿宋" w:hAnsi="仿宋" w:eastAsia="仿宋" w:cs="仿宋"/>
                  <w:b/>
                  <w:bCs/>
                  <w:color w:val="auto"/>
                  <w:sz w:val="28"/>
                  <w:szCs w:val="28"/>
                  <w:highlight w:val="none"/>
                  <w:lang w:val="zh-CN"/>
                </w:rPr>
                <w:tab/>
              </w:r>
              <w:r>
                <w:rPr>
                  <w:rFonts w:hint="eastAsia" w:ascii="仿宋" w:hAnsi="仿宋" w:eastAsia="仿宋" w:cs="仿宋"/>
                  <w:b/>
                  <w:bCs/>
                  <w:color w:val="auto"/>
                  <w:sz w:val="28"/>
                  <w:szCs w:val="28"/>
                  <w:highlight w:val="none"/>
                  <w:lang w:val="zh-CN"/>
                </w:rPr>
                <w:fldChar w:fldCharType="begin"/>
              </w:r>
              <w:r>
                <w:rPr>
                  <w:rFonts w:hint="eastAsia" w:ascii="仿宋" w:hAnsi="仿宋" w:eastAsia="仿宋" w:cs="仿宋"/>
                  <w:b/>
                  <w:bCs/>
                  <w:color w:val="auto"/>
                  <w:sz w:val="28"/>
                  <w:szCs w:val="28"/>
                  <w:highlight w:val="none"/>
                  <w:lang w:val="zh-CN"/>
                </w:rPr>
                <w:instrText xml:space="preserve"> PAGEREF _Toc29405 \h </w:instrText>
              </w:r>
              <w:r>
                <w:rPr>
                  <w:rFonts w:hint="eastAsia" w:ascii="仿宋" w:hAnsi="仿宋" w:eastAsia="仿宋" w:cs="仿宋"/>
                  <w:b/>
                  <w:bCs/>
                  <w:color w:val="auto"/>
                  <w:sz w:val="28"/>
                  <w:szCs w:val="28"/>
                  <w:highlight w:val="none"/>
                  <w:lang w:val="zh-CN"/>
                </w:rPr>
                <w:fldChar w:fldCharType="separate"/>
              </w:r>
              <w:r>
                <w:rPr>
                  <w:rFonts w:hint="eastAsia" w:ascii="仿宋" w:hAnsi="仿宋" w:eastAsia="仿宋" w:cs="仿宋"/>
                  <w:b/>
                  <w:bCs/>
                  <w:color w:val="auto"/>
                  <w:sz w:val="28"/>
                  <w:szCs w:val="28"/>
                  <w:highlight w:val="none"/>
                  <w:lang w:val="zh-CN"/>
                </w:rPr>
                <w:t>15</w:t>
              </w:r>
              <w:r>
                <w:rPr>
                  <w:rFonts w:hint="eastAsia" w:ascii="仿宋" w:hAnsi="仿宋" w:eastAsia="仿宋" w:cs="仿宋"/>
                  <w:b/>
                  <w:bCs/>
                  <w:color w:val="auto"/>
                  <w:sz w:val="28"/>
                  <w:szCs w:val="28"/>
                  <w:highlight w:val="none"/>
                  <w:lang w:val="zh-CN"/>
                </w:rPr>
                <w:fldChar w:fldCharType="end"/>
              </w:r>
              <w:r>
                <w:rPr>
                  <w:rFonts w:hint="eastAsia" w:ascii="仿宋" w:hAnsi="仿宋" w:eastAsia="仿宋" w:cs="仿宋"/>
                  <w:b/>
                  <w:bCs/>
                  <w:color w:val="auto"/>
                  <w:sz w:val="28"/>
                  <w:szCs w:val="28"/>
                  <w:highlight w:val="none"/>
                  <w:lang w:val="zh-CN"/>
                </w:rPr>
                <w:fldChar w:fldCharType="end"/>
              </w:r>
            </w:p>
            <w:p>
              <w:pPr>
                <w:pStyle w:val="11"/>
                <w:tabs>
                  <w:tab w:val="right" w:leader="dot" w:pos="8306"/>
                </w:tabs>
                <w:spacing w:line="360" w:lineRule="auto"/>
                <w:ind w:firstLine="420" w:firstLineChars="200"/>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"_Toc20156" </w:instrText>
              </w:r>
              <w:r>
                <w:rPr>
                  <w:color w:val="auto"/>
                  <w:highlight w:val="none"/>
                </w:rPr>
                <w:fldChar w:fldCharType="separate"/>
              </w:r>
              <w:r>
                <w:rPr>
                  <w:rFonts w:hint="eastAsia" w:ascii="仿宋" w:hAnsi="仿宋" w:eastAsia="仿宋" w:cs="仿宋"/>
                  <w:color w:val="auto"/>
                  <w:sz w:val="28"/>
                  <w:szCs w:val="28"/>
                  <w:highlight w:val="none"/>
                </w:rPr>
                <w:t>第一条 水产养殖发展现状</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_Toc20156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tabs>
                  <w:tab w:val="right" w:leader="dot" w:pos="8306"/>
                </w:tabs>
                <w:spacing w:line="360" w:lineRule="auto"/>
                <w:ind w:firstLine="420" w:firstLineChars="200"/>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"_Toc25243" </w:instrText>
              </w:r>
              <w:r>
                <w:rPr>
                  <w:color w:val="auto"/>
                  <w:highlight w:val="none"/>
                </w:rPr>
                <w:fldChar w:fldCharType="separate"/>
              </w:r>
              <w:r>
                <w:rPr>
                  <w:rFonts w:hint="eastAsia" w:ascii="仿宋" w:hAnsi="仿宋" w:eastAsia="仿宋" w:cs="仿宋"/>
                  <w:color w:val="auto"/>
                  <w:sz w:val="28"/>
                  <w:szCs w:val="28"/>
                  <w:highlight w:val="none"/>
                </w:rPr>
                <w:t>第二条 区域经济发展方向</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_Toc25243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tabs>
                  <w:tab w:val="right" w:leader="dot" w:pos="8306"/>
                </w:tabs>
                <w:spacing w:line="360" w:lineRule="auto"/>
                <w:ind w:firstLine="420" w:firstLineChars="200"/>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"_Toc957" </w:instrText>
              </w:r>
              <w:r>
                <w:rPr>
                  <w:color w:val="auto"/>
                  <w:highlight w:val="none"/>
                </w:rPr>
                <w:fldChar w:fldCharType="separate"/>
              </w:r>
              <w:r>
                <w:rPr>
                  <w:rFonts w:hint="eastAsia" w:ascii="仿宋" w:hAnsi="仿宋" w:eastAsia="仿宋" w:cs="仿宋"/>
                  <w:color w:val="auto"/>
                  <w:sz w:val="28"/>
                  <w:szCs w:val="28"/>
                  <w:highlight w:val="none"/>
                </w:rPr>
                <w:t>第三条 水产养殖前景预测</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"_Toc20619" </w:instrText>
              </w:r>
              <w:r>
                <w:rPr>
                  <w:color w:val="auto"/>
                  <w:highlight w:val="none"/>
                </w:rPr>
                <w:fldChar w:fldCharType="separate"/>
              </w:r>
              <w:r>
                <w:rPr>
                  <w:rFonts w:hint="eastAsia" w:ascii="仿宋" w:hAnsi="仿宋" w:eastAsia="仿宋" w:cs="仿宋"/>
                  <w:b/>
                  <w:bCs/>
                  <w:color w:val="auto"/>
                  <w:sz w:val="28"/>
                  <w:szCs w:val="28"/>
                  <w:highlight w:val="none"/>
                </w:rPr>
                <w:t>第八节 养殖水域滩涂开发总体思路</w:t>
              </w:r>
              <w:r>
                <w:rPr>
                  <w:rFonts w:hint="eastAsia" w:ascii="仿宋" w:hAnsi="仿宋" w:eastAsia="仿宋" w:cs="仿宋"/>
                  <w:b/>
                  <w:bCs/>
                  <w:color w:val="auto"/>
                  <w:sz w:val="28"/>
                  <w:szCs w:val="28"/>
                  <w:highlight w:val="none"/>
                  <w:lang w:val="zh-CN"/>
                </w:rPr>
                <w:tab/>
              </w:r>
              <w:r>
                <w:rPr>
                  <w:rFonts w:hint="eastAsia" w:ascii="仿宋" w:hAnsi="仿宋" w:eastAsia="仿宋" w:cs="仿宋"/>
                  <w:b/>
                  <w:bCs/>
                  <w:color w:val="auto"/>
                  <w:sz w:val="28"/>
                  <w:szCs w:val="28"/>
                  <w:highlight w:val="none"/>
                  <w:lang w:val="zh-CN"/>
                </w:rPr>
                <w:fldChar w:fldCharType="begin"/>
              </w:r>
              <w:r>
                <w:rPr>
                  <w:rFonts w:hint="eastAsia" w:ascii="仿宋" w:hAnsi="仿宋" w:eastAsia="仿宋" w:cs="仿宋"/>
                  <w:b/>
                  <w:bCs/>
                  <w:color w:val="auto"/>
                  <w:sz w:val="28"/>
                  <w:szCs w:val="28"/>
                  <w:highlight w:val="none"/>
                  <w:lang w:val="zh-CN"/>
                </w:rPr>
                <w:instrText xml:space="preserve"> PAGEREF _Toc20619 \h </w:instrText>
              </w:r>
              <w:r>
                <w:rPr>
                  <w:rFonts w:hint="eastAsia" w:ascii="仿宋" w:hAnsi="仿宋" w:eastAsia="仿宋" w:cs="仿宋"/>
                  <w:b/>
                  <w:bCs/>
                  <w:color w:val="auto"/>
                  <w:sz w:val="28"/>
                  <w:szCs w:val="28"/>
                  <w:highlight w:val="none"/>
                  <w:lang w:val="zh-CN"/>
                </w:rPr>
                <w:fldChar w:fldCharType="separate"/>
              </w:r>
              <w:r>
                <w:rPr>
                  <w:rFonts w:hint="eastAsia" w:ascii="仿宋" w:hAnsi="仿宋" w:eastAsia="仿宋" w:cs="仿宋"/>
                  <w:b/>
                  <w:bCs/>
                  <w:color w:val="auto"/>
                  <w:sz w:val="28"/>
                  <w:szCs w:val="28"/>
                  <w:highlight w:val="none"/>
                  <w:lang w:val="zh-CN"/>
                </w:rPr>
                <w:t>18</w:t>
              </w:r>
              <w:r>
                <w:rPr>
                  <w:rFonts w:hint="eastAsia" w:ascii="仿宋" w:hAnsi="仿宋" w:eastAsia="仿宋" w:cs="仿宋"/>
                  <w:b/>
                  <w:bCs/>
                  <w:color w:val="auto"/>
                  <w:sz w:val="28"/>
                  <w:szCs w:val="28"/>
                  <w:highlight w:val="none"/>
                  <w:lang w:val="zh-CN"/>
                </w:rPr>
                <w:fldChar w:fldCharType="end"/>
              </w:r>
              <w:r>
                <w:rPr>
                  <w:rFonts w:hint="eastAsia" w:ascii="仿宋" w:hAnsi="仿宋" w:eastAsia="仿宋" w:cs="仿宋"/>
                  <w:b/>
                  <w:bCs/>
                  <w:color w:val="auto"/>
                  <w:sz w:val="28"/>
                  <w:szCs w:val="28"/>
                  <w:highlight w:val="none"/>
                  <w:lang w:val="zh-CN"/>
                </w:rPr>
                <w:fldChar w:fldCharType="end"/>
              </w:r>
            </w:p>
            <w:p>
              <w:pPr>
                <w:pStyle w:val="11"/>
                <w:tabs>
                  <w:tab w:val="right" w:leader="dot" w:pos="8306"/>
                </w:tabs>
                <w:spacing w:line="360" w:lineRule="auto"/>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仿宋" w:hAnsi="仿宋" w:eastAsia="仿宋" w:cs="仿宋"/>
                  <w:b/>
                  <w:bCs/>
                  <w:color w:val="auto"/>
                  <w:sz w:val="28"/>
                  <w:szCs w:val="28"/>
                  <w:highlight w:val="none"/>
                </w:rPr>
                <w:t>第三章 养殖水域滩涂功能区划</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_Toc17974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20</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lang w:val="zh-CN"/>
                </w:rPr>
              </w:pPr>
              <w:r>
                <w:rPr>
                  <w:color w:val="auto"/>
                  <w:highlight w:val="none"/>
                </w:rPr>
                <w:fldChar w:fldCharType="begin"/>
              </w:r>
              <w:r>
                <w:rPr>
                  <w:color w:val="auto"/>
                  <w:highlight w:val="none"/>
                </w:rPr>
                <w:instrText xml:space="preserve"> HYPERLINK \l "_Toc19171" </w:instrText>
              </w:r>
              <w:r>
                <w:rPr>
                  <w:color w:val="auto"/>
                  <w:highlight w:val="none"/>
                </w:rPr>
                <w:fldChar w:fldCharType="separate"/>
              </w:r>
              <w:r>
                <w:rPr>
                  <w:rFonts w:hint="eastAsia" w:ascii="仿宋" w:hAnsi="仿宋" w:eastAsia="仿宋" w:cs="仿宋"/>
                  <w:b/>
                  <w:bCs/>
                  <w:color w:val="auto"/>
                  <w:sz w:val="28"/>
                  <w:szCs w:val="28"/>
                  <w:highlight w:val="none"/>
                </w:rPr>
                <w:t>第九节 功能区划概述</w:t>
              </w:r>
              <w:r>
                <w:rPr>
                  <w:rFonts w:hint="eastAsia" w:ascii="仿宋" w:hAnsi="仿宋" w:eastAsia="仿宋" w:cs="仿宋"/>
                  <w:b/>
                  <w:bCs/>
                  <w:color w:val="auto"/>
                  <w:sz w:val="28"/>
                  <w:szCs w:val="28"/>
                  <w:highlight w:val="none"/>
                  <w:lang w:val="zh-CN"/>
                </w:rPr>
                <w:tab/>
              </w:r>
              <w:r>
                <w:rPr>
                  <w:rFonts w:hint="eastAsia" w:ascii="仿宋" w:hAnsi="仿宋" w:eastAsia="仿宋" w:cs="仿宋"/>
                  <w:b/>
                  <w:bCs/>
                  <w:color w:val="auto"/>
                  <w:sz w:val="28"/>
                  <w:szCs w:val="28"/>
                  <w:highlight w:val="none"/>
                  <w:lang w:val="zh-CN"/>
                </w:rPr>
                <w:fldChar w:fldCharType="begin"/>
              </w:r>
              <w:r>
                <w:rPr>
                  <w:rFonts w:hint="eastAsia" w:ascii="仿宋" w:hAnsi="仿宋" w:eastAsia="仿宋" w:cs="仿宋"/>
                  <w:b/>
                  <w:bCs/>
                  <w:color w:val="auto"/>
                  <w:sz w:val="28"/>
                  <w:szCs w:val="28"/>
                  <w:highlight w:val="none"/>
                  <w:lang w:val="zh-CN"/>
                </w:rPr>
                <w:instrText xml:space="preserve"> PAGEREF _Toc19171 \h </w:instrText>
              </w:r>
              <w:r>
                <w:rPr>
                  <w:rFonts w:hint="eastAsia" w:ascii="仿宋" w:hAnsi="仿宋" w:eastAsia="仿宋" w:cs="仿宋"/>
                  <w:b/>
                  <w:bCs/>
                  <w:color w:val="auto"/>
                  <w:sz w:val="28"/>
                  <w:szCs w:val="28"/>
                  <w:highlight w:val="none"/>
                  <w:lang w:val="zh-CN"/>
                </w:rPr>
                <w:fldChar w:fldCharType="separate"/>
              </w:r>
              <w:r>
                <w:rPr>
                  <w:rFonts w:hint="eastAsia" w:ascii="仿宋" w:hAnsi="仿宋" w:eastAsia="仿宋" w:cs="仿宋"/>
                  <w:b/>
                  <w:bCs/>
                  <w:color w:val="auto"/>
                  <w:sz w:val="28"/>
                  <w:szCs w:val="28"/>
                  <w:highlight w:val="none"/>
                  <w:lang w:val="zh-CN"/>
                </w:rPr>
                <w:t>20</w:t>
              </w:r>
              <w:r>
                <w:rPr>
                  <w:rFonts w:hint="eastAsia" w:ascii="仿宋" w:hAnsi="仿宋" w:eastAsia="仿宋" w:cs="仿宋"/>
                  <w:b/>
                  <w:bCs/>
                  <w:color w:val="auto"/>
                  <w:sz w:val="28"/>
                  <w:szCs w:val="28"/>
                  <w:highlight w:val="none"/>
                  <w:lang w:val="zh-CN"/>
                </w:rPr>
                <w:fldChar w:fldCharType="end"/>
              </w:r>
              <w:r>
                <w:rPr>
                  <w:rFonts w:hint="eastAsia" w:ascii="仿宋" w:hAnsi="仿宋" w:eastAsia="仿宋" w:cs="仿宋"/>
                  <w:b/>
                  <w:bCs/>
                  <w:color w:val="auto"/>
                  <w:sz w:val="28"/>
                  <w:szCs w:val="28"/>
                  <w:highlight w:val="none"/>
                  <w:lang w:val="zh-CN"/>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lang w:val="zh-CN"/>
                </w:rPr>
              </w:pPr>
              <w:r>
                <w:rPr>
                  <w:color w:val="auto"/>
                  <w:highlight w:val="none"/>
                </w:rPr>
                <w:fldChar w:fldCharType="begin"/>
              </w:r>
              <w:r>
                <w:rPr>
                  <w:color w:val="auto"/>
                  <w:highlight w:val="none"/>
                </w:rPr>
                <w:instrText xml:space="preserve"> HYPERLINK \l "_Toc24063" </w:instrText>
              </w:r>
              <w:r>
                <w:rPr>
                  <w:color w:val="auto"/>
                  <w:highlight w:val="none"/>
                </w:rPr>
                <w:fldChar w:fldCharType="separate"/>
              </w:r>
              <w:r>
                <w:rPr>
                  <w:rFonts w:hint="eastAsia" w:ascii="仿宋" w:hAnsi="仿宋" w:eastAsia="仿宋" w:cs="仿宋"/>
                  <w:b/>
                  <w:bCs/>
                  <w:color w:val="auto"/>
                  <w:sz w:val="28"/>
                  <w:szCs w:val="28"/>
                  <w:highlight w:val="none"/>
                </w:rPr>
                <w:t>第十节 禁止养殖区</w:t>
              </w:r>
              <w:r>
                <w:rPr>
                  <w:rFonts w:hint="eastAsia" w:ascii="仿宋" w:hAnsi="仿宋" w:eastAsia="仿宋" w:cs="仿宋"/>
                  <w:b/>
                  <w:bCs/>
                  <w:color w:val="auto"/>
                  <w:sz w:val="28"/>
                  <w:szCs w:val="28"/>
                  <w:highlight w:val="none"/>
                  <w:lang w:val="zh-CN"/>
                </w:rPr>
                <w:tab/>
              </w:r>
              <w:r>
                <w:rPr>
                  <w:rFonts w:hint="eastAsia" w:ascii="仿宋" w:hAnsi="仿宋" w:eastAsia="仿宋" w:cs="仿宋"/>
                  <w:b/>
                  <w:bCs/>
                  <w:color w:val="auto"/>
                  <w:sz w:val="28"/>
                  <w:szCs w:val="28"/>
                  <w:highlight w:val="none"/>
                  <w:lang w:val="zh-CN"/>
                </w:rPr>
                <w:fldChar w:fldCharType="begin"/>
              </w:r>
              <w:r>
                <w:rPr>
                  <w:rFonts w:hint="eastAsia" w:ascii="仿宋" w:hAnsi="仿宋" w:eastAsia="仿宋" w:cs="仿宋"/>
                  <w:b/>
                  <w:bCs/>
                  <w:color w:val="auto"/>
                  <w:sz w:val="28"/>
                  <w:szCs w:val="28"/>
                  <w:highlight w:val="none"/>
                  <w:lang w:val="zh-CN"/>
                </w:rPr>
                <w:instrText xml:space="preserve"> PAGEREF _Toc24063 \h </w:instrText>
              </w:r>
              <w:r>
                <w:rPr>
                  <w:rFonts w:hint="eastAsia" w:ascii="仿宋" w:hAnsi="仿宋" w:eastAsia="仿宋" w:cs="仿宋"/>
                  <w:b/>
                  <w:bCs/>
                  <w:color w:val="auto"/>
                  <w:sz w:val="28"/>
                  <w:szCs w:val="28"/>
                  <w:highlight w:val="none"/>
                  <w:lang w:val="zh-CN"/>
                </w:rPr>
                <w:fldChar w:fldCharType="separate"/>
              </w:r>
              <w:r>
                <w:rPr>
                  <w:rFonts w:hint="eastAsia" w:ascii="仿宋" w:hAnsi="仿宋" w:eastAsia="仿宋" w:cs="仿宋"/>
                  <w:b/>
                  <w:bCs/>
                  <w:color w:val="auto"/>
                  <w:sz w:val="28"/>
                  <w:szCs w:val="28"/>
                  <w:highlight w:val="none"/>
                  <w:lang w:val="zh-CN"/>
                </w:rPr>
                <w:t>22</w:t>
              </w:r>
              <w:r>
                <w:rPr>
                  <w:rFonts w:hint="eastAsia" w:ascii="仿宋" w:hAnsi="仿宋" w:eastAsia="仿宋" w:cs="仿宋"/>
                  <w:b/>
                  <w:bCs/>
                  <w:color w:val="auto"/>
                  <w:sz w:val="28"/>
                  <w:szCs w:val="28"/>
                  <w:highlight w:val="none"/>
                  <w:lang w:val="zh-CN"/>
                </w:rPr>
                <w:fldChar w:fldCharType="end"/>
              </w:r>
              <w:r>
                <w:rPr>
                  <w:rFonts w:hint="eastAsia" w:ascii="仿宋" w:hAnsi="仿宋" w:eastAsia="仿宋" w:cs="仿宋"/>
                  <w:b/>
                  <w:bCs/>
                  <w:color w:val="auto"/>
                  <w:sz w:val="28"/>
                  <w:szCs w:val="28"/>
                  <w:highlight w:val="none"/>
                  <w:lang w:val="zh-CN"/>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lang w:val="zh-CN"/>
                </w:rPr>
              </w:pPr>
              <w:r>
                <w:rPr>
                  <w:color w:val="auto"/>
                  <w:highlight w:val="none"/>
                </w:rPr>
                <w:fldChar w:fldCharType="begin"/>
              </w:r>
              <w:r>
                <w:rPr>
                  <w:color w:val="auto"/>
                  <w:highlight w:val="none"/>
                </w:rPr>
                <w:instrText xml:space="preserve"> HYPERLINK \l "_Toc2737" </w:instrText>
              </w:r>
              <w:r>
                <w:rPr>
                  <w:color w:val="auto"/>
                  <w:highlight w:val="none"/>
                </w:rPr>
                <w:fldChar w:fldCharType="separate"/>
              </w:r>
              <w:r>
                <w:rPr>
                  <w:rFonts w:hint="eastAsia" w:ascii="仿宋" w:hAnsi="仿宋" w:eastAsia="仿宋" w:cs="仿宋"/>
                  <w:b/>
                  <w:bCs/>
                  <w:color w:val="auto"/>
                  <w:sz w:val="28"/>
                  <w:szCs w:val="28"/>
                  <w:highlight w:val="none"/>
                </w:rPr>
                <w:t>第十一节 限制养殖区</w:t>
              </w:r>
              <w:r>
                <w:rPr>
                  <w:rFonts w:hint="eastAsia" w:ascii="仿宋" w:hAnsi="仿宋" w:eastAsia="仿宋" w:cs="仿宋"/>
                  <w:b/>
                  <w:bCs/>
                  <w:color w:val="auto"/>
                  <w:sz w:val="28"/>
                  <w:szCs w:val="28"/>
                  <w:highlight w:val="none"/>
                  <w:lang w:val="zh-CN"/>
                </w:rPr>
                <w:tab/>
              </w:r>
              <w:r>
                <w:rPr>
                  <w:rFonts w:hint="eastAsia" w:ascii="仿宋" w:hAnsi="仿宋" w:eastAsia="仿宋" w:cs="仿宋"/>
                  <w:b/>
                  <w:bCs/>
                  <w:color w:val="auto"/>
                  <w:sz w:val="28"/>
                  <w:szCs w:val="28"/>
                  <w:highlight w:val="none"/>
                  <w:lang w:val="zh-CN"/>
                </w:rPr>
                <w:fldChar w:fldCharType="begin"/>
              </w:r>
              <w:r>
                <w:rPr>
                  <w:rFonts w:hint="eastAsia" w:ascii="仿宋" w:hAnsi="仿宋" w:eastAsia="仿宋" w:cs="仿宋"/>
                  <w:b/>
                  <w:bCs/>
                  <w:color w:val="auto"/>
                  <w:sz w:val="28"/>
                  <w:szCs w:val="28"/>
                  <w:highlight w:val="none"/>
                  <w:lang w:val="zh-CN"/>
                </w:rPr>
                <w:instrText xml:space="preserve"> PAGEREF _Toc2737 \h </w:instrText>
              </w:r>
              <w:r>
                <w:rPr>
                  <w:rFonts w:hint="eastAsia" w:ascii="仿宋" w:hAnsi="仿宋" w:eastAsia="仿宋" w:cs="仿宋"/>
                  <w:b/>
                  <w:bCs/>
                  <w:color w:val="auto"/>
                  <w:sz w:val="28"/>
                  <w:szCs w:val="28"/>
                  <w:highlight w:val="none"/>
                  <w:lang w:val="zh-CN"/>
                </w:rPr>
                <w:fldChar w:fldCharType="separate"/>
              </w:r>
              <w:r>
                <w:rPr>
                  <w:rFonts w:hint="eastAsia" w:ascii="仿宋" w:hAnsi="仿宋" w:eastAsia="仿宋" w:cs="仿宋"/>
                  <w:b/>
                  <w:bCs/>
                  <w:color w:val="auto"/>
                  <w:sz w:val="28"/>
                  <w:szCs w:val="28"/>
                  <w:highlight w:val="none"/>
                  <w:lang w:val="zh-CN"/>
                </w:rPr>
                <w:t>25</w:t>
              </w:r>
              <w:r>
                <w:rPr>
                  <w:rFonts w:hint="eastAsia" w:ascii="仿宋" w:hAnsi="仿宋" w:eastAsia="仿宋" w:cs="仿宋"/>
                  <w:b/>
                  <w:bCs/>
                  <w:color w:val="auto"/>
                  <w:sz w:val="28"/>
                  <w:szCs w:val="28"/>
                  <w:highlight w:val="none"/>
                  <w:lang w:val="zh-CN"/>
                </w:rPr>
                <w:fldChar w:fldCharType="end"/>
              </w:r>
              <w:r>
                <w:rPr>
                  <w:rFonts w:hint="eastAsia" w:ascii="仿宋" w:hAnsi="仿宋" w:eastAsia="仿宋" w:cs="仿宋"/>
                  <w:b/>
                  <w:bCs/>
                  <w:color w:val="auto"/>
                  <w:sz w:val="28"/>
                  <w:szCs w:val="28"/>
                  <w:highlight w:val="none"/>
                  <w:lang w:val="zh-CN"/>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"_Toc13882" </w:instrText>
              </w:r>
              <w:r>
                <w:rPr>
                  <w:color w:val="auto"/>
                  <w:highlight w:val="none"/>
                </w:rPr>
                <w:fldChar w:fldCharType="separate"/>
              </w:r>
              <w:r>
                <w:rPr>
                  <w:rFonts w:hint="eastAsia" w:ascii="仿宋" w:hAnsi="仿宋" w:eastAsia="仿宋" w:cs="仿宋"/>
                  <w:b/>
                  <w:bCs/>
                  <w:color w:val="auto"/>
                  <w:sz w:val="28"/>
                  <w:szCs w:val="28"/>
                  <w:highlight w:val="none"/>
                </w:rPr>
                <w:t>第十二节 养殖区</w:t>
              </w:r>
              <w:r>
                <w:rPr>
                  <w:rFonts w:hint="eastAsia" w:ascii="仿宋" w:hAnsi="仿宋" w:eastAsia="仿宋" w:cs="仿宋"/>
                  <w:b/>
                  <w:bCs/>
                  <w:color w:val="auto"/>
                  <w:sz w:val="28"/>
                  <w:szCs w:val="28"/>
                  <w:highlight w:val="none"/>
                  <w:lang w:val="zh-CN"/>
                </w:rPr>
                <w:tab/>
              </w:r>
              <w:r>
                <w:rPr>
                  <w:rFonts w:hint="eastAsia" w:ascii="仿宋" w:hAnsi="仿宋" w:eastAsia="仿宋" w:cs="仿宋"/>
                  <w:b/>
                  <w:bCs/>
                  <w:color w:val="auto"/>
                  <w:sz w:val="28"/>
                  <w:szCs w:val="28"/>
                  <w:highlight w:val="none"/>
                  <w:lang w:val="zh-CN"/>
                </w:rPr>
                <w:fldChar w:fldCharType="begin"/>
              </w:r>
              <w:r>
                <w:rPr>
                  <w:rFonts w:hint="eastAsia" w:ascii="仿宋" w:hAnsi="仿宋" w:eastAsia="仿宋" w:cs="仿宋"/>
                  <w:b/>
                  <w:bCs/>
                  <w:color w:val="auto"/>
                  <w:sz w:val="28"/>
                  <w:szCs w:val="28"/>
                  <w:highlight w:val="none"/>
                  <w:lang w:val="zh-CN"/>
                </w:rPr>
                <w:instrText xml:space="preserve"> PAGEREF _Toc13882 \h </w:instrText>
              </w:r>
              <w:r>
                <w:rPr>
                  <w:rFonts w:hint="eastAsia" w:ascii="仿宋" w:hAnsi="仿宋" w:eastAsia="仿宋" w:cs="仿宋"/>
                  <w:b/>
                  <w:bCs/>
                  <w:color w:val="auto"/>
                  <w:sz w:val="28"/>
                  <w:szCs w:val="28"/>
                  <w:highlight w:val="none"/>
                  <w:lang w:val="zh-CN"/>
                </w:rPr>
                <w:fldChar w:fldCharType="separate"/>
              </w:r>
              <w:r>
                <w:rPr>
                  <w:rFonts w:hint="eastAsia" w:ascii="仿宋" w:hAnsi="仿宋" w:eastAsia="仿宋" w:cs="仿宋"/>
                  <w:b/>
                  <w:bCs/>
                  <w:color w:val="auto"/>
                  <w:sz w:val="28"/>
                  <w:szCs w:val="28"/>
                  <w:highlight w:val="none"/>
                  <w:lang w:val="zh-CN"/>
                </w:rPr>
                <w:t>27</w:t>
              </w:r>
              <w:r>
                <w:rPr>
                  <w:rFonts w:hint="eastAsia" w:ascii="仿宋" w:hAnsi="仿宋" w:eastAsia="仿宋" w:cs="仿宋"/>
                  <w:b/>
                  <w:bCs/>
                  <w:color w:val="auto"/>
                  <w:sz w:val="28"/>
                  <w:szCs w:val="28"/>
                  <w:highlight w:val="none"/>
                  <w:lang w:val="zh-CN"/>
                </w:rPr>
                <w:fldChar w:fldCharType="end"/>
              </w:r>
              <w:r>
                <w:rPr>
                  <w:rFonts w:hint="eastAsia" w:ascii="仿宋" w:hAnsi="仿宋" w:eastAsia="仿宋" w:cs="仿宋"/>
                  <w:b/>
                  <w:bCs/>
                  <w:color w:val="auto"/>
                  <w:sz w:val="28"/>
                  <w:szCs w:val="28"/>
                  <w:highlight w:val="none"/>
                  <w:lang w:val="zh-CN"/>
                </w:rPr>
                <w:fldChar w:fldCharType="end"/>
              </w:r>
            </w:p>
            <w:p>
              <w:pPr>
                <w:pStyle w:val="11"/>
                <w:tabs>
                  <w:tab w:val="right" w:leader="dot" w:pos="8306"/>
                </w:tabs>
                <w:spacing w:line="360" w:lineRule="auto"/>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"_Toc13230" </w:instrText>
              </w:r>
              <w:r>
                <w:rPr>
                  <w:color w:val="auto"/>
                  <w:highlight w:val="none"/>
                </w:rPr>
                <w:fldChar w:fldCharType="separate"/>
              </w:r>
              <w:r>
                <w:rPr>
                  <w:rFonts w:hint="eastAsia" w:ascii="仿宋" w:hAnsi="仿宋" w:eastAsia="仿宋" w:cs="仿宋"/>
                  <w:b/>
                  <w:bCs/>
                  <w:color w:val="auto"/>
                  <w:sz w:val="28"/>
                  <w:szCs w:val="28"/>
                  <w:highlight w:val="none"/>
                </w:rPr>
                <w:t>第四章 保障措施</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_Toc13230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30</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lang w:val="zh-CN"/>
                </w:rPr>
              </w:pPr>
              <w:r>
                <w:rPr>
                  <w:color w:val="auto"/>
                  <w:highlight w:val="none"/>
                </w:rPr>
                <w:fldChar w:fldCharType="begin"/>
              </w:r>
              <w:r>
                <w:rPr>
                  <w:color w:val="auto"/>
                  <w:highlight w:val="none"/>
                </w:rPr>
                <w:instrText xml:space="preserve"> HYPERLINK \l "_Toc15446" </w:instrText>
              </w:r>
              <w:r>
                <w:rPr>
                  <w:color w:val="auto"/>
                  <w:highlight w:val="none"/>
                </w:rPr>
                <w:fldChar w:fldCharType="separate"/>
              </w:r>
              <w:r>
                <w:rPr>
                  <w:rFonts w:hint="eastAsia" w:ascii="仿宋" w:hAnsi="仿宋" w:eastAsia="仿宋" w:cs="仿宋"/>
                  <w:b/>
                  <w:bCs/>
                  <w:color w:val="auto"/>
                  <w:sz w:val="28"/>
                  <w:szCs w:val="28"/>
                  <w:highlight w:val="none"/>
                </w:rPr>
                <w:t>第十三节 加强组织领导</w:t>
              </w:r>
              <w:r>
                <w:rPr>
                  <w:rFonts w:hint="eastAsia" w:ascii="仿宋" w:hAnsi="仿宋" w:eastAsia="仿宋" w:cs="仿宋"/>
                  <w:b/>
                  <w:bCs/>
                  <w:color w:val="auto"/>
                  <w:sz w:val="28"/>
                  <w:szCs w:val="28"/>
                  <w:highlight w:val="none"/>
                  <w:lang w:val="zh-CN"/>
                </w:rPr>
                <w:tab/>
              </w:r>
              <w:r>
                <w:rPr>
                  <w:rFonts w:hint="eastAsia" w:ascii="仿宋" w:hAnsi="仿宋" w:eastAsia="仿宋" w:cs="仿宋"/>
                  <w:b/>
                  <w:bCs/>
                  <w:color w:val="auto"/>
                  <w:sz w:val="28"/>
                  <w:szCs w:val="28"/>
                  <w:highlight w:val="none"/>
                  <w:lang w:val="zh-CN"/>
                </w:rPr>
                <w:fldChar w:fldCharType="begin"/>
              </w:r>
              <w:r>
                <w:rPr>
                  <w:rFonts w:hint="eastAsia" w:ascii="仿宋" w:hAnsi="仿宋" w:eastAsia="仿宋" w:cs="仿宋"/>
                  <w:b/>
                  <w:bCs/>
                  <w:color w:val="auto"/>
                  <w:sz w:val="28"/>
                  <w:szCs w:val="28"/>
                  <w:highlight w:val="none"/>
                  <w:lang w:val="zh-CN"/>
                </w:rPr>
                <w:instrText xml:space="preserve"> PAGEREF _Toc15446 \h </w:instrText>
              </w:r>
              <w:r>
                <w:rPr>
                  <w:rFonts w:hint="eastAsia" w:ascii="仿宋" w:hAnsi="仿宋" w:eastAsia="仿宋" w:cs="仿宋"/>
                  <w:b/>
                  <w:bCs/>
                  <w:color w:val="auto"/>
                  <w:sz w:val="28"/>
                  <w:szCs w:val="28"/>
                  <w:highlight w:val="none"/>
                  <w:lang w:val="zh-CN"/>
                </w:rPr>
                <w:fldChar w:fldCharType="separate"/>
              </w:r>
              <w:r>
                <w:rPr>
                  <w:rFonts w:hint="eastAsia" w:ascii="仿宋" w:hAnsi="仿宋" w:eastAsia="仿宋" w:cs="仿宋"/>
                  <w:b/>
                  <w:bCs/>
                  <w:color w:val="auto"/>
                  <w:sz w:val="28"/>
                  <w:szCs w:val="28"/>
                  <w:highlight w:val="none"/>
                  <w:lang w:val="zh-CN"/>
                </w:rPr>
                <w:t>30</w:t>
              </w:r>
              <w:r>
                <w:rPr>
                  <w:rFonts w:hint="eastAsia" w:ascii="仿宋" w:hAnsi="仿宋" w:eastAsia="仿宋" w:cs="仿宋"/>
                  <w:b/>
                  <w:bCs/>
                  <w:color w:val="auto"/>
                  <w:sz w:val="28"/>
                  <w:szCs w:val="28"/>
                  <w:highlight w:val="none"/>
                  <w:lang w:val="zh-CN"/>
                </w:rPr>
                <w:fldChar w:fldCharType="end"/>
              </w:r>
              <w:r>
                <w:rPr>
                  <w:rFonts w:hint="eastAsia" w:ascii="仿宋" w:hAnsi="仿宋" w:eastAsia="仿宋" w:cs="仿宋"/>
                  <w:b/>
                  <w:bCs/>
                  <w:color w:val="auto"/>
                  <w:sz w:val="28"/>
                  <w:szCs w:val="28"/>
                  <w:highlight w:val="none"/>
                  <w:lang w:val="zh-CN"/>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lang w:val="zh-CN"/>
                </w:rPr>
              </w:pPr>
              <w:r>
                <w:rPr>
                  <w:color w:val="auto"/>
                  <w:highlight w:val="none"/>
                </w:rPr>
                <w:fldChar w:fldCharType="begin"/>
              </w:r>
              <w:r>
                <w:rPr>
                  <w:color w:val="auto"/>
                  <w:highlight w:val="none"/>
                </w:rPr>
                <w:instrText xml:space="preserve"> HYPERLINK \l "_Toc23491" </w:instrText>
              </w:r>
              <w:r>
                <w:rPr>
                  <w:color w:val="auto"/>
                  <w:highlight w:val="none"/>
                </w:rPr>
                <w:fldChar w:fldCharType="separate"/>
              </w:r>
              <w:r>
                <w:rPr>
                  <w:rFonts w:hint="eastAsia" w:ascii="仿宋" w:hAnsi="仿宋" w:eastAsia="仿宋" w:cs="仿宋"/>
                  <w:b/>
                  <w:bCs/>
                  <w:color w:val="auto"/>
                  <w:sz w:val="28"/>
                  <w:szCs w:val="28"/>
                  <w:highlight w:val="none"/>
                </w:rPr>
                <w:t>第十四节 强化监督检查</w:t>
              </w:r>
              <w:r>
                <w:rPr>
                  <w:rFonts w:hint="eastAsia" w:ascii="仿宋" w:hAnsi="仿宋" w:eastAsia="仿宋" w:cs="仿宋"/>
                  <w:b/>
                  <w:bCs/>
                  <w:color w:val="auto"/>
                  <w:sz w:val="28"/>
                  <w:szCs w:val="28"/>
                  <w:highlight w:val="none"/>
                  <w:lang w:val="zh-CN"/>
                </w:rPr>
                <w:tab/>
              </w:r>
              <w:r>
                <w:rPr>
                  <w:rFonts w:hint="eastAsia" w:ascii="仿宋" w:hAnsi="仿宋" w:eastAsia="仿宋" w:cs="仿宋"/>
                  <w:b/>
                  <w:bCs/>
                  <w:color w:val="auto"/>
                  <w:sz w:val="28"/>
                  <w:szCs w:val="28"/>
                  <w:highlight w:val="none"/>
                  <w:lang w:val="zh-CN"/>
                </w:rPr>
                <w:fldChar w:fldCharType="begin"/>
              </w:r>
              <w:r>
                <w:rPr>
                  <w:rFonts w:hint="eastAsia" w:ascii="仿宋" w:hAnsi="仿宋" w:eastAsia="仿宋" w:cs="仿宋"/>
                  <w:b/>
                  <w:bCs/>
                  <w:color w:val="auto"/>
                  <w:sz w:val="28"/>
                  <w:szCs w:val="28"/>
                  <w:highlight w:val="none"/>
                  <w:lang w:val="zh-CN"/>
                </w:rPr>
                <w:instrText xml:space="preserve"> PAGEREF _Toc23491 \h </w:instrText>
              </w:r>
              <w:r>
                <w:rPr>
                  <w:rFonts w:hint="eastAsia" w:ascii="仿宋" w:hAnsi="仿宋" w:eastAsia="仿宋" w:cs="仿宋"/>
                  <w:b/>
                  <w:bCs/>
                  <w:color w:val="auto"/>
                  <w:sz w:val="28"/>
                  <w:szCs w:val="28"/>
                  <w:highlight w:val="none"/>
                  <w:lang w:val="zh-CN"/>
                </w:rPr>
                <w:fldChar w:fldCharType="separate"/>
              </w:r>
              <w:r>
                <w:rPr>
                  <w:rFonts w:hint="eastAsia" w:ascii="仿宋" w:hAnsi="仿宋" w:eastAsia="仿宋" w:cs="仿宋"/>
                  <w:b/>
                  <w:bCs/>
                  <w:color w:val="auto"/>
                  <w:sz w:val="28"/>
                  <w:szCs w:val="28"/>
                  <w:highlight w:val="none"/>
                  <w:lang w:val="zh-CN"/>
                </w:rPr>
                <w:t>32</w:t>
              </w:r>
              <w:r>
                <w:rPr>
                  <w:rFonts w:hint="eastAsia" w:ascii="仿宋" w:hAnsi="仿宋" w:eastAsia="仿宋" w:cs="仿宋"/>
                  <w:b/>
                  <w:bCs/>
                  <w:color w:val="auto"/>
                  <w:sz w:val="28"/>
                  <w:szCs w:val="28"/>
                  <w:highlight w:val="none"/>
                  <w:lang w:val="zh-CN"/>
                </w:rPr>
                <w:fldChar w:fldCharType="end"/>
              </w:r>
              <w:r>
                <w:rPr>
                  <w:rFonts w:hint="eastAsia" w:ascii="仿宋" w:hAnsi="仿宋" w:eastAsia="仿宋" w:cs="仿宋"/>
                  <w:b/>
                  <w:bCs/>
                  <w:color w:val="auto"/>
                  <w:sz w:val="28"/>
                  <w:szCs w:val="28"/>
                  <w:highlight w:val="none"/>
                  <w:lang w:val="zh-CN"/>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lang w:val="zh-CN"/>
                </w:rPr>
              </w:pPr>
              <w:r>
                <w:rPr>
                  <w:color w:val="auto"/>
                  <w:highlight w:val="none"/>
                </w:rPr>
                <w:fldChar w:fldCharType="begin"/>
              </w:r>
              <w:r>
                <w:rPr>
                  <w:color w:val="auto"/>
                  <w:highlight w:val="none"/>
                </w:rPr>
                <w:instrText xml:space="preserve"> HYPERLINK \l "_Toc23555" </w:instrText>
              </w:r>
              <w:r>
                <w:rPr>
                  <w:color w:val="auto"/>
                  <w:highlight w:val="none"/>
                </w:rPr>
                <w:fldChar w:fldCharType="separate"/>
              </w:r>
              <w:r>
                <w:rPr>
                  <w:rFonts w:hint="eastAsia" w:ascii="仿宋" w:hAnsi="仿宋" w:eastAsia="仿宋" w:cs="仿宋"/>
                  <w:b/>
                  <w:bCs/>
                  <w:color w:val="auto"/>
                  <w:sz w:val="28"/>
                  <w:szCs w:val="28"/>
                  <w:highlight w:val="none"/>
                </w:rPr>
                <w:t>第十五节 完善生态保护</w:t>
              </w:r>
              <w:r>
                <w:rPr>
                  <w:rFonts w:hint="eastAsia" w:ascii="仿宋" w:hAnsi="仿宋" w:eastAsia="仿宋" w:cs="仿宋"/>
                  <w:b/>
                  <w:bCs/>
                  <w:color w:val="auto"/>
                  <w:sz w:val="28"/>
                  <w:szCs w:val="28"/>
                  <w:highlight w:val="none"/>
                  <w:lang w:val="zh-CN"/>
                </w:rPr>
                <w:tab/>
              </w:r>
              <w:r>
                <w:rPr>
                  <w:rFonts w:hint="eastAsia" w:ascii="仿宋" w:hAnsi="仿宋" w:eastAsia="仿宋" w:cs="仿宋"/>
                  <w:b/>
                  <w:bCs/>
                  <w:color w:val="auto"/>
                  <w:sz w:val="28"/>
                  <w:szCs w:val="28"/>
                  <w:highlight w:val="none"/>
                  <w:lang w:val="zh-CN"/>
                </w:rPr>
                <w:fldChar w:fldCharType="begin"/>
              </w:r>
              <w:r>
                <w:rPr>
                  <w:rFonts w:hint="eastAsia" w:ascii="仿宋" w:hAnsi="仿宋" w:eastAsia="仿宋" w:cs="仿宋"/>
                  <w:b/>
                  <w:bCs/>
                  <w:color w:val="auto"/>
                  <w:sz w:val="28"/>
                  <w:szCs w:val="28"/>
                  <w:highlight w:val="none"/>
                  <w:lang w:val="zh-CN"/>
                </w:rPr>
                <w:instrText xml:space="preserve"> PAGEREF _Toc23555 \h </w:instrText>
              </w:r>
              <w:r>
                <w:rPr>
                  <w:rFonts w:hint="eastAsia" w:ascii="仿宋" w:hAnsi="仿宋" w:eastAsia="仿宋" w:cs="仿宋"/>
                  <w:b/>
                  <w:bCs/>
                  <w:color w:val="auto"/>
                  <w:sz w:val="28"/>
                  <w:szCs w:val="28"/>
                  <w:highlight w:val="none"/>
                  <w:lang w:val="zh-CN"/>
                </w:rPr>
                <w:fldChar w:fldCharType="separate"/>
              </w:r>
              <w:r>
                <w:rPr>
                  <w:rFonts w:hint="eastAsia" w:ascii="仿宋" w:hAnsi="仿宋" w:eastAsia="仿宋" w:cs="仿宋"/>
                  <w:b/>
                  <w:bCs/>
                  <w:color w:val="auto"/>
                  <w:sz w:val="28"/>
                  <w:szCs w:val="28"/>
                  <w:highlight w:val="none"/>
                  <w:lang w:val="zh-CN"/>
                </w:rPr>
                <w:t>33</w:t>
              </w:r>
              <w:r>
                <w:rPr>
                  <w:rFonts w:hint="eastAsia" w:ascii="仿宋" w:hAnsi="仿宋" w:eastAsia="仿宋" w:cs="仿宋"/>
                  <w:b/>
                  <w:bCs/>
                  <w:color w:val="auto"/>
                  <w:sz w:val="28"/>
                  <w:szCs w:val="28"/>
                  <w:highlight w:val="none"/>
                  <w:lang w:val="zh-CN"/>
                </w:rPr>
                <w:fldChar w:fldCharType="end"/>
              </w:r>
              <w:r>
                <w:rPr>
                  <w:rFonts w:hint="eastAsia" w:ascii="仿宋" w:hAnsi="仿宋" w:eastAsia="仿宋" w:cs="仿宋"/>
                  <w:b/>
                  <w:bCs/>
                  <w:color w:val="auto"/>
                  <w:sz w:val="28"/>
                  <w:szCs w:val="28"/>
                  <w:highlight w:val="none"/>
                  <w:lang w:val="zh-CN"/>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"_Toc24477" </w:instrText>
              </w:r>
              <w:r>
                <w:rPr>
                  <w:color w:val="auto"/>
                  <w:highlight w:val="none"/>
                </w:rPr>
                <w:fldChar w:fldCharType="separate"/>
              </w:r>
              <w:r>
                <w:rPr>
                  <w:rFonts w:hint="eastAsia" w:ascii="仿宋" w:hAnsi="仿宋" w:eastAsia="仿宋" w:cs="仿宋"/>
                  <w:b/>
                  <w:bCs/>
                  <w:color w:val="auto"/>
                  <w:sz w:val="28"/>
                  <w:szCs w:val="28"/>
                  <w:highlight w:val="none"/>
                </w:rPr>
                <w:t>第十六节 其他保障措施</w:t>
              </w:r>
              <w:r>
                <w:rPr>
                  <w:rFonts w:hint="eastAsia" w:ascii="仿宋" w:hAnsi="仿宋" w:eastAsia="仿宋" w:cs="仿宋"/>
                  <w:b/>
                  <w:bCs/>
                  <w:color w:val="auto"/>
                  <w:sz w:val="28"/>
                  <w:szCs w:val="28"/>
                  <w:highlight w:val="none"/>
                  <w:lang w:val="zh-CN"/>
                </w:rPr>
                <w:tab/>
              </w:r>
              <w:r>
                <w:rPr>
                  <w:rFonts w:hint="eastAsia" w:ascii="仿宋" w:hAnsi="仿宋" w:eastAsia="仿宋" w:cs="仿宋"/>
                  <w:b/>
                  <w:bCs/>
                  <w:color w:val="auto"/>
                  <w:sz w:val="28"/>
                  <w:szCs w:val="28"/>
                  <w:highlight w:val="none"/>
                  <w:lang w:val="zh-CN"/>
                </w:rPr>
                <w:fldChar w:fldCharType="begin"/>
              </w:r>
              <w:r>
                <w:rPr>
                  <w:rFonts w:hint="eastAsia" w:ascii="仿宋" w:hAnsi="仿宋" w:eastAsia="仿宋" w:cs="仿宋"/>
                  <w:b/>
                  <w:bCs/>
                  <w:color w:val="auto"/>
                  <w:sz w:val="28"/>
                  <w:szCs w:val="28"/>
                  <w:highlight w:val="none"/>
                  <w:lang w:val="zh-CN"/>
                </w:rPr>
                <w:instrText xml:space="preserve"> PAGEREF _Toc24477 \h </w:instrText>
              </w:r>
              <w:r>
                <w:rPr>
                  <w:rFonts w:hint="eastAsia" w:ascii="仿宋" w:hAnsi="仿宋" w:eastAsia="仿宋" w:cs="仿宋"/>
                  <w:b/>
                  <w:bCs/>
                  <w:color w:val="auto"/>
                  <w:sz w:val="28"/>
                  <w:szCs w:val="28"/>
                  <w:highlight w:val="none"/>
                  <w:lang w:val="zh-CN"/>
                </w:rPr>
                <w:fldChar w:fldCharType="separate"/>
              </w:r>
              <w:r>
                <w:rPr>
                  <w:rFonts w:hint="eastAsia" w:ascii="仿宋" w:hAnsi="仿宋" w:eastAsia="仿宋" w:cs="仿宋"/>
                  <w:b/>
                  <w:bCs/>
                  <w:color w:val="auto"/>
                  <w:sz w:val="28"/>
                  <w:szCs w:val="28"/>
                  <w:highlight w:val="none"/>
                  <w:lang w:val="zh-CN"/>
                </w:rPr>
                <w:t>34</w:t>
              </w:r>
              <w:r>
                <w:rPr>
                  <w:rFonts w:hint="eastAsia" w:ascii="仿宋" w:hAnsi="仿宋" w:eastAsia="仿宋" w:cs="仿宋"/>
                  <w:b/>
                  <w:bCs/>
                  <w:color w:val="auto"/>
                  <w:sz w:val="28"/>
                  <w:szCs w:val="28"/>
                  <w:highlight w:val="none"/>
                  <w:lang w:val="zh-CN"/>
                </w:rPr>
                <w:fldChar w:fldCharType="end"/>
              </w:r>
              <w:r>
                <w:rPr>
                  <w:rFonts w:hint="eastAsia" w:ascii="仿宋" w:hAnsi="仿宋" w:eastAsia="仿宋" w:cs="仿宋"/>
                  <w:b/>
                  <w:bCs/>
                  <w:color w:val="auto"/>
                  <w:sz w:val="28"/>
                  <w:szCs w:val="28"/>
                  <w:highlight w:val="none"/>
                  <w:lang w:val="zh-CN"/>
                </w:rPr>
                <w:fldChar w:fldCharType="end"/>
              </w:r>
            </w:p>
            <w:p>
              <w:pPr>
                <w:pStyle w:val="11"/>
                <w:tabs>
                  <w:tab w:val="right" w:leader="dot" w:pos="8306"/>
                </w:tabs>
                <w:spacing w:line="360" w:lineRule="auto"/>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"_Toc10222" </w:instrText>
              </w:r>
              <w:r>
                <w:rPr>
                  <w:color w:val="auto"/>
                  <w:highlight w:val="none"/>
                </w:rPr>
                <w:fldChar w:fldCharType="separate"/>
              </w:r>
              <w:r>
                <w:rPr>
                  <w:rFonts w:hint="eastAsia" w:ascii="仿宋" w:hAnsi="仿宋" w:eastAsia="仿宋" w:cs="仿宋"/>
                  <w:b/>
                  <w:bCs/>
                  <w:color w:val="auto"/>
                  <w:sz w:val="28"/>
                  <w:szCs w:val="28"/>
                  <w:highlight w:val="none"/>
                </w:rPr>
                <w:t>第五章 附则</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_Toc10222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36</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b/>
                  <w:bCs/>
                  <w:color w:val="auto"/>
                  <w:sz w:val="28"/>
                  <w:szCs w:val="28"/>
                  <w:highlight w:val="none"/>
                </w:rPr>
              </w:pPr>
              <w:r>
                <w:rPr>
                  <w:color w:val="auto"/>
                  <w:highlight w:val="none"/>
                </w:rPr>
                <w:fldChar w:fldCharType="begin"/>
              </w:r>
              <w:r>
                <w:rPr>
                  <w:color w:val="auto"/>
                  <w:highlight w:val="none"/>
                </w:rPr>
                <w:instrText xml:space="preserve"> HYPERLINK \l "_Toc29960" </w:instrText>
              </w:r>
              <w:r>
                <w:rPr>
                  <w:color w:val="auto"/>
                  <w:highlight w:val="none"/>
                </w:rPr>
                <w:fldChar w:fldCharType="separate"/>
              </w:r>
              <w:r>
                <w:rPr>
                  <w:rFonts w:hint="eastAsia" w:ascii="仿宋" w:hAnsi="仿宋" w:eastAsia="仿宋" w:cs="仿宋"/>
                  <w:b/>
                  <w:bCs/>
                  <w:color w:val="auto"/>
                  <w:sz w:val="28"/>
                  <w:szCs w:val="28"/>
                  <w:highlight w:val="none"/>
                </w:rPr>
                <w:t>第十七节 关于规划效力</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_Toc29960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36</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pStyle w:val="11"/>
                <w:tabs>
                  <w:tab w:val="right" w:leader="dot" w:pos="8306"/>
                </w:tabs>
                <w:spacing w:line="360" w:lineRule="auto"/>
                <w:ind w:firstLine="210" w:firstLineChars="100"/>
                <w:rPr>
                  <w:rFonts w:ascii="仿宋" w:hAnsi="仿宋" w:eastAsia="仿宋" w:cs="仿宋"/>
                  <w:color w:val="auto"/>
                  <w:sz w:val="28"/>
                  <w:szCs w:val="28"/>
                  <w:highlight w:val="none"/>
                </w:rPr>
              </w:pPr>
              <w:r>
                <w:rPr>
                  <w:color w:val="auto"/>
                  <w:highlight w:val="none"/>
                </w:rPr>
                <w:fldChar w:fldCharType="begin"/>
              </w:r>
              <w:r>
                <w:rPr>
                  <w:color w:val="auto"/>
                  <w:highlight w:val="none"/>
                </w:rPr>
                <w:instrText xml:space="preserve"> HYPERLINK \l "_Toc32068" </w:instrText>
              </w:r>
              <w:r>
                <w:rPr>
                  <w:color w:val="auto"/>
                  <w:highlight w:val="none"/>
                </w:rPr>
                <w:fldChar w:fldCharType="separate"/>
              </w:r>
              <w:r>
                <w:rPr>
                  <w:rFonts w:hint="eastAsia" w:ascii="仿宋" w:hAnsi="仿宋" w:eastAsia="仿宋" w:cs="仿宋"/>
                  <w:b/>
                  <w:bCs/>
                  <w:color w:val="auto"/>
                  <w:sz w:val="28"/>
                  <w:szCs w:val="28"/>
                  <w:highlight w:val="none"/>
                </w:rPr>
                <w:t>第十八节 关于规划图件</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_Toc32068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36</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pPr>
                <w:rPr>
                  <w:b/>
                  <w:color w:val="auto"/>
                  <w:highlight w:val="none"/>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color w:val="auto"/>
                  <w:sz w:val="28"/>
                  <w:szCs w:val="28"/>
                  <w:highlight w:val="none"/>
                  <w:lang w:val="zh-CN"/>
                </w:rPr>
                <w:fldChar w:fldCharType="end"/>
              </w:r>
            </w:p>
          </w:sdtContent>
        </w:sdt>
      </w:sdtContent>
    </w:sdt>
    <w:p>
      <w:pPr>
        <w:pStyle w:val="2"/>
        <w:numPr>
          <w:ilvl w:val="0"/>
          <w:numId w:val="0"/>
        </w:numPr>
        <w:spacing w:beforeLines="50" w:afterLines="50" w:line="360" w:lineRule="auto"/>
        <w:jc w:val="center"/>
        <w:rPr>
          <w:color w:val="auto"/>
          <w:highlight w:val="none"/>
        </w:rPr>
      </w:pPr>
      <w:bookmarkStart w:id="0" w:name="_Toc32524"/>
      <w:r>
        <w:rPr>
          <w:rFonts w:hint="eastAsia" w:ascii="仿宋" w:hAnsi="仿宋" w:eastAsia="仿宋" w:cs="仿宋"/>
          <w:b/>
          <w:bCs w:val="0"/>
          <w:color w:val="auto"/>
          <w:sz w:val="32"/>
          <w:szCs w:val="32"/>
          <w:highlight w:val="none"/>
        </w:rPr>
        <w:t>第一章 总则</w:t>
      </w:r>
      <w:bookmarkEnd w:id="0"/>
    </w:p>
    <w:p>
      <w:pPr>
        <w:pStyle w:val="2"/>
        <w:numPr>
          <w:ilvl w:val="0"/>
          <w:numId w:val="0"/>
        </w:numPr>
        <w:spacing w:beforeLines="50" w:afterLines="50" w:line="360" w:lineRule="auto"/>
        <w:jc w:val="center"/>
        <w:rPr>
          <w:rFonts w:ascii="仿宋" w:hAnsi="仿宋" w:eastAsia="仿宋" w:cs="仿宋"/>
          <w:b/>
          <w:bCs w:val="0"/>
          <w:color w:val="auto"/>
          <w:sz w:val="30"/>
          <w:szCs w:val="30"/>
          <w:highlight w:val="none"/>
        </w:rPr>
      </w:pPr>
      <w:bookmarkStart w:id="1" w:name="_Toc15680"/>
      <w:r>
        <w:rPr>
          <w:rFonts w:hint="eastAsia" w:ascii="仿宋" w:hAnsi="仿宋" w:eastAsia="仿宋" w:cs="仿宋"/>
          <w:b/>
          <w:bCs w:val="0"/>
          <w:color w:val="auto"/>
          <w:sz w:val="30"/>
          <w:szCs w:val="30"/>
          <w:highlight w:val="none"/>
        </w:rPr>
        <w:t>第一节 前言</w:t>
      </w:r>
      <w:bookmarkEnd w:id="1"/>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河源市源城区位于广东省东北部，河源市的最南端。源城区作为河源市辖区，不仅是中共河源市委和市人民政府所在地，也是河源市的政治、经济和文化中心。本辖区以老城区为中心，东与江东新区接壤，南至埔前镇，与博罗县石坝镇相邻，西面与东源县新港镇交界，北面与东源县仙塘镇相连，其范围处于东经114°31´至114°45´，北纬23°31´至23°51´之间。另外，本区处于经济发达的珠三角地区与贫困县山区的结合部，距离广州180公里，距离深圳176公里，距离香港200公里；随着全省交通网络的快速发展，源城区成为了粤东北重要的交通枢纽。</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坐落在河源盆地中，多为冲积平原、台地及低丘，海拔40～70米。北面是东江与新丰江的汇合处，是两江冲积而成的盆地；中间是低丘岭地带；南面为东江冲积而成的埔前小平原，地势平坦；西面是桂山山脉；东面是径流源城区全境的东江。该辖区总面积3.61万公顷，户籍人口32.54万人，常住人口52.57万人。随着经济的发展，特别是“十二五”之后，渔业成为国家战略产业。渔业科技支撑不断增强，我国的渔业综合实力迈上了新的台阶。然而，长期以来我国渔业产业一直走“养殖为主，产量优先”的发展路子。虽然水产品供给量充足，但发展方式粗放，不平衡、不协调、不可持续问题尤其突出。渔业生产对于资源和环境的利用方式过于单一，渔业产业结构不合理的问题突出，水产品结构性过剩问题凸现，产业低度化、同质化、无序化竞争问题严重。近些年，随着我国经济社会发展进入新常态，资源环境约束趋紧，传统渔业水域不断减少，渔业发展空间受限，我国渔业产业发展面临着新的挑战，实现渔业绿色发展，渔民持续增收的难度加大。</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为适应我国经济社会发展的新形势、新要求，推动实现渔业现代化转型升级，2016年发布的《全国渔业发展第十三个五年规划（2016-2020年）》对我国渔业发展方针进行了重大调整，提出了渔业发展要牢固树立创新、协调、绿色、开放、共享的发展理念，以提质增效，减量增收，绿色发展，富裕渔民为目标，以健康养殖，适度捕捞，保护资源，做强产业为方向，大力推进渔业供给侧结构</w:t>
      </w:r>
      <w:r>
        <w:rPr>
          <w:rFonts w:hint="eastAsia" w:ascii="仿宋" w:hAnsi="仿宋" w:eastAsia="仿宋" w:cs="仿宋"/>
          <w:color w:val="auto"/>
          <w:kern w:val="0"/>
          <w:sz w:val="28"/>
          <w:szCs w:val="28"/>
          <w:highlight w:val="none"/>
          <w:lang w:eastAsia="zh-CN"/>
        </w:rPr>
        <w:t>性</w:t>
      </w:r>
      <w:r>
        <w:rPr>
          <w:rFonts w:hint="eastAsia" w:ascii="仿宋" w:hAnsi="仿宋" w:eastAsia="仿宋" w:cs="仿宋"/>
          <w:color w:val="auto"/>
          <w:kern w:val="0"/>
          <w:sz w:val="28"/>
          <w:szCs w:val="28"/>
          <w:highlight w:val="none"/>
        </w:rPr>
        <w:t>改革，加快转变渔业发展方式，提升渔业生产标准化、绿色化、产业化和可持续发展水平，提高渔业发展的质量效益和竞争力的总体要求，提出转方式、调结构“四转变”“四调优”的总体思路。</w:t>
      </w:r>
    </w:p>
    <w:p>
      <w:pPr>
        <w:shd w:val="clear" w:color="auto" w:fill="FFFFFF"/>
        <w:adjustRightInd w:val="0"/>
        <w:snapToGrid w:val="0"/>
        <w:spacing w:line="360" w:lineRule="auto"/>
        <w:ind w:firstLine="560" w:firstLineChars="200"/>
        <w:rPr>
          <w:rFonts w:ascii="仿宋" w:hAnsi="仿宋" w:eastAsia="仿宋" w:cs="仿宋"/>
          <w:b/>
          <w:bCs/>
          <w:color w:val="auto"/>
          <w:kern w:val="0"/>
          <w:sz w:val="28"/>
          <w:szCs w:val="28"/>
          <w:highlight w:val="none"/>
        </w:rPr>
      </w:pPr>
      <w:r>
        <w:rPr>
          <w:rFonts w:hint="eastAsia" w:ascii="仿宋" w:hAnsi="仿宋" w:eastAsia="仿宋" w:cs="仿宋"/>
          <w:color w:val="auto"/>
          <w:kern w:val="0"/>
          <w:sz w:val="28"/>
          <w:szCs w:val="28"/>
          <w:highlight w:val="none"/>
        </w:rPr>
        <w:t>“十三五”是全面建成小康社会的决胜阶段，也是大力推进渔业供给侧结构性改革，加快渔业转方式调结构，促进渔业转型升级的关键时期。习近平总书记在十九大报告中强调：“必须树立和践行绿水青山就是金山银山的理念，坚持节约资源和保护环境的基本国策”。我国的渔业发展，在全面贯彻落实党的十八大、十八届三中、四中、五中、六中全会精神和习近平总书记系列重要讲话精神的基础上，需要走出一条产出高效、产品安全、资源节约、环境友好的中国特色渔业现代化发展道路，实现提质增效、减量增收、绿色发展、富裕渔民的发展总目标。</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水域滩涂规划是渔业管理的基本制度，是水产养殖业发展的布局依据，同时也是推进产业转型升级的重要抓手。为贯彻落实《中共中央国务院关于加快推进生态文明建设的意见》（中发〔2015〕12号）、《国务院关于促进海洋渔业持续健康发展的若干意见》（国发〔2013〕11号）、《国务院关于印发水污染防治行动计划的通知》（国发〔2015〕17号）、《农业部关于加快推进渔业转方式调结构的指导意见》（农渔发〔2016〕1号）的有关要求，进一步完善养殖水域滩涂规划制度，源城区畜牧兽医渔业局特委托中国水产科学研究院珠江水产研究所编制《源城区养殖水域滩涂规划（2018～2030年）》，探讨和研究当前源城区水产养殖生产和布局中不符合“绿色发展”理念的突出问题，科学划定禁止养殖区、限制养殖区和养殖区，为该市区进一步优化养殖空间布局，转变养殖发展方式，加快推进水产养殖业转方式、调结构，推进该市区渔业转型升级提供指导性意见。</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依据《广东省人民政府办公厅关于加快推进现代渔业高质量发展的意见》（粤府办〔2022〕15号）和《河源市人民政府办公室关于印发河源市加快推进现代渔业高质量发展实施方案》（河府办〔2022〕38号）的要求，结合源城区集中式饮用水水源保护区的变更（《广东省县级以上城市集中式饮用水水源保护区名录（2023年）》），以及2021年源城区第一次水产养殖种质资源普查统计结果，拟对《源城区养殖水域滩涂规划（2018-2030年）》（源府办〔2019〕16号）规划中养殖水域滩涂划分进行修订。</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规划编制的目的在于，在科学评价当地资源状况以及环境承载力的基础上，结合本地经济发展和生态保护的需求，科学合理地划定各类水产养殖功能区，稳定基本养殖水域，合理布局水产养殖生产，保障水产养殖从业者合法权益，实现提质增效、减量增收、绿色发展、富裕渔民的渔业发展总目标。</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本规划编制，为合理开发利用养殖水域资源，提高水产养殖对于资源的利用效率，有效保护养殖水域生态的环境，促进当地水产养殖业持续健康绿色发展具有重要的意义。</w:t>
      </w:r>
    </w:p>
    <w:p>
      <w:pPr>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p>
    <w:p>
      <w:pPr>
        <w:pStyle w:val="2"/>
        <w:numPr>
          <w:ilvl w:val="0"/>
          <w:numId w:val="0"/>
        </w:numPr>
        <w:spacing w:beforeLines="50" w:afterLines="50" w:line="360" w:lineRule="auto"/>
        <w:jc w:val="center"/>
        <w:rPr>
          <w:rFonts w:ascii="仿宋" w:hAnsi="仿宋" w:eastAsia="仿宋" w:cs="仿宋"/>
          <w:b/>
          <w:bCs w:val="0"/>
          <w:color w:val="auto"/>
          <w:sz w:val="30"/>
          <w:szCs w:val="30"/>
          <w:highlight w:val="none"/>
        </w:rPr>
      </w:pPr>
      <w:bookmarkStart w:id="2" w:name="_Toc26408"/>
      <w:r>
        <w:rPr>
          <w:rFonts w:hint="eastAsia" w:ascii="仿宋" w:hAnsi="仿宋" w:eastAsia="仿宋" w:cs="仿宋"/>
          <w:b/>
          <w:bCs w:val="0"/>
          <w:color w:val="auto"/>
          <w:sz w:val="30"/>
          <w:szCs w:val="30"/>
          <w:highlight w:val="none"/>
        </w:rPr>
        <w:t>第二节 编制依据</w:t>
      </w:r>
      <w:bookmarkEnd w:id="2"/>
    </w:p>
    <w:p>
      <w:pPr>
        <w:spacing w:line="360" w:lineRule="auto"/>
        <w:ind w:firstLine="562" w:firstLineChars="200"/>
        <w:rPr>
          <w:rFonts w:ascii="times new roam" w:hAnsi="times new roam" w:eastAsia="仿宋" w:cs="黑体"/>
          <w:b/>
          <w:bCs/>
          <w:color w:val="auto"/>
          <w:sz w:val="28"/>
          <w:szCs w:val="28"/>
          <w:highlight w:val="none"/>
        </w:rPr>
      </w:pPr>
      <w:r>
        <w:rPr>
          <w:rFonts w:hint="eastAsia" w:ascii="times new roam" w:hAnsi="times new roam" w:eastAsia="仿宋" w:cs="黑体"/>
          <w:b/>
          <w:bCs/>
          <w:color w:val="auto"/>
          <w:sz w:val="28"/>
          <w:szCs w:val="28"/>
          <w:highlight w:val="none"/>
        </w:rPr>
        <w:t>一、国家法规政策依据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《中华人民共和国渔业法》（2013年）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《中华人民共和国农产品质量安全法》（2006年）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《中华人民共和国水污染防治法》（2018年）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《中华人民共和国农业技术推广法》（2012年）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《中华人民共和国水法》（2016年）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《中华人民共和国土地管理法》（2004年）</w:t>
      </w:r>
    </w:p>
    <w:p>
      <w:pPr>
        <w:spacing w:line="360" w:lineRule="auto"/>
        <w:ind w:firstLine="560" w:firstLineChars="200"/>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《中华人民共和国农产品质量安全法》（2006年）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《中华人民共和国土地管理法实施条例》（2017年）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《中华人民共和国渔业法实施细则》（2005年）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《国务院关于加强食品等产品安全监督管理的特别规定》（2007年）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《国务院规划环境影响评价条例》（2009年）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《中共中央国务院关于深入推进农业供给侧结构性改革加快培育农业农村发展新动能的若干意见》（2017年）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《全国渔业发展第十三个五年规划（2016-2020年）》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原农业部《水产养殖质量安全管理规定》（2003年）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原农业部《水产苗种管理办法》（2005年）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原农业部《关于推进农业供给侧结构性改革的实施意见》（2017年）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原农业部《关于加快推进渔业转方式调结构的指导意见》（农渔函[2016]1号）</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原农业部《关于印发&lt;养殖水域滩涂规划编制工作规范&gt;和&lt;养殖水域滩涂规划编制大纲&gt;的通知》（2016年）</w:t>
      </w:r>
    </w:p>
    <w:p>
      <w:pPr>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二、广东省法规政策依据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《广东省渔业管理条例》（2003年）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《广东省饮用水源水质保护条例》（2010年）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《广东省水产品标识管理实施细则》（2011年）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广东省委</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省政府《关于进一步促进粤东西北地区振兴发展的决定》（2013年）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《广东省人民政府办公厅关于加快推进现代渔业高质量发展的意见》（2022年）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《广东省环境保护条例》（2015年）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《广东省水产品质量安全条例》（2017年）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《广东省优势水产品养殖区域布局规（2006-2010-2020年）》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《广东省现代渔业发展“十三五”规划（2016-2020年）》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《广东省县级以上城市集中式饮用水水源保护区名录（2023年）》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《广东省森林和陆生野生动物类型自然保护区管理办法》（2017年）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《广东省养殖水域滩涂规划（2021-2030年）》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《广东省水域滩涂规划编制技术要点》（2018年）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《广东省航道发展规划（2016-2030）》</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《广东省桥梁水域通航安全管理规定》（2014年）</w:t>
      </w:r>
    </w:p>
    <w:p>
      <w:pPr>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三、河源市法规政策依据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《河源市国民经济和社会发展第十四个五年规划和2035年远景目标纲要》（2021年）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《河源市水利发展“十四五”规划》（2023年）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《河源市农业农村现代化“十四五”规划》（2022年）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《河源市生态环境保护“十四五”规划》（2022年）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《河源市水资源综合规划》（2009年）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《河源市流域综合规划》（2015年）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《河源市饮用水源地安全保障规划》（2017年）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《河源市地表水功能区划报告》（2019年）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《河源市国土空间总体规划（2021-2035年）》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《河源市环境保护规划（2007-2020）》</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《河源市加快推进现代渔业高质量发展实施方案》（2023年）</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规划按照农业部《养殖水域滩涂规划编制工作试行规范》、《养殖水域滩涂规划编制大纲》、《广东省养殖水域滩涂规划编制技术方法》以及《广东省水域滩涂规划（2018-2030）技术报告》进行编写。图层数据、图件则按照《广东省养殖水域滩涂规划技术说明》采集和制作。</w:t>
      </w:r>
    </w:p>
    <w:p>
      <w:pP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3" w:name="_Toc10711"/>
      <w:r>
        <w:rPr>
          <w:rFonts w:hint="eastAsia" w:ascii="times new roam" w:hAnsi="times new roam" w:eastAsia="仿宋" w:cs="黑体"/>
          <w:b/>
          <w:color w:val="auto"/>
          <w:kern w:val="2"/>
          <w:sz w:val="30"/>
          <w:szCs w:val="30"/>
          <w:highlight w:val="none"/>
        </w:rPr>
        <w:t>第三节 目标任务</w:t>
      </w:r>
      <w:bookmarkEnd w:id="3"/>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一、本规划涵盖的期间</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本规划期自2018至2030年。</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二、本规划的目标</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根据源城区水域承载力综合评价，源城区水产养殖业发展特点以及水域自然属性，按照生态资源保护与开发利用相结合的总体思路，科学合理划定禁止养殖区、限制养殖区和养殖区三个基本功能区，逐步优化源城区渔业产业区域布局，推进水产养殖管理制度建设，建立协同发展产业格局。</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三、本规划的重点任务</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1.明确源城区养殖水域功能区域范围，指导养殖生产布局。</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2.控制养殖规模，推广健康生态养殖模式，保护水域生态环境。</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3.有效保障养殖者的合法权益，依法保护重要的养殖水域。</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4.合理调整和规划养殖生产布局，促进养殖业的可持续发展。</w:t>
      </w:r>
    </w:p>
    <w:p>
      <w:pPr>
        <w:pStyle w:val="2"/>
        <w:numPr>
          <w:ilvl w:val="0"/>
          <w:numId w:val="0"/>
        </w:numPr>
        <w:spacing w:beforeLines="50" w:afterLines="50" w:line="360" w:lineRule="auto"/>
        <w:jc w:val="center"/>
        <w:rPr>
          <w:rFonts w:ascii="宋体" w:hAnsi="宋体" w:cs="宋体"/>
          <w:color w:val="auto"/>
          <w:kern w:val="0"/>
          <w:sz w:val="24"/>
          <w:highlight w:val="none"/>
        </w:rPr>
      </w:pPr>
      <w:bookmarkStart w:id="4" w:name="_Toc5828"/>
      <w:r>
        <w:rPr>
          <w:rFonts w:hint="eastAsia" w:ascii="times new roam" w:hAnsi="times new roam" w:eastAsia="仿宋" w:cs="黑体"/>
          <w:b/>
          <w:color w:val="auto"/>
          <w:kern w:val="2"/>
          <w:sz w:val="30"/>
          <w:szCs w:val="30"/>
          <w:highlight w:val="none"/>
        </w:rPr>
        <w:t>第四节 基本原则</w:t>
      </w:r>
      <w:bookmarkEnd w:id="4"/>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本规划编制遵循的主要原则为：</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一、坚持科学规划、因地制宜的原则</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根据当地水域滩涂承载力评价结果和区域水产养殖发展需求，形成本区域养殖水域滩涂开发利用和保护的总体思路。根据区域水域滩涂资源现状及水产养殖产业结构特点，因地制宜，合理布局水产养殖生产，制定本区域养殖水域滩涂使用管理的具体措施，科学编制规划。</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二、坚持尊重历史，照顾现实的原则</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在进行规划时，将已经养殖的水域纳入规划，实行“大稳定、小调整”的规划设计思路。同时，考虑到当前以渔业为主渔民以及因规划调整转入养殖的群众，对于养殖水域的依赖性，为他们今后的发展预留足够的养殖区域。</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三、坚持生态优先、底线约束的原则</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坚持走生产发展，生活富裕，生态良好的文明发展道路。科学开展水域滩涂利用评价，保护水域滩涂生态环境，明确区域经济发展方向，合理安排产业发展空间。将饮用水水源地，自然保护区等重要生态保护或公共安全“红线”、“黄线”区域作为禁止或限制养殖区，设定区域养殖水域滩涂开发和利用底线。</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四、坚持合理布局、转调结合的原则</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稳定区域内淡水池塘养殖，优先发展生态养殖，支持设施养殖向工厂化循环水方向发展，发展稻田综合种养等养殖模式。实现养殖水域滩涂的整体规划、合理储备、有序利用、协调发展。</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五、坚持总体协调、横向衔接的原则</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规划要同区域内整体空间布局协同考虑，应与本区域内《土地利用总体规划》相协调，同时与本区域城市、交通、港口、旅游、环保、林业等其他相关专项规划密切衔接，避免交叉和矛盾，促进区域经济协调发展。</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六、坚持一次规划、分步到位的原则</w:t>
      </w:r>
    </w:p>
    <w:p>
      <w:pPr>
        <w:shd w:val="clear" w:color="auto" w:fill="FFFFFF"/>
        <w:adjustRightInd w:val="0"/>
        <w:snapToGrid w:val="0"/>
        <w:spacing w:line="360" w:lineRule="auto"/>
        <w:ind w:firstLine="560" w:firstLineChars="200"/>
        <w:rPr>
          <w:rFonts w:ascii="宋体" w:hAnsi="宋体" w:cs="宋体"/>
          <w:color w:val="auto"/>
          <w:kern w:val="0"/>
          <w:sz w:val="24"/>
          <w:highlight w:val="none"/>
        </w:rPr>
      </w:pPr>
      <w:r>
        <w:rPr>
          <w:rFonts w:hint="eastAsia" w:ascii="仿宋" w:hAnsi="仿宋" w:eastAsia="仿宋" w:cs="仿宋"/>
          <w:color w:val="auto"/>
          <w:kern w:val="0"/>
          <w:sz w:val="28"/>
          <w:szCs w:val="28"/>
          <w:highlight w:val="none"/>
        </w:rPr>
        <w:t>在规划具体实施阶段，本着“一次规划，分步实施；先粗后细，先易后难”的原则。</w:t>
      </w:r>
    </w:p>
    <w:p>
      <w:pPr>
        <w:rPr>
          <w:rFonts w:ascii="times new roam" w:hAnsi="times new roam" w:eastAsia="仿宋" w:cs="黑体"/>
          <w:b/>
          <w:bCs/>
          <w:color w:val="auto"/>
          <w:sz w:val="30"/>
          <w:szCs w:val="30"/>
          <w:highlight w:val="none"/>
        </w:rPr>
      </w:pPr>
      <w:r>
        <w:rPr>
          <w:rFonts w:hint="eastAsia" w:ascii="times new roam" w:hAnsi="times new roam" w:eastAsia="仿宋" w:cs="黑体"/>
          <w:b/>
          <w:bCs/>
          <w:color w:val="auto"/>
          <w:sz w:val="30"/>
          <w:szCs w:val="30"/>
          <w:highlight w:val="none"/>
        </w:rPr>
        <w:br w:type="page"/>
      </w:r>
    </w:p>
    <w:p>
      <w:pPr>
        <w:pStyle w:val="2"/>
        <w:numPr>
          <w:ilvl w:val="0"/>
          <w:numId w:val="0"/>
        </w:numPr>
        <w:spacing w:beforeLines="50" w:afterLines="50" w:line="360" w:lineRule="auto"/>
        <w:jc w:val="center"/>
        <w:rPr>
          <w:color w:val="auto"/>
          <w:highlight w:val="none"/>
        </w:rPr>
      </w:pPr>
      <w:bookmarkStart w:id="5" w:name="_Toc3713"/>
      <w:r>
        <w:rPr>
          <w:rFonts w:hint="eastAsia" w:ascii="times new roam" w:hAnsi="times new roam" w:eastAsia="仿宋" w:cs="黑体"/>
          <w:b/>
          <w:color w:val="auto"/>
          <w:kern w:val="2"/>
          <w:sz w:val="30"/>
          <w:szCs w:val="30"/>
          <w:highlight w:val="none"/>
        </w:rPr>
        <w:t>第五节 规划范围</w:t>
      </w:r>
      <w:bookmarkEnd w:id="5"/>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本规划的范围：源城区管辖的全部水域，包括已经进行水产养殖开发利用以及目前尚未开发但适于进行水产养殖生产的全民和集体所有水域（</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REF _Ref152006163 \h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图 1</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w:t>
      </w:r>
    </w:p>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drawing>
          <wp:inline distT="0" distB="0" distL="0" distR="0">
            <wp:extent cx="4581525" cy="6429375"/>
            <wp:effectExtent l="0" t="0" r="9525" b="9525"/>
            <wp:docPr id="1959640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4054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l="4057" t="4372" r="3002" b="3395"/>
                    <a:stretch>
                      <a:fillRect/>
                    </a:stretch>
                  </pic:blipFill>
                  <pic:spPr>
                    <a:xfrm>
                      <a:off x="0" y="0"/>
                      <a:ext cx="4586322" cy="6436107"/>
                    </a:xfrm>
                    <a:prstGeom prst="rect">
                      <a:avLst/>
                    </a:prstGeom>
                    <a:noFill/>
                    <a:ln>
                      <a:noFill/>
                    </a:ln>
                  </pic:spPr>
                </pic:pic>
              </a:graphicData>
            </a:graphic>
          </wp:inline>
        </w:drawing>
      </w:r>
    </w:p>
    <w:p>
      <w:pPr>
        <w:pStyle w:val="5"/>
        <w:spacing w:line="360" w:lineRule="auto"/>
        <w:rPr>
          <w:rFonts w:ascii="仿宋" w:hAnsi="仿宋" w:eastAsia="仿宋" w:cs="仿宋"/>
          <w:b/>
          <w:bCs/>
          <w:color w:val="auto"/>
          <w:szCs w:val="24"/>
          <w:highlight w:val="none"/>
        </w:rPr>
      </w:pPr>
      <w:bookmarkStart w:id="6" w:name="_Ref152006163"/>
      <w:r>
        <w:rPr>
          <w:rFonts w:hint="eastAsia" w:ascii="仿宋" w:hAnsi="仿宋" w:eastAsia="仿宋" w:cs="仿宋"/>
          <w:b/>
          <w:bCs/>
          <w:color w:val="auto"/>
          <w:szCs w:val="24"/>
          <w:highlight w:val="none"/>
        </w:rPr>
        <w:t xml:space="preserve">图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图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1</w:t>
      </w:r>
      <w:r>
        <w:rPr>
          <w:rFonts w:hint="eastAsia" w:ascii="仿宋" w:hAnsi="仿宋" w:eastAsia="仿宋" w:cs="仿宋"/>
          <w:b/>
          <w:bCs/>
          <w:color w:val="auto"/>
          <w:szCs w:val="24"/>
          <w:highlight w:val="none"/>
        </w:rPr>
        <w:fldChar w:fldCharType="end"/>
      </w:r>
      <w:bookmarkEnd w:id="6"/>
      <w:r>
        <w:rPr>
          <w:rFonts w:hint="eastAsia" w:ascii="仿宋" w:hAnsi="仿宋" w:eastAsia="仿宋" w:cs="仿宋"/>
          <w:b/>
          <w:bCs/>
          <w:color w:val="auto"/>
          <w:szCs w:val="24"/>
          <w:highlight w:val="none"/>
        </w:rPr>
        <w:t xml:space="preserve"> 源城区水域滩涂现状</w:t>
      </w:r>
    </w:p>
    <w:p>
      <w:pPr>
        <w:pStyle w:val="2"/>
        <w:numPr>
          <w:ilvl w:val="0"/>
          <w:numId w:val="0"/>
        </w:numPr>
        <w:spacing w:beforeLines="50" w:afterLines="50" w:line="360" w:lineRule="auto"/>
        <w:jc w:val="center"/>
        <w:rPr>
          <w:color w:val="auto"/>
          <w:highlight w:val="none"/>
        </w:rPr>
      </w:pPr>
      <w:bookmarkStart w:id="7" w:name="_Toc4968"/>
      <w:r>
        <w:rPr>
          <w:rFonts w:hint="eastAsia" w:ascii="仿宋" w:hAnsi="仿宋" w:eastAsia="仿宋" w:cs="仿宋"/>
          <w:b/>
          <w:bCs w:val="0"/>
          <w:color w:val="auto"/>
          <w:sz w:val="32"/>
          <w:szCs w:val="32"/>
          <w:highlight w:val="none"/>
        </w:rPr>
        <w:t>第二章 养殖水域滩涂利用评价</w:t>
      </w:r>
      <w:bookmarkEnd w:id="7"/>
    </w:p>
    <w:p>
      <w:pPr>
        <w:pStyle w:val="2"/>
        <w:numPr>
          <w:ilvl w:val="0"/>
          <w:numId w:val="0"/>
        </w:numPr>
        <w:spacing w:beforeLines="50" w:afterLines="50" w:line="360" w:lineRule="auto"/>
        <w:jc w:val="center"/>
        <w:rPr>
          <w:color w:val="auto"/>
          <w:highlight w:val="none"/>
        </w:rPr>
      </w:pPr>
      <w:bookmarkStart w:id="8" w:name="_Toc2380"/>
      <w:r>
        <w:rPr>
          <w:rFonts w:hint="eastAsia" w:ascii="times new roam" w:hAnsi="times new roam" w:eastAsia="仿宋" w:cs="黑体"/>
          <w:b/>
          <w:color w:val="auto"/>
          <w:kern w:val="2"/>
          <w:sz w:val="30"/>
          <w:szCs w:val="30"/>
          <w:highlight w:val="none"/>
        </w:rPr>
        <w:t>第六节 水域滩涂承载力分析</w:t>
      </w:r>
      <w:bookmarkEnd w:id="8"/>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9" w:name="_Toc32520"/>
      <w:r>
        <w:rPr>
          <w:rFonts w:hint="eastAsia" w:ascii="times new roam" w:hAnsi="times new roam" w:eastAsia="仿宋" w:cs="黑体"/>
          <w:b/>
          <w:color w:val="auto"/>
          <w:kern w:val="2"/>
          <w:sz w:val="30"/>
          <w:szCs w:val="30"/>
          <w:highlight w:val="none"/>
        </w:rPr>
        <w:t>第一条 水域滩涂资源状况</w:t>
      </w:r>
      <w:bookmarkEnd w:id="9"/>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一、地理位置</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河源市源城区位于广东省东北部，地处东江中上游，地处东经114°31´至114°45´，北纬23°31´至23°51´之间。本市以老城区为中心，东与江东新区接壤，南至埔前镇，与博罗县石坝镇相邻，西面与东源县新港镇交界，北面与东源县仙塘镇相连。源城区处于经济发达的珠三角地区与贫困县山区的结合部，距离广州180公里，距离深圳176公里，距离香港200公里；随着全省交通网络的快速发展，源城区成为了粤东北重要的交通枢纽。</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二、地质地貌</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及邻近区域坐落在河源盆地中，多为冲积平原、台地及低丘，海拔40～70米；河源盆地的西南、北面和东面为中低山地和高丘，海拔多在300米以上，其中西面高达1056米的桂山为邻近的最高峰。东江自东北向西南流过本市区，新丰江在城市北部的源城和新城之间汇入东江，与周围的山河相辉映，形成了“三山鼎立，二水绕城”的优美景色。</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区域已发现矿产11种，主要有铜、铁、铅、锌、稀土、萤石矿、硅石矿、建筑用砂石或砖瓦黏土、矿泉水、地热水等，有矿产地19处。其中通过地质勘查有探明储量的矿产6种，主要有萤石矿、硅石矿、建筑用砂石、砖瓦黏土、矿泉水、地热水等。有2个总流量36万立方米在中型地下热水矿；12个普通萤石矿；1个总资源量为63万立方米的小型砖瓦黏土矿；1个资源量125万立方米的小型建筑用砂矿；3个总资源量820立方米的小型建筑用石料矿；1个资源量1.3万立方米的小型矿泉水矿；1个资源储量112万吨的小型铁矿。</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三、土地资源</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的土地总面积为3.61万公顷，耕地面积2652.58公顷，园地3470.12公顷，林地1.8万公顷，草地713.53公顷，城镇村及工矿用地6068.09公顷，交通运输用地840.02公顷，水域及水利设施用地2452.9公顷，其他土地1986.56公顷。</w:t>
      </w:r>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10" w:name="_Toc10250"/>
      <w:r>
        <w:rPr>
          <w:rFonts w:hint="eastAsia" w:ascii="times new roam" w:hAnsi="times new roam" w:eastAsia="仿宋" w:cs="黑体"/>
          <w:b/>
          <w:color w:val="auto"/>
          <w:kern w:val="2"/>
          <w:sz w:val="30"/>
          <w:szCs w:val="30"/>
          <w:highlight w:val="none"/>
        </w:rPr>
        <w:t>第二条 自然气候条件</w:t>
      </w:r>
      <w:bookmarkEnd w:id="10"/>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一、水文</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雨水充沛，多年平均年产水量为3.70亿立方米，人均占有量为1610立方米。东江年平均过境水量为144.24亿立方米，新丰江年平均过境水量24.6亿立方米。全区水能理论储藏量44.30万千瓦，可开发的水力资源为42.00万千瓦，已开发34.02万千瓦（含新丰江水电站33.5万千瓦），占可开发量的81%。</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二、水质</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位于东江中上游、河源市南部，地处南亚热带，气温高，雨量充沛。区内有东江、新丰江、埔前河、七礤河、香车河，集雨面积都在40～100平方公里以上。境内新丰江水库符合《地表水环境质量标准》（GB3838-2002）I类标准。新丰江库区水体pH值保持在7.21～7.42之间，变化幅度在-0.73%～1.78%之间，pH值保持相对稳定。库区水体溶氧量在7.85～8.83 mg/L之间，均满足《地表水环境质量标准》的I类水质标准的要求。高锰酸盐指数保持在0.84～1.07mg/L之间；氨氮保持在0.017～0.074 mg/L之间；化学需氧量均为5L；总氮保持在0.07～0.18 mg/L之间，满足《地表水环境质量标准》（GB3838-2002）的I类水质和II类水质标准的要求。</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三、气候</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地处广东省东北部，属亚热带季风气候。上半年盛行东北季风，天气较为干冷；下半年盛行西南和东南季风，高温多雨。源城区历年平均温度21.4℃，历年极端最高温度39.3℃，历年极端最低温度-3.8℃；历年平均年降雨量1953.2毫米，历年平均年雨日159天；历年平均年日照时数1942.8小时。新丰江水体水温在18.3～23.8℃之间浮动，水温保持相对稳定。源城区热量充足，雨水充沛，日照充足，气候资源丰富，适宜种植亚热带作物。</w:t>
      </w:r>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11" w:name="_Toc7448"/>
      <w:r>
        <w:rPr>
          <w:rFonts w:hint="eastAsia" w:ascii="times new roam" w:hAnsi="times new roam" w:eastAsia="仿宋" w:cs="黑体"/>
          <w:b/>
          <w:color w:val="auto"/>
          <w:kern w:val="2"/>
          <w:sz w:val="30"/>
          <w:szCs w:val="30"/>
          <w:highlight w:val="none"/>
        </w:rPr>
        <w:t>第三条 水生生物资源状况</w:t>
      </w:r>
      <w:bookmarkEnd w:id="11"/>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新丰江水库作为我国第四大水库，是华南地区最大的水库，总库容达139亿立方米，水库集雨面积5730平方公里,水库面积为364平方公里。水库多年平均水深28.7米，最大水深93米。据普查，新丰江水库鱼类种类最多，有7目17科46属56种，其中鲤形目鱼类占58.93%，鲈形目占21.43%，鲇形目占10.71%。虽其为大型贫营养水库，但生物资源丰富，浮游植物组成有明显的季节性特征，春季以硅藻、甲藻和绿藻为优势类群；夏季以蓝藻、绿藻和硅藻为优势类群；秋季蓝、绿藻减少而硅藻和甲藻增加。新丰江水库的浮游植物从丰度上看，主要以小环藻、蓝纤维藻、小球藻和纤维藻等优势种为主，而从生物量看则微小甲藻为优势种。源城区野生维管植物198科、660属、1280种。野生动物种类较为丰富，区内属国家重点保护动物，也是珍稀濒危动物有21种。河源市源城区是广东省重要的生态屏障和饮用水源地，丰富的水资源是水产养殖的重要基础，多样性的水生生物是水域中食物链重要组成，也对保持水域生态平衡、净化水质起到重要作用。</w:t>
      </w:r>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12" w:name="_Toc417"/>
      <w:r>
        <w:rPr>
          <w:rFonts w:hint="eastAsia" w:ascii="times new roam" w:hAnsi="times new roam" w:eastAsia="仿宋" w:cs="黑体"/>
          <w:b/>
          <w:color w:val="auto"/>
          <w:kern w:val="2"/>
          <w:sz w:val="30"/>
          <w:szCs w:val="30"/>
          <w:highlight w:val="none"/>
        </w:rPr>
        <w:t>第四条 水域环境状况</w:t>
      </w:r>
      <w:bookmarkEnd w:id="12"/>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废水排放量4792.19万吨，化学需氧量6046.30吨，氨氮992.44吨，分别占全市的46.50%、25.68%和31.57%。河源市废水污染物区域集中在源城区。同样，河源市源城区工业废水排放量449.93万吨，生活废水排放量4342.24万吨。</w:t>
      </w:r>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13" w:name="_Toc3354"/>
      <w:r>
        <w:rPr>
          <w:rFonts w:hint="eastAsia" w:ascii="times new roam" w:hAnsi="times new roam" w:eastAsia="仿宋" w:cs="黑体"/>
          <w:b/>
          <w:color w:val="auto"/>
          <w:kern w:val="2"/>
          <w:sz w:val="30"/>
          <w:szCs w:val="30"/>
          <w:highlight w:val="none"/>
        </w:rPr>
        <w:t>第五条 水域滩涂承载力评价</w:t>
      </w:r>
      <w:bookmarkEnd w:id="13"/>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水环境承载能力是指在一定的自然环境条件和特定的社会经济发展模式下，区域水环境（包括水资源和水污染）对社会经济发展的支持能力。根据源城区气候水文条件以及水资源状况等数据，选择11个评价指标，利用向量模法对源城区水域承载力进行计算。评价指标体系如</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REF _Ref152006333 \h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表 1</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所示，各个指标权重的确定使用层次分析法，利用YAAHP软件进行计算。</w:t>
      </w:r>
    </w:p>
    <w:p>
      <w:pPr>
        <w:pStyle w:val="5"/>
        <w:spacing w:line="360" w:lineRule="auto"/>
        <w:rPr>
          <w:rFonts w:ascii="仿宋" w:hAnsi="仿宋" w:eastAsia="仿宋" w:cs="仿宋"/>
          <w:b/>
          <w:bCs/>
          <w:color w:val="auto"/>
          <w:szCs w:val="24"/>
          <w:highlight w:val="none"/>
        </w:rPr>
      </w:pPr>
      <w:r>
        <w:rPr>
          <w:rFonts w:hint="eastAsia" w:ascii="仿宋" w:hAnsi="仿宋" w:eastAsia="仿宋" w:cs="仿宋"/>
          <w:b/>
          <w:bCs/>
          <w:color w:val="auto"/>
          <w:szCs w:val="24"/>
          <w:highlight w:val="none"/>
        </w:rPr>
        <w:t xml:space="preserve">表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表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1</w:t>
      </w:r>
      <w:r>
        <w:rPr>
          <w:rFonts w:hint="eastAsia" w:ascii="仿宋" w:hAnsi="仿宋" w:eastAsia="仿宋" w:cs="仿宋"/>
          <w:b/>
          <w:bCs/>
          <w:color w:val="auto"/>
          <w:szCs w:val="24"/>
          <w:highlight w:val="none"/>
        </w:rPr>
        <w:fldChar w:fldCharType="end"/>
      </w:r>
      <w:r>
        <w:rPr>
          <w:rFonts w:hint="eastAsia" w:ascii="仿宋" w:hAnsi="仿宋" w:eastAsia="仿宋" w:cs="仿宋"/>
          <w:b/>
          <w:bCs/>
          <w:color w:val="auto"/>
          <w:szCs w:val="24"/>
          <w:highlight w:val="none"/>
        </w:rPr>
        <w:t xml:space="preserve"> 源城区水环境承载力评价指标体系</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3"/>
        <w:gridCol w:w="2950"/>
        <w:gridCol w:w="1413"/>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b/>
                <w:bCs/>
                <w:color w:val="auto"/>
                <w:sz w:val="24"/>
                <w:highlight w:val="none"/>
              </w:rPr>
              <w:t>指标</w:t>
            </w:r>
          </w:p>
        </w:tc>
        <w:tc>
          <w:tcPr>
            <w:tcW w:w="2950" w:type="dxa"/>
            <w:vAlign w:val="center"/>
          </w:tcPr>
          <w:p>
            <w:pPr>
              <w:widowControl/>
              <w:jc w:val="center"/>
              <w:rPr>
                <w:color w:val="auto"/>
                <w:highlight w:val="none"/>
              </w:rPr>
            </w:pPr>
            <w:r>
              <w:rPr>
                <w:rFonts w:hint="eastAsia" w:ascii="仿宋" w:hAnsi="仿宋" w:eastAsia="仿宋" w:cs="仿宋"/>
                <w:b/>
                <w:bCs/>
                <w:color w:val="auto"/>
                <w:sz w:val="24"/>
                <w:highlight w:val="none"/>
              </w:rPr>
              <w:t>指标说明</w:t>
            </w:r>
          </w:p>
        </w:tc>
        <w:tc>
          <w:tcPr>
            <w:tcW w:w="1413" w:type="dxa"/>
            <w:vAlign w:val="center"/>
          </w:tcPr>
          <w:p>
            <w:pPr>
              <w:widowControl/>
              <w:jc w:val="center"/>
              <w:rPr>
                <w:color w:val="auto"/>
                <w:highlight w:val="none"/>
              </w:rPr>
            </w:pPr>
            <w:r>
              <w:rPr>
                <w:rFonts w:hint="eastAsia" w:ascii="仿宋" w:hAnsi="仿宋" w:eastAsia="仿宋" w:cs="仿宋"/>
                <w:b/>
                <w:bCs/>
                <w:color w:val="auto"/>
                <w:sz w:val="24"/>
                <w:highlight w:val="none"/>
              </w:rPr>
              <w:t>指标权重</w:t>
            </w:r>
          </w:p>
        </w:tc>
        <w:tc>
          <w:tcPr>
            <w:tcW w:w="1250" w:type="dxa"/>
            <w:vAlign w:val="center"/>
          </w:tcPr>
          <w:p>
            <w:pPr>
              <w:widowControl/>
              <w:jc w:val="center"/>
              <w:rPr>
                <w:color w:val="auto"/>
                <w:highlight w:val="none"/>
              </w:rPr>
            </w:pPr>
            <w:r>
              <w:rPr>
                <w:rFonts w:hint="eastAsia" w:ascii="仿宋" w:hAnsi="仿宋" w:eastAsia="仿宋" w:cs="仿宋"/>
                <w:b/>
                <w:bCs/>
                <w:color w:val="auto"/>
                <w:sz w:val="24"/>
                <w:highlight w:val="none"/>
              </w:rPr>
              <w:t>影响效应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常住人口（万人）</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反映地区人口状况</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0.053</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人均GDP（万元）</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反映地区人口状况</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0.0952</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农业总产值（亿元）</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反映地区人口状况</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0.1237</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渔业产值（亿元）</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反映地区经济发展状况</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0.1237</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森林覆盖率（——）</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反映地区资源状况</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0.1091</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水资源总量（亿立方米）</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反映地区资源状况</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0.1091</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降水量（毫米）</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反映地区资源状况</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0.0688</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水库蓄水总量（亿立方米）</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反映地区资源状况</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0.1091</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全年总用水量（亿立方米）</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反映地区资源消耗情况</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0.0803</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万元地区生产总值用水量（立方米）</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反映地区资源消耗情况</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0.0928</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3" w:type="dxa"/>
            <w:vAlign w:val="center"/>
          </w:tcPr>
          <w:p>
            <w:pPr>
              <w:widowControl/>
              <w:jc w:val="center"/>
              <w:rPr>
                <w:color w:val="auto"/>
                <w:highlight w:val="none"/>
              </w:rPr>
            </w:pPr>
            <w:r>
              <w:rPr>
                <w:rFonts w:hint="eastAsia" w:ascii="仿宋" w:hAnsi="仿宋" w:eastAsia="仿宋" w:cs="仿宋"/>
                <w:color w:val="auto"/>
                <w:sz w:val="24"/>
                <w:highlight w:val="none"/>
              </w:rPr>
              <w:t>城市污水处理能力（万吨）</w:t>
            </w:r>
          </w:p>
        </w:tc>
        <w:tc>
          <w:tcPr>
            <w:tcW w:w="2950" w:type="dxa"/>
            <w:vAlign w:val="center"/>
          </w:tcPr>
          <w:p>
            <w:pPr>
              <w:widowControl/>
              <w:jc w:val="center"/>
              <w:rPr>
                <w:color w:val="auto"/>
                <w:highlight w:val="none"/>
              </w:rPr>
            </w:pPr>
            <w:r>
              <w:rPr>
                <w:rFonts w:hint="eastAsia" w:ascii="仿宋" w:hAnsi="仿宋" w:eastAsia="仿宋" w:cs="仿宋"/>
                <w:color w:val="auto"/>
                <w:sz w:val="24"/>
                <w:highlight w:val="none"/>
              </w:rPr>
              <w:t>反映城市废水处理能力</w:t>
            </w:r>
          </w:p>
        </w:tc>
        <w:tc>
          <w:tcPr>
            <w:tcW w:w="1413" w:type="dxa"/>
            <w:vAlign w:val="center"/>
          </w:tcPr>
          <w:p>
            <w:pPr>
              <w:widowControl/>
              <w:jc w:val="center"/>
              <w:rPr>
                <w:color w:val="auto"/>
                <w:highlight w:val="none"/>
              </w:rPr>
            </w:pPr>
            <w:r>
              <w:rPr>
                <w:rFonts w:hint="eastAsia" w:ascii="仿宋" w:hAnsi="仿宋" w:eastAsia="仿宋" w:cs="仿宋"/>
                <w:color w:val="auto"/>
                <w:sz w:val="24"/>
                <w:highlight w:val="none"/>
              </w:rPr>
              <w:t>0.0351</w:t>
            </w:r>
          </w:p>
        </w:tc>
        <w:tc>
          <w:tcPr>
            <w:tcW w:w="1250" w:type="dxa"/>
            <w:vAlign w:val="center"/>
          </w:tcPr>
          <w:p>
            <w:pPr>
              <w:widowControl/>
              <w:jc w:val="center"/>
              <w:rPr>
                <w:color w:val="auto"/>
                <w:highlight w:val="none"/>
              </w:rPr>
            </w:pPr>
            <w:r>
              <w:rPr>
                <w:rFonts w:hint="eastAsia" w:ascii="仿宋" w:hAnsi="仿宋" w:eastAsia="仿宋" w:cs="仿宋"/>
                <w:color w:val="auto"/>
                <w:sz w:val="24"/>
                <w:highlight w:val="none"/>
              </w:rPr>
              <w:t>+</w:t>
            </w:r>
          </w:p>
        </w:tc>
      </w:tr>
    </w:tbl>
    <w:p>
      <w:pPr>
        <w:rPr>
          <w:color w:val="auto"/>
          <w:highlight w:val="none"/>
        </w:rPr>
      </w:pPr>
    </w:p>
    <w:p>
      <w:pPr>
        <w:shd w:val="clear" w:color="auto" w:fill="FFFFFF"/>
        <w:adjustRightInd w:val="0"/>
        <w:snapToGrid w:val="0"/>
        <w:spacing w:beforeLines="50"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各项评价指标的数据来源为《河源国民经济和社会发展统计公报》。首先，利用公式1对评价体系中的正向指标和负向指标进行归一化处理，负向指标需将原始数值取倒数后，按照公式1进行计算。其次，利用公式2计算水域环境承载力综合评价值。源城区近4年各指标归一化量值及水域承载力综合评价值，见</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REF _Ref152006313 \h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表 2</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所示。</w:t>
      </w:r>
    </w:p>
    <w:p>
      <w:pPr>
        <w:spacing w:line="360" w:lineRule="auto"/>
        <w:ind w:firstLine="560" w:firstLineChars="200"/>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公式1：</w:t>
      </w:r>
      <m:oMath>
        <m:sSub>
          <m:sSubPr>
            <m:ctrlPr>
              <w:rPr>
                <w:rFonts w:hint="eastAsia" w:ascii="Cambria Math" w:hAnsi="Cambria Math" w:eastAsia="仿宋" w:cs="仿宋"/>
                <w:color w:val="auto"/>
                <w:sz w:val="28"/>
                <w:szCs w:val="28"/>
                <w:highlight w:val="none"/>
              </w:rPr>
            </m:ctrlPr>
          </m:sSubPr>
          <m:e>
            <m:acc>
              <m:accPr>
                <m:chr m:val="̅"/>
                <m:ctrlPr>
                  <w:rPr>
                    <w:rFonts w:hint="eastAsia" w:ascii="Cambria Math" w:hAnsi="Cambria Math" w:eastAsia="仿宋" w:cs="仿宋"/>
                    <w:i/>
                    <w:color w:val="auto"/>
                    <w:sz w:val="28"/>
                    <w:szCs w:val="28"/>
                    <w:highlight w:val="none"/>
                  </w:rPr>
                </m:ctrlPr>
              </m:accPr>
              <m:e>
                <m:r>
                  <m:rPr/>
                  <w:rPr>
                    <w:rFonts w:hint="eastAsia" w:ascii="Cambria Math" w:hAnsi="Cambria Math" w:eastAsia="仿宋" w:cs="仿宋"/>
                    <w:color w:val="auto"/>
                    <w:sz w:val="28"/>
                    <w:szCs w:val="28"/>
                    <w:highlight w:val="none"/>
                  </w:rPr>
                  <m:t>E</m:t>
                </m:r>
                <m:ctrlPr>
                  <w:rPr>
                    <w:rFonts w:hint="eastAsia" w:ascii="Cambria Math" w:hAnsi="Cambria Math" w:eastAsia="仿宋" w:cs="仿宋"/>
                    <w:i/>
                    <w:color w:val="auto"/>
                    <w:sz w:val="28"/>
                    <w:szCs w:val="28"/>
                    <w:highlight w:val="none"/>
                  </w:rPr>
                </m:ctrlPr>
              </m:e>
            </m:acc>
            <m:ctrlPr>
              <w:rPr>
                <w:rFonts w:hint="eastAsia" w:ascii="Cambria Math" w:hAnsi="Cambria Math" w:eastAsia="仿宋" w:cs="仿宋"/>
                <w:color w:val="auto"/>
                <w:sz w:val="28"/>
                <w:szCs w:val="28"/>
                <w:highlight w:val="none"/>
              </w:rPr>
            </m:ctrlPr>
          </m:e>
          <m:sub>
            <m:r>
              <m:rPr/>
              <w:rPr>
                <w:rFonts w:hint="eastAsia" w:ascii="Cambria Math" w:hAnsi="Cambria Math" w:eastAsia="仿宋" w:cs="仿宋"/>
                <w:color w:val="auto"/>
                <w:sz w:val="28"/>
                <w:szCs w:val="28"/>
                <w:highlight w:val="none"/>
              </w:rPr>
              <m:t>ij</m:t>
            </m:r>
            <m:ctrlPr>
              <w:rPr>
                <w:rFonts w:hint="eastAsia" w:ascii="Cambria Math" w:hAnsi="Cambria Math" w:eastAsia="仿宋" w:cs="仿宋"/>
                <w:color w:val="auto"/>
                <w:sz w:val="28"/>
                <w:szCs w:val="28"/>
                <w:highlight w:val="none"/>
              </w:rPr>
            </m:ctrlPr>
          </m:sub>
        </m:sSub>
      </m:oMath>
      <w:r>
        <w:rPr>
          <w:rFonts w:hint="eastAsia" w:ascii="仿宋" w:hAnsi="仿宋" w:eastAsia="仿宋" w:cs="仿宋"/>
          <w:color w:val="auto"/>
          <w:sz w:val="28"/>
          <w:szCs w:val="28"/>
          <w:highlight w:val="none"/>
        </w:rPr>
        <w:t xml:space="preserve"> = </w:t>
      </w:r>
      <m:oMath>
        <m:sSub>
          <m:sSubPr>
            <m:ctrlPr>
              <w:rPr>
                <w:rFonts w:hint="eastAsia" w:ascii="Cambria Math" w:hAnsi="Cambria Math" w:eastAsia="仿宋" w:cs="仿宋"/>
                <w:color w:val="auto"/>
                <w:sz w:val="28"/>
                <w:szCs w:val="28"/>
                <w:highlight w:val="none"/>
              </w:rPr>
            </m:ctrlPr>
          </m:sSubPr>
          <m:e>
            <m:r>
              <m:rPr/>
              <w:rPr>
                <w:rFonts w:hint="eastAsia" w:ascii="Cambria Math" w:hAnsi="Cambria Math" w:eastAsia="仿宋" w:cs="仿宋"/>
                <w:color w:val="auto"/>
                <w:sz w:val="28"/>
                <w:szCs w:val="28"/>
                <w:highlight w:val="none"/>
              </w:rPr>
              <m:t>E</m:t>
            </m:r>
            <m:ctrlPr>
              <w:rPr>
                <w:rFonts w:hint="eastAsia" w:ascii="Cambria Math" w:hAnsi="Cambria Math" w:eastAsia="仿宋" w:cs="仿宋"/>
                <w:color w:val="auto"/>
                <w:sz w:val="28"/>
                <w:szCs w:val="28"/>
                <w:highlight w:val="none"/>
              </w:rPr>
            </m:ctrlPr>
          </m:e>
          <m:sub>
            <m:r>
              <m:rPr/>
              <w:rPr>
                <w:rFonts w:hint="eastAsia" w:ascii="Cambria Math" w:hAnsi="Cambria Math" w:eastAsia="仿宋" w:cs="仿宋"/>
                <w:color w:val="auto"/>
                <w:sz w:val="28"/>
                <w:szCs w:val="28"/>
                <w:highlight w:val="none"/>
              </w:rPr>
              <m:t>ij</m:t>
            </m:r>
            <m:ctrlPr>
              <w:rPr>
                <w:rFonts w:hint="eastAsia" w:ascii="Cambria Math" w:hAnsi="Cambria Math" w:eastAsia="仿宋" w:cs="仿宋"/>
                <w:color w:val="auto"/>
                <w:sz w:val="28"/>
                <w:szCs w:val="28"/>
                <w:highlight w:val="none"/>
              </w:rPr>
            </m:ctrlPr>
          </m:sub>
        </m:sSub>
      </m:oMath>
      <w:r>
        <w:rPr>
          <w:rFonts w:hint="eastAsia" w:ascii="仿宋" w:hAnsi="仿宋" w:eastAsia="仿宋" w:cs="仿宋"/>
          <w:color w:val="auto"/>
          <w:sz w:val="28"/>
          <w:szCs w:val="28"/>
          <w:highlight w:val="none"/>
        </w:rPr>
        <w:t>/</w:t>
      </w:r>
      <m:oMath>
        <m:nary>
          <m:naryPr>
            <m:chr m:val="∑"/>
            <m:limLoc m:val="undOvr"/>
            <m:ctrlPr>
              <w:rPr>
                <w:rFonts w:hint="eastAsia" w:ascii="Cambria Math" w:hAnsi="Cambria Math" w:eastAsia="仿宋" w:cs="仿宋"/>
                <w:color w:val="auto"/>
                <w:sz w:val="28"/>
                <w:szCs w:val="28"/>
                <w:highlight w:val="none"/>
              </w:rPr>
            </m:ctrlPr>
          </m:naryPr>
          <m:sub>
            <m:r>
              <m:rPr/>
              <w:rPr>
                <w:rFonts w:hint="eastAsia" w:ascii="Cambria Math" w:hAnsi="Cambria Math" w:eastAsia="仿宋" w:cs="仿宋"/>
                <w:color w:val="auto"/>
                <w:sz w:val="28"/>
                <w:szCs w:val="28"/>
                <w:highlight w:val="none"/>
              </w:rPr>
              <m:t>j=1</m:t>
            </m:r>
            <m:ctrlPr>
              <w:rPr>
                <w:rFonts w:hint="eastAsia" w:ascii="Cambria Math" w:hAnsi="Cambria Math" w:eastAsia="仿宋" w:cs="仿宋"/>
                <w:color w:val="auto"/>
                <w:sz w:val="28"/>
                <w:szCs w:val="28"/>
                <w:highlight w:val="none"/>
              </w:rPr>
            </m:ctrlPr>
          </m:sub>
          <m:sup>
            <m:r>
              <m:rPr/>
              <w:rPr>
                <w:rFonts w:hint="eastAsia" w:ascii="Cambria Math" w:hAnsi="Cambria Math" w:eastAsia="仿宋" w:cs="仿宋"/>
                <w:color w:val="auto"/>
                <w:sz w:val="28"/>
                <w:szCs w:val="28"/>
                <w:highlight w:val="none"/>
              </w:rPr>
              <m:t>m</m:t>
            </m:r>
            <m:ctrlPr>
              <w:rPr>
                <w:rFonts w:hint="eastAsia" w:ascii="Cambria Math" w:hAnsi="Cambria Math" w:eastAsia="仿宋" w:cs="仿宋"/>
                <w:color w:val="auto"/>
                <w:sz w:val="28"/>
                <w:szCs w:val="28"/>
                <w:highlight w:val="none"/>
              </w:rPr>
            </m:ctrlPr>
          </m:sup>
          <m:e>
            <m:sSub>
              <m:sSubPr>
                <m:ctrlPr>
                  <w:rPr>
                    <w:rFonts w:hint="eastAsia" w:ascii="Cambria Math" w:hAnsi="Cambria Math" w:eastAsia="仿宋" w:cs="仿宋"/>
                    <w:i/>
                    <w:color w:val="auto"/>
                    <w:sz w:val="28"/>
                    <w:szCs w:val="28"/>
                    <w:highlight w:val="none"/>
                  </w:rPr>
                </m:ctrlPr>
              </m:sSubPr>
              <m:e>
                <m:r>
                  <m:rPr/>
                  <w:rPr>
                    <w:rFonts w:hint="eastAsia" w:ascii="Cambria Math" w:hAnsi="Cambria Math" w:eastAsia="仿宋" w:cs="仿宋"/>
                    <w:color w:val="auto"/>
                    <w:sz w:val="28"/>
                    <w:szCs w:val="28"/>
                    <w:highlight w:val="none"/>
                  </w:rPr>
                  <m:t>E</m:t>
                </m:r>
                <m:ctrlPr>
                  <w:rPr>
                    <w:rFonts w:hint="eastAsia" w:ascii="Cambria Math" w:hAnsi="Cambria Math" w:eastAsia="仿宋" w:cs="仿宋"/>
                    <w:i/>
                    <w:color w:val="auto"/>
                    <w:sz w:val="28"/>
                    <w:szCs w:val="28"/>
                    <w:highlight w:val="none"/>
                  </w:rPr>
                </m:ctrlPr>
              </m:e>
              <m:sub>
                <m:r>
                  <m:rPr/>
                  <w:rPr>
                    <w:rFonts w:hint="eastAsia" w:ascii="Cambria Math" w:hAnsi="Cambria Math" w:eastAsia="仿宋" w:cs="仿宋"/>
                    <w:color w:val="auto"/>
                    <w:sz w:val="28"/>
                    <w:szCs w:val="28"/>
                    <w:highlight w:val="none"/>
                  </w:rPr>
                  <m:t>ij</m:t>
                </m:r>
                <m:ctrlPr>
                  <w:rPr>
                    <w:rFonts w:hint="eastAsia" w:ascii="Cambria Math" w:hAnsi="Cambria Math" w:eastAsia="仿宋" w:cs="仿宋"/>
                    <w:i/>
                    <w:color w:val="auto"/>
                    <w:sz w:val="28"/>
                    <w:szCs w:val="28"/>
                    <w:highlight w:val="none"/>
                  </w:rPr>
                </m:ctrlPr>
              </m:sub>
            </m:sSub>
            <m:ctrlPr>
              <w:rPr>
                <w:rFonts w:hint="eastAsia" w:ascii="Cambria Math" w:hAnsi="Cambria Math" w:eastAsia="仿宋" w:cs="仿宋"/>
                <w:color w:val="auto"/>
                <w:sz w:val="28"/>
                <w:szCs w:val="28"/>
                <w:highlight w:val="none"/>
              </w:rPr>
            </m:ctrlPr>
          </m:e>
        </m:nary>
      </m:oMath>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式中，</w:t>
      </w:r>
      <m:oMath>
        <m:sSub>
          <m:sSubPr>
            <m:ctrlPr>
              <w:rPr>
                <w:rFonts w:hint="eastAsia" w:ascii="Cambria Math" w:hAnsi="Cambria Math" w:eastAsia="仿宋" w:cs="仿宋"/>
                <w:color w:val="auto"/>
                <w:sz w:val="28"/>
                <w:szCs w:val="28"/>
                <w:highlight w:val="none"/>
              </w:rPr>
            </m:ctrlPr>
          </m:sSubPr>
          <m:e>
            <m:acc>
              <m:accPr>
                <m:chr m:val="̅"/>
                <m:ctrlPr>
                  <w:rPr>
                    <w:rFonts w:hint="eastAsia" w:ascii="Cambria Math" w:hAnsi="Cambria Math" w:eastAsia="仿宋" w:cs="仿宋"/>
                    <w:color w:val="auto"/>
                    <w:sz w:val="28"/>
                    <w:szCs w:val="28"/>
                    <w:highlight w:val="none"/>
                  </w:rPr>
                </m:ctrlPr>
              </m:accPr>
              <m:e>
                <m:r>
                  <m:rPr>
                    <m:sty m:val="p"/>
                  </m:rPr>
                  <w:rPr>
                    <w:rFonts w:hint="eastAsia" w:ascii="Cambria Math" w:hAnsi="Cambria Math" w:eastAsia="仿宋" w:cs="仿宋"/>
                    <w:color w:val="auto"/>
                    <w:sz w:val="28"/>
                    <w:szCs w:val="28"/>
                    <w:highlight w:val="none"/>
                  </w:rPr>
                  <m:t>E</m:t>
                </m:r>
                <m:ctrlPr>
                  <w:rPr>
                    <w:rFonts w:hint="eastAsia" w:ascii="Cambria Math" w:hAnsi="Cambria Math" w:eastAsia="仿宋" w:cs="仿宋"/>
                    <w:color w:val="auto"/>
                    <w:sz w:val="28"/>
                    <w:szCs w:val="28"/>
                    <w:highlight w:val="none"/>
                  </w:rPr>
                </m:ctrlPr>
              </m:e>
            </m:acc>
            <m:ctrlPr>
              <w:rPr>
                <w:rFonts w:hint="eastAsia" w:ascii="Cambria Math" w:hAnsi="Cambria Math" w:eastAsia="仿宋" w:cs="仿宋"/>
                <w:color w:val="auto"/>
                <w:sz w:val="28"/>
                <w:szCs w:val="28"/>
                <w:highlight w:val="none"/>
              </w:rPr>
            </m:ctrlPr>
          </m:e>
          <m:sub>
            <m:r>
              <m:rPr>
                <m:sty m:val="p"/>
              </m:rPr>
              <w:rPr>
                <w:rFonts w:hint="eastAsia" w:ascii="Cambria Math" w:hAnsi="Cambria Math" w:eastAsia="仿宋" w:cs="仿宋"/>
                <w:color w:val="auto"/>
                <w:sz w:val="28"/>
                <w:szCs w:val="28"/>
                <w:highlight w:val="none"/>
              </w:rPr>
              <m:t>ij</m:t>
            </m:r>
            <m:ctrlPr>
              <w:rPr>
                <w:rFonts w:hint="eastAsia" w:ascii="Cambria Math" w:hAnsi="Cambria Math" w:eastAsia="仿宋" w:cs="仿宋"/>
                <w:color w:val="auto"/>
                <w:sz w:val="28"/>
                <w:szCs w:val="28"/>
                <w:highlight w:val="none"/>
              </w:rPr>
            </m:ctrlPr>
          </m:sub>
        </m:sSub>
      </m:oMath>
      <w:r>
        <w:rPr>
          <w:rFonts w:hint="eastAsia" w:ascii="仿宋" w:hAnsi="仿宋" w:eastAsia="仿宋" w:cs="仿宋"/>
          <w:color w:val="auto"/>
          <w:sz w:val="28"/>
          <w:szCs w:val="28"/>
          <w:highlight w:val="none"/>
        </w:rPr>
        <w:t>表示归一化的评价指标数值，</w:t>
      </w:r>
      <m:oMath>
        <m:sSub>
          <m:sSubPr>
            <m:ctrlPr>
              <w:rPr>
                <w:rFonts w:hint="eastAsia" w:ascii="Cambria Math" w:hAnsi="Cambria Math" w:eastAsia="仿宋" w:cs="仿宋"/>
                <w:color w:val="auto"/>
                <w:sz w:val="28"/>
                <w:szCs w:val="28"/>
                <w:highlight w:val="none"/>
              </w:rPr>
            </m:ctrlPr>
          </m:sSubPr>
          <m:e>
            <m:r>
              <m:rPr>
                <m:sty m:val="p"/>
              </m:rPr>
              <w:rPr>
                <w:rFonts w:hint="eastAsia" w:ascii="Cambria Math" w:hAnsi="Cambria Math" w:eastAsia="仿宋" w:cs="仿宋"/>
                <w:color w:val="auto"/>
                <w:sz w:val="28"/>
                <w:szCs w:val="28"/>
                <w:highlight w:val="none"/>
              </w:rPr>
              <m:t>E</m:t>
            </m:r>
            <m:ctrlPr>
              <w:rPr>
                <w:rFonts w:hint="eastAsia" w:ascii="Cambria Math" w:hAnsi="Cambria Math" w:eastAsia="仿宋" w:cs="仿宋"/>
                <w:color w:val="auto"/>
                <w:sz w:val="28"/>
                <w:szCs w:val="28"/>
                <w:highlight w:val="none"/>
              </w:rPr>
            </m:ctrlPr>
          </m:e>
          <m:sub>
            <m:r>
              <m:rPr>
                <m:sty m:val="p"/>
              </m:rPr>
              <w:rPr>
                <w:rFonts w:hint="eastAsia" w:ascii="Cambria Math" w:hAnsi="Cambria Math" w:eastAsia="仿宋" w:cs="仿宋"/>
                <w:color w:val="auto"/>
                <w:sz w:val="28"/>
                <w:szCs w:val="28"/>
                <w:highlight w:val="none"/>
              </w:rPr>
              <m:t>ij</m:t>
            </m:r>
            <m:ctrlPr>
              <w:rPr>
                <w:rFonts w:hint="eastAsia" w:ascii="Cambria Math" w:hAnsi="Cambria Math" w:eastAsia="仿宋" w:cs="仿宋"/>
                <w:color w:val="auto"/>
                <w:sz w:val="28"/>
                <w:szCs w:val="28"/>
                <w:highlight w:val="none"/>
              </w:rPr>
            </m:ctrlPr>
          </m:sub>
        </m:sSub>
      </m:oMath>
      <w:r>
        <w:rPr>
          <w:rFonts w:hint="eastAsia" w:ascii="仿宋" w:hAnsi="仿宋" w:eastAsia="仿宋" w:cs="仿宋"/>
          <w:color w:val="auto"/>
          <w:sz w:val="28"/>
          <w:szCs w:val="28"/>
          <w:highlight w:val="none"/>
        </w:rPr>
        <w:t>表示评价指标原始数值，i表示第i个评价指标，j表示第j个评价值，m表示评价值数目，m = 4。</w:t>
      </w:r>
    </w:p>
    <w:p>
      <w:pPr>
        <w:spacing w:line="360" w:lineRule="auto"/>
        <w:ind w:firstLine="560" w:firstLineChars="200"/>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公式2：|</w:t>
      </w:r>
      <m:oMath>
        <m:sSub>
          <m:sSubPr>
            <m:ctrlPr>
              <w:rPr>
                <w:rFonts w:hint="eastAsia" w:ascii="Cambria Math" w:hAnsi="Cambria Math" w:eastAsia="仿宋" w:cs="仿宋"/>
                <w:color w:val="auto"/>
                <w:sz w:val="28"/>
                <w:szCs w:val="28"/>
                <w:highlight w:val="none"/>
              </w:rPr>
            </m:ctrlPr>
          </m:sSubPr>
          <m:e>
            <m:acc>
              <m:accPr>
                <m:chr m:val="̅"/>
                <m:ctrlPr>
                  <w:rPr>
                    <w:rFonts w:hint="eastAsia" w:ascii="Cambria Math" w:hAnsi="Cambria Math" w:eastAsia="仿宋" w:cs="仿宋"/>
                    <w:i/>
                    <w:color w:val="auto"/>
                    <w:sz w:val="28"/>
                    <w:szCs w:val="28"/>
                    <w:highlight w:val="none"/>
                  </w:rPr>
                </m:ctrlPr>
              </m:accPr>
              <m:e>
                <m:r>
                  <m:rPr/>
                  <w:rPr>
                    <w:rFonts w:hint="eastAsia" w:ascii="Cambria Math" w:hAnsi="Cambria Math" w:eastAsia="仿宋" w:cs="仿宋"/>
                    <w:color w:val="auto"/>
                    <w:sz w:val="28"/>
                    <w:szCs w:val="28"/>
                    <w:highlight w:val="none"/>
                  </w:rPr>
                  <m:t>E</m:t>
                </m:r>
                <m:ctrlPr>
                  <w:rPr>
                    <w:rFonts w:hint="eastAsia" w:ascii="Cambria Math" w:hAnsi="Cambria Math" w:eastAsia="仿宋" w:cs="仿宋"/>
                    <w:i/>
                    <w:color w:val="auto"/>
                    <w:sz w:val="28"/>
                    <w:szCs w:val="28"/>
                    <w:highlight w:val="none"/>
                  </w:rPr>
                </m:ctrlPr>
              </m:e>
            </m:acc>
            <m:ctrlPr>
              <w:rPr>
                <w:rFonts w:hint="eastAsia" w:ascii="Cambria Math" w:hAnsi="Cambria Math" w:eastAsia="仿宋" w:cs="仿宋"/>
                <w:color w:val="auto"/>
                <w:sz w:val="28"/>
                <w:szCs w:val="28"/>
                <w:highlight w:val="none"/>
              </w:rPr>
            </m:ctrlPr>
          </m:e>
          <m:sub>
            <m:r>
              <m:rPr/>
              <w:rPr>
                <w:rFonts w:hint="eastAsia" w:ascii="Cambria Math" w:hAnsi="Cambria Math" w:eastAsia="仿宋" w:cs="仿宋"/>
                <w:color w:val="auto"/>
                <w:sz w:val="28"/>
                <w:szCs w:val="28"/>
                <w:highlight w:val="none"/>
              </w:rPr>
              <m:t>j</m:t>
            </m:r>
            <m:ctrlPr>
              <w:rPr>
                <w:rFonts w:hint="eastAsia" w:ascii="Cambria Math" w:hAnsi="Cambria Math" w:eastAsia="仿宋" w:cs="仿宋"/>
                <w:color w:val="auto"/>
                <w:sz w:val="28"/>
                <w:szCs w:val="28"/>
                <w:highlight w:val="none"/>
              </w:rPr>
            </m:ctrlPr>
          </m:sub>
        </m:sSub>
      </m:oMath>
      <w:r>
        <w:rPr>
          <w:rFonts w:hint="eastAsia" w:ascii="仿宋" w:hAnsi="仿宋" w:eastAsia="仿宋" w:cs="仿宋"/>
          <w:color w:val="auto"/>
          <w:sz w:val="28"/>
          <w:szCs w:val="28"/>
          <w:highlight w:val="none"/>
        </w:rPr>
        <w:t xml:space="preserve">| = </w:t>
      </w:r>
      <m:oMath>
        <m:rad>
          <m:radPr>
            <m:degHide m:val="1"/>
            <m:ctrlPr>
              <w:rPr>
                <w:rFonts w:hint="eastAsia" w:ascii="Cambria Math" w:hAnsi="Cambria Math" w:eastAsia="仿宋" w:cs="仿宋"/>
                <w:color w:val="auto"/>
                <w:sz w:val="28"/>
                <w:szCs w:val="28"/>
                <w:highlight w:val="none"/>
              </w:rPr>
            </m:ctrlPr>
          </m:radPr>
          <m:deg>
            <m:ctrlPr>
              <w:rPr>
                <w:rFonts w:hint="eastAsia" w:ascii="Cambria Math" w:hAnsi="Cambria Math" w:eastAsia="仿宋" w:cs="仿宋"/>
                <w:color w:val="auto"/>
                <w:sz w:val="28"/>
                <w:szCs w:val="28"/>
                <w:highlight w:val="none"/>
              </w:rPr>
            </m:ctrlPr>
          </m:deg>
          <m:e>
            <m:nary>
              <m:naryPr>
                <m:chr m:val="∑"/>
                <m:limLoc m:val="undOvr"/>
                <m:ctrlPr>
                  <w:rPr>
                    <w:rFonts w:hint="eastAsia" w:ascii="Cambria Math" w:hAnsi="Cambria Math" w:eastAsia="仿宋" w:cs="仿宋"/>
                    <w:i/>
                    <w:color w:val="auto"/>
                    <w:sz w:val="28"/>
                    <w:szCs w:val="28"/>
                    <w:highlight w:val="none"/>
                  </w:rPr>
                </m:ctrlPr>
              </m:naryPr>
              <m:sub>
                <m:r>
                  <m:rPr/>
                  <w:rPr>
                    <w:rFonts w:hint="eastAsia" w:ascii="Cambria Math" w:hAnsi="Cambria Math" w:eastAsia="仿宋" w:cs="仿宋"/>
                    <w:color w:val="auto"/>
                    <w:sz w:val="28"/>
                    <w:szCs w:val="28"/>
                    <w:highlight w:val="none"/>
                  </w:rPr>
                  <m:t>i=1</m:t>
                </m:r>
                <m:ctrlPr>
                  <w:rPr>
                    <w:rFonts w:hint="eastAsia" w:ascii="Cambria Math" w:hAnsi="Cambria Math" w:eastAsia="仿宋" w:cs="仿宋"/>
                    <w:i/>
                    <w:color w:val="auto"/>
                    <w:sz w:val="28"/>
                    <w:szCs w:val="28"/>
                    <w:highlight w:val="none"/>
                  </w:rPr>
                </m:ctrlPr>
              </m:sub>
              <m:sup>
                <m:r>
                  <m:rPr/>
                  <w:rPr>
                    <w:rFonts w:hint="eastAsia" w:ascii="Cambria Math" w:hAnsi="Cambria Math" w:eastAsia="仿宋" w:cs="仿宋"/>
                    <w:color w:val="auto"/>
                    <w:sz w:val="28"/>
                    <w:szCs w:val="28"/>
                    <w:highlight w:val="none"/>
                  </w:rPr>
                  <m:t>n</m:t>
                </m:r>
                <m:ctrlPr>
                  <w:rPr>
                    <w:rFonts w:hint="eastAsia" w:ascii="Cambria Math" w:hAnsi="Cambria Math" w:eastAsia="仿宋" w:cs="仿宋"/>
                    <w:i/>
                    <w:color w:val="auto"/>
                    <w:sz w:val="28"/>
                    <w:szCs w:val="28"/>
                    <w:highlight w:val="none"/>
                  </w:rPr>
                </m:ctrlPr>
              </m:sup>
              <m:e>
                <m:sSup>
                  <m:sSupPr>
                    <m:ctrlPr>
                      <w:rPr>
                        <w:rFonts w:hint="eastAsia" w:ascii="Cambria Math" w:hAnsi="Cambria Math" w:eastAsia="仿宋" w:cs="仿宋"/>
                        <w:i/>
                        <w:color w:val="auto"/>
                        <w:sz w:val="28"/>
                        <w:szCs w:val="28"/>
                        <w:highlight w:val="none"/>
                      </w:rPr>
                    </m:ctrlPr>
                  </m:sSupPr>
                  <m:e>
                    <m:r>
                      <m:rPr>
                        <m:sty m:val="p"/>
                      </m:rPr>
                      <w:rPr>
                        <w:rFonts w:hint="eastAsia" w:ascii="Cambria Math" w:hAnsi="Cambria Math" w:eastAsia="仿宋" w:cs="仿宋"/>
                        <w:color w:val="auto"/>
                        <w:sz w:val="28"/>
                        <w:szCs w:val="28"/>
                        <w:highlight w:val="none"/>
                      </w:rPr>
                      <m:t>（n</m:t>
                    </m:r>
                    <m:sSub>
                      <m:sSubPr>
                        <m:ctrlPr>
                          <w:rPr>
                            <w:rFonts w:hint="eastAsia" w:ascii="Cambria Math" w:hAnsi="Cambria Math" w:eastAsia="仿宋" w:cs="仿宋"/>
                            <w:color w:val="auto"/>
                            <w:sz w:val="28"/>
                            <w:szCs w:val="28"/>
                            <w:highlight w:val="none"/>
                          </w:rPr>
                        </m:ctrlPr>
                      </m:sSubPr>
                      <m:e>
                        <m:r>
                          <m:rPr>
                            <m:sty m:val="p"/>
                          </m:rPr>
                          <w:rPr>
                            <w:rFonts w:hint="eastAsia" w:ascii="Cambria Math" w:hAnsi="Cambria Math" w:eastAsia="仿宋" w:cs="仿宋"/>
                            <w:color w:val="auto"/>
                            <w:sz w:val="28"/>
                            <w:szCs w:val="28"/>
                            <w:highlight w:val="none"/>
                          </w:rPr>
                          <m:t>W</m:t>
                        </m:r>
                        <m:ctrlPr>
                          <w:rPr>
                            <w:rFonts w:hint="eastAsia" w:ascii="Cambria Math" w:hAnsi="Cambria Math" w:eastAsia="仿宋" w:cs="仿宋"/>
                            <w:color w:val="auto"/>
                            <w:sz w:val="28"/>
                            <w:szCs w:val="28"/>
                            <w:highlight w:val="none"/>
                          </w:rPr>
                        </m:ctrlPr>
                      </m:e>
                      <m:sub>
                        <m:r>
                          <m:rPr/>
                          <w:rPr>
                            <w:rFonts w:hint="eastAsia" w:ascii="Cambria Math" w:hAnsi="Cambria Math" w:eastAsia="仿宋" w:cs="仿宋"/>
                            <w:color w:val="auto"/>
                            <w:sz w:val="28"/>
                            <w:szCs w:val="28"/>
                            <w:highlight w:val="none"/>
                          </w:rPr>
                          <m:t>i</m:t>
                        </m:r>
                        <m:ctrlPr>
                          <w:rPr>
                            <w:rFonts w:hint="eastAsia" w:ascii="Cambria Math" w:hAnsi="Cambria Math" w:eastAsia="仿宋" w:cs="仿宋"/>
                            <w:color w:val="auto"/>
                            <w:sz w:val="28"/>
                            <w:szCs w:val="28"/>
                            <w:highlight w:val="none"/>
                          </w:rPr>
                        </m:ctrlPr>
                      </m:sub>
                    </m:sSub>
                    <m:r>
                      <m:rPr/>
                      <w:rPr>
                        <w:rFonts w:hint="eastAsia" w:ascii="Cambria Math" w:hAnsi="Cambria Math" w:eastAsia="仿宋" w:cs="仿宋"/>
                        <w:color w:val="auto"/>
                        <w:sz w:val="28"/>
                        <w:szCs w:val="28"/>
                        <w:highlight w:val="none"/>
                      </w:rPr>
                      <m:t>∙</m:t>
                    </m:r>
                    <m:sSub>
                      <m:sSubPr>
                        <m:ctrlPr>
                          <w:rPr>
                            <w:rFonts w:hint="eastAsia" w:ascii="Cambria Math" w:hAnsi="Cambria Math" w:eastAsia="仿宋" w:cs="仿宋"/>
                            <w:color w:val="auto"/>
                            <w:sz w:val="28"/>
                            <w:szCs w:val="28"/>
                            <w:highlight w:val="none"/>
                          </w:rPr>
                        </m:ctrlPr>
                      </m:sSubPr>
                      <m:e>
                        <m:acc>
                          <m:accPr>
                            <m:chr m:val="̅"/>
                            <m:ctrlPr>
                              <w:rPr>
                                <w:rFonts w:hint="eastAsia" w:ascii="Cambria Math" w:hAnsi="Cambria Math" w:eastAsia="仿宋" w:cs="仿宋"/>
                                <w:i/>
                                <w:color w:val="auto"/>
                                <w:sz w:val="28"/>
                                <w:szCs w:val="28"/>
                                <w:highlight w:val="none"/>
                              </w:rPr>
                            </m:ctrlPr>
                          </m:accPr>
                          <m:e>
                            <m:r>
                              <m:rPr/>
                              <w:rPr>
                                <w:rFonts w:hint="eastAsia" w:ascii="Cambria Math" w:hAnsi="Cambria Math" w:eastAsia="仿宋" w:cs="仿宋"/>
                                <w:color w:val="auto"/>
                                <w:sz w:val="28"/>
                                <w:szCs w:val="28"/>
                                <w:highlight w:val="none"/>
                              </w:rPr>
                              <m:t>E</m:t>
                            </m:r>
                            <m:ctrlPr>
                              <w:rPr>
                                <w:rFonts w:hint="eastAsia" w:ascii="Cambria Math" w:hAnsi="Cambria Math" w:eastAsia="仿宋" w:cs="仿宋"/>
                                <w:i/>
                                <w:color w:val="auto"/>
                                <w:sz w:val="28"/>
                                <w:szCs w:val="28"/>
                                <w:highlight w:val="none"/>
                              </w:rPr>
                            </m:ctrlPr>
                          </m:e>
                        </m:acc>
                        <m:ctrlPr>
                          <w:rPr>
                            <w:rFonts w:hint="eastAsia" w:ascii="Cambria Math" w:hAnsi="Cambria Math" w:eastAsia="仿宋" w:cs="仿宋"/>
                            <w:color w:val="auto"/>
                            <w:sz w:val="28"/>
                            <w:szCs w:val="28"/>
                            <w:highlight w:val="none"/>
                          </w:rPr>
                        </m:ctrlPr>
                      </m:e>
                      <m:sub>
                        <m:r>
                          <m:rPr/>
                          <w:rPr>
                            <w:rFonts w:hint="eastAsia" w:ascii="Cambria Math" w:hAnsi="Cambria Math" w:eastAsia="仿宋" w:cs="仿宋"/>
                            <w:color w:val="auto"/>
                            <w:sz w:val="28"/>
                            <w:szCs w:val="28"/>
                            <w:highlight w:val="none"/>
                          </w:rPr>
                          <m:t>ij</m:t>
                        </m:r>
                        <m:ctrlPr>
                          <w:rPr>
                            <w:rFonts w:hint="eastAsia" w:ascii="Cambria Math" w:hAnsi="Cambria Math" w:eastAsia="仿宋" w:cs="仿宋"/>
                            <w:color w:val="auto"/>
                            <w:sz w:val="28"/>
                            <w:szCs w:val="28"/>
                            <w:highlight w:val="none"/>
                          </w:rPr>
                        </m:ctrlPr>
                      </m:sub>
                    </m:sSub>
                    <m:r>
                      <m:rPr>
                        <m:sty m:val="p"/>
                      </m:rPr>
                      <w:rPr>
                        <w:rFonts w:hint="eastAsia" w:ascii="Cambria Math" w:hAnsi="Cambria Math" w:eastAsia="仿宋" w:cs="仿宋"/>
                        <w:color w:val="auto"/>
                        <w:sz w:val="28"/>
                        <w:szCs w:val="28"/>
                        <w:highlight w:val="none"/>
                      </w:rPr>
                      <m:t>）</m:t>
                    </m:r>
                    <m:ctrlPr>
                      <w:rPr>
                        <w:rFonts w:hint="eastAsia" w:ascii="Cambria Math" w:hAnsi="Cambria Math" w:eastAsia="仿宋" w:cs="仿宋"/>
                        <w:i/>
                        <w:color w:val="auto"/>
                        <w:sz w:val="28"/>
                        <w:szCs w:val="28"/>
                        <w:highlight w:val="none"/>
                      </w:rPr>
                    </m:ctrlPr>
                  </m:e>
                  <m:sup>
                    <m:r>
                      <m:rPr/>
                      <w:rPr>
                        <w:rFonts w:hint="eastAsia" w:ascii="Cambria Math" w:hAnsi="Cambria Math" w:eastAsia="仿宋" w:cs="仿宋"/>
                        <w:color w:val="auto"/>
                        <w:sz w:val="28"/>
                        <w:szCs w:val="28"/>
                        <w:highlight w:val="none"/>
                      </w:rPr>
                      <m:t>2</m:t>
                    </m:r>
                    <m:ctrlPr>
                      <w:rPr>
                        <w:rFonts w:hint="eastAsia" w:ascii="Cambria Math" w:hAnsi="Cambria Math" w:eastAsia="仿宋" w:cs="仿宋"/>
                        <w:i/>
                        <w:color w:val="auto"/>
                        <w:sz w:val="28"/>
                        <w:szCs w:val="28"/>
                        <w:highlight w:val="none"/>
                      </w:rPr>
                    </m:ctrlPr>
                  </m:sup>
                </m:sSup>
                <m:ctrlPr>
                  <w:rPr>
                    <w:rFonts w:hint="eastAsia" w:ascii="Cambria Math" w:hAnsi="Cambria Math" w:eastAsia="仿宋" w:cs="仿宋"/>
                    <w:i/>
                    <w:color w:val="auto"/>
                    <w:sz w:val="28"/>
                    <w:szCs w:val="28"/>
                    <w:highlight w:val="none"/>
                  </w:rPr>
                </m:ctrlPr>
              </m:e>
            </m:nary>
            <m:ctrlPr>
              <w:rPr>
                <w:rFonts w:hint="eastAsia" w:ascii="Cambria Math" w:hAnsi="Cambria Math" w:eastAsia="仿宋" w:cs="仿宋"/>
                <w:color w:val="auto"/>
                <w:sz w:val="28"/>
                <w:szCs w:val="28"/>
                <w:highlight w:val="none"/>
              </w:rPr>
            </m:ctrlPr>
          </m:e>
        </m:rad>
      </m:oMath>
    </w:p>
    <w:p>
      <w:pPr>
        <w:spacing w:line="360" w:lineRule="auto"/>
        <w:ind w:firstLine="560" w:firstLineChars="200"/>
        <w:rPr>
          <w:color w:val="auto"/>
          <w:sz w:val="24"/>
          <w:highlight w:val="none"/>
        </w:rPr>
      </w:pPr>
      <w:r>
        <w:rPr>
          <w:rFonts w:hint="eastAsia" w:ascii="仿宋" w:hAnsi="仿宋" w:eastAsia="仿宋" w:cs="仿宋"/>
          <w:color w:val="auto"/>
          <w:sz w:val="28"/>
          <w:szCs w:val="28"/>
          <w:highlight w:val="none"/>
        </w:rPr>
        <w:t>式中，|</w:t>
      </w:r>
      <m:oMath>
        <m:sSub>
          <m:sSubPr>
            <m:ctrlPr>
              <w:rPr>
                <w:rFonts w:hint="eastAsia" w:ascii="Cambria Math" w:hAnsi="Cambria Math" w:eastAsia="仿宋" w:cs="仿宋"/>
                <w:color w:val="auto"/>
                <w:sz w:val="28"/>
                <w:szCs w:val="28"/>
                <w:highlight w:val="none"/>
              </w:rPr>
            </m:ctrlPr>
          </m:sSubPr>
          <m:e>
            <m:acc>
              <m:accPr>
                <m:chr m:val="̅"/>
                <m:ctrlPr>
                  <w:rPr>
                    <w:rFonts w:hint="eastAsia" w:ascii="Cambria Math" w:hAnsi="Cambria Math" w:eastAsia="仿宋" w:cs="仿宋"/>
                    <w:color w:val="auto"/>
                    <w:sz w:val="28"/>
                    <w:szCs w:val="28"/>
                    <w:highlight w:val="none"/>
                  </w:rPr>
                </m:ctrlPr>
              </m:accPr>
              <m:e>
                <m:r>
                  <m:rPr>
                    <m:sty m:val="p"/>
                  </m:rPr>
                  <w:rPr>
                    <w:rFonts w:hint="eastAsia" w:ascii="Cambria Math" w:hAnsi="Cambria Math" w:eastAsia="仿宋" w:cs="仿宋"/>
                    <w:color w:val="auto"/>
                    <w:sz w:val="28"/>
                    <w:szCs w:val="28"/>
                    <w:highlight w:val="none"/>
                  </w:rPr>
                  <m:t>E</m:t>
                </m:r>
                <m:ctrlPr>
                  <w:rPr>
                    <w:rFonts w:hint="eastAsia" w:ascii="Cambria Math" w:hAnsi="Cambria Math" w:eastAsia="仿宋" w:cs="仿宋"/>
                    <w:color w:val="auto"/>
                    <w:sz w:val="28"/>
                    <w:szCs w:val="28"/>
                    <w:highlight w:val="none"/>
                  </w:rPr>
                </m:ctrlPr>
              </m:e>
            </m:acc>
            <m:ctrlPr>
              <w:rPr>
                <w:rFonts w:hint="eastAsia" w:ascii="Cambria Math" w:hAnsi="Cambria Math" w:eastAsia="仿宋" w:cs="仿宋"/>
                <w:color w:val="auto"/>
                <w:sz w:val="28"/>
                <w:szCs w:val="28"/>
                <w:highlight w:val="none"/>
              </w:rPr>
            </m:ctrlPr>
          </m:e>
          <m:sub>
            <m:r>
              <m:rPr>
                <m:sty m:val="p"/>
              </m:rPr>
              <w:rPr>
                <w:rFonts w:hint="eastAsia" w:ascii="Cambria Math" w:hAnsi="Cambria Math" w:eastAsia="仿宋" w:cs="仿宋"/>
                <w:color w:val="auto"/>
                <w:sz w:val="28"/>
                <w:szCs w:val="28"/>
                <w:highlight w:val="none"/>
              </w:rPr>
              <m:t>j</m:t>
            </m:r>
            <m:ctrlPr>
              <w:rPr>
                <w:rFonts w:hint="eastAsia" w:ascii="Cambria Math" w:hAnsi="Cambria Math" w:eastAsia="仿宋" w:cs="仿宋"/>
                <w:color w:val="auto"/>
                <w:sz w:val="28"/>
                <w:szCs w:val="28"/>
                <w:highlight w:val="none"/>
              </w:rPr>
            </m:ctrlPr>
          </m:sub>
        </m:sSub>
      </m:oMath>
      <w:r>
        <w:rPr>
          <w:rFonts w:hint="eastAsia" w:ascii="仿宋" w:hAnsi="仿宋" w:eastAsia="仿宋" w:cs="仿宋"/>
          <w:color w:val="auto"/>
          <w:sz w:val="28"/>
          <w:szCs w:val="28"/>
          <w:highlight w:val="none"/>
        </w:rPr>
        <w:t>|代表第j个水环境承载力综合评价值，n代表评价指标数目，n = 11，</w:t>
      </w:r>
      <m:oMath>
        <m:sSub>
          <m:sSubPr>
            <m:ctrlPr>
              <w:rPr>
                <w:rFonts w:hint="eastAsia" w:ascii="Cambria Math" w:hAnsi="Cambria Math" w:eastAsia="仿宋" w:cs="仿宋"/>
                <w:color w:val="auto"/>
                <w:sz w:val="28"/>
                <w:szCs w:val="28"/>
                <w:highlight w:val="none"/>
              </w:rPr>
            </m:ctrlPr>
          </m:sSubPr>
          <m:e>
            <m:r>
              <m:rPr>
                <m:sty m:val="p"/>
              </m:rPr>
              <w:rPr>
                <w:rFonts w:hint="eastAsia" w:ascii="Cambria Math" w:hAnsi="Cambria Math" w:eastAsia="仿宋" w:cs="仿宋"/>
                <w:color w:val="auto"/>
                <w:sz w:val="28"/>
                <w:szCs w:val="28"/>
                <w:highlight w:val="none"/>
              </w:rPr>
              <m:t>W</m:t>
            </m:r>
            <m:ctrlPr>
              <w:rPr>
                <w:rFonts w:hint="eastAsia" w:ascii="Cambria Math" w:hAnsi="Cambria Math" w:eastAsia="仿宋" w:cs="仿宋"/>
                <w:color w:val="auto"/>
                <w:sz w:val="28"/>
                <w:szCs w:val="28"/>
                <w:highlight w:val="none"/>
              </w:rPr>
            </m:ctrlPr>
          </m:e>
          <m:sub>
            <m:r>
              <m:rPr>
                <m:sty m:val="p"/>
              </m:rPr>
              <w:rPr>
                <w:rFonts w:hint="eastAsia" w:ascii="Cambria Math" w:hAnsi="Cambria Math" w:eastAsia="仿宋" w:cs="仿宋"/>
                <w:color w:val="auto"/>
                <w:sz w:val="28"/>
                <w:szCs w:val="28"/>
                <w:highlight w:val="none"/>
              </w:rPr>
              <m:t>i</m:t>
            </m:r>
            <m:ctrlPr>
              <w:rPr>
                <w:rFonts w:hint="eastAsia" w:ascii="Cambria Math" w:hAnsi="Cambria Math" w:eastAsia="仿宋" w:cs="仿宋"/>
                <w:color w:val="auto"/>
                <w:sz w:val="28"/>
                <w:szCs w:val="28"/>
                <w:highlight w:val="none"/>
              </w:rPr>
            </m:ctrlPr>
          </m:sub>
        </m:sSub>
      </m:oMath>
      <w:r>
        <w:rPr>
          <w:rFonts w:hint="eastAsia" w:ascii="仿宋" w:hAnsi="仿宋" w:eastAsia="仿宋" w:cs="仿宋"/>
          <w:color w:val="auto"/>
          <w:sz w:val="28"/>
          <w:szCs w:val="28"/>
          <w:highlight w:val="none"/>
        </w:rPr>
        <w:t>代表第i个评价指标权重。</w:t>
      </w:r>
    </w:p>
    <w:p>
      <w:pPr>
        <w:pStyle w:val="5"/>
        <w:spacing w:line="360" w:lineRule="auto"/>
        <w:rPr>
          <w:rFonts w:ascii="仿宋" w:hAnsi="仿宋" w:eastAsia="仿宋" w:cs="仿宋"/>
          <w:b/>
          <w:bCs/>
          <w:color w:val="auto"/>
          <w:szCs w:val="24"/>
          <w:highlight w:val="none"/>
        </w:rPr>
      </w:pPr>
      <w:bookmarkStart w:id="14" w:name="_Ref152006313"/>
      <w:r>
        <w:rPr>
          <w:rFonts w:hint="eastAsia" w:ascii="仿宋" w:hAnsi="仿宋" w:eastAsia="仿宋" w:cs="仿宋"/>
          <w:b/>
          <w:bCs/>
          <w:color w:val="auto"/>
          <w:szCs w:val="24"/>
          <w:highlight w:val="none"/>
        </w:rPr>
        <w:t xml:space="preserve">表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表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2</w:t>
      </w:r>
      <w:r>
        <w:rPr>
          <w:rFonts w:hint="eastAsia" w:ascii="仿宋" w:hAnsi="仿宋" w:eastAsia="仿宋" w:cs="仿宋"/>
          <w:b/>
          <w:bCs/>
          <w:color w:val="auto"/>
          <w:szCs w:val="24"/>
          <w:highlight w:val="none"/>
        </w:rPr>
        <w:fldChar w:fldCharType="end"/>
      </w:r>
      <w:bookmarkEnd w:id="14"/>
      <w:r>
        <w:rPr>
          <w:rFonts w:hint="eastAsia" w:ascii="仿宋" w:hAnsi="仿宋" w:eastAsia="仿宋" w:cs="仿宋"/>
          <w:b/>
          <w:bCs/>
          <w:color w:val="auto"/>
          <w:szCs w:val="24"/>
          <w:highlight w:val="none"/>
        </w:rPr>
        <w:t xml:space="preserve"> 源城区水域承载力各指标归一化量值及综合评价值</w:t>
      </w:r>
    </w:p>
    <w:tbl>
      <w:tblPr>
        <w:tblStyle w:val="16"/>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8"/>
        <w:gridCol w:w="1171"/>
        <w:gridCol w:w="1292"/>
        <w:gridCol w:w="1171"/>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指标</w:t>
            </w:r>
          </w:p>
        </w:tc>
        <w:tc>
          <w:tcPr>
            <w:tcW w:w="1171" w:type="dxa"/>
            <w:shd w:val="clear" w:color="auto" w:fill="auto"/>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2014</w:t>
            </w:r>
          </w:p>
        </w:tc>
        <w:tc>
          <w:tcPr>
            <w:tcW w:w="1292" w:type="dxa"/>
            <w:shd w:val="clear" w:color="auto" w:fill="auto"/>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2015</w:t>
            </w:r>
          </w:p>
        </w:tc>
        <w:tc>
          <w:tcPr>
            <w:tcW w:w="1171" w:type="dxa"/>
            <w:shd w:val="clear" w:color="auto" w:fill="auto"/>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2016</w:t>
            </w:r>
          </w:p>
        </w:tc>
        <w:tc>
          <w:tcPr>
            <w:tcW w:w="1171" w:type="dxa"/>
            <w:shd w:val="clear" w:color="auto" w:fill="auto"/>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常住人口（万人）</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0.249</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0.250</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0.250</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人均GDP（万元）</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0.221</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0.238</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0.263</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农业总产值（亿元）</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0.272</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0.261</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0.232</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渔业产值（亿元）</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0.267</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0.250</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0.242</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森林覆盖率（——）</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0.248</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0.250</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0.251</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水资源总量（亿立方米）</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0.201</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0.245</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0.357</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降水量（毫米）</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0.198</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0.253</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0.346</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水库蓄水总量（亿立方米）</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0.226</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0.239</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0.276</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全年总用水量（亿立方米）</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0.246</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0.253</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0.244</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万元地区生产总值用水量（立方米）</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0.221</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0.238</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0.255</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城市污水处理能力（万吨）</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0.239</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0.239</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0.239</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shd w:val="clear" w:color="auto" w:fill="auto"/>
            <w:vAlign w:val="center"/>
          </w:tcPr>
          <w:p>
            <w:pPr>
              <w:jc w:val="center"/>
              <w:rPr>
                <w:rFonts w:ascii="仿宋" w:hAnsi="仿宋" w:eastAsia="仿宋" w:cs="仿宋"/>
                <w:b/>
                <w:color w:val="auto"/>
                <w:sz w:val="24"/>
                <w:highlight w:val="none"/>
              </w:rPr>
            </w:pPr>
            <w:r>
              <w:rPr>
                <w:rFonts w:hint="eastAsia" w:ascii="仿宋" w:hAnsi="仿宋" w:eastAsia="仿宋" w:cs="仿宋"/>
                <w:bCs/>
                <w:color w:val="auto"/>
                <w:sz w:val="24"/>
                <w:highlight w:val="none"/>
              </w:rPr>
              <w:t>水域环境承载力综合评价值</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0.833</w:t>
            </w:r>
          </w:p>
        </w:tc>
        <w:tc>
          <w:tcPr>
            <w:tcW w:w="1292"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0.859</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0.938</w:t>
            </w:r>
          </w:p>
        </w:tc>
        <w:tc>
          <w:tcPr>
            <w:tcW w:w="1171" w:type="dxa"/>
            <w:shd w:val="clear" w:color="auto" w:fill="auto"/>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0.856</w:t>
            </w:r>
          </w:p>
        </w:tc>
      </w:tr>
    </w:tbl>
    <w:p>
      <w:pPr>
        <w:shd w:val="clear" w:color="auto" w:fill="FFFFFF"/>
        <w:adjustRightInd w:val="0"/>
        <w:snapToGrid w:val="0"/>
        <w:spacing w:beforeLines="50" w:line="360" w:lineRule="auto"/>
        <w:ind w:firstLine="560" w:firstLineChars="200"/>
        <w:rPr>
          <w:rFonts w:ascii="宋体" w:hAnsi="宋体" w:cs="宋体"/>
          <w:b/>
          <w:bCs/>
          <w:color w:val="auto"/>
          <w:sz w:val="28"/>
          <w:szCs w:val="28"/>
          <w:highlight w:val="none"/>
        </w:rPr>
      </w:pPr>
      <w:r>
        <w:rPr>
          <w:rFonts w:hint="eastAsia" w:ascii="仿宋" w:hAnsi="仿宋" w:eastAsia="仿宋" w:cs="仿宋"/>
          <w:color w:val="auto"/>
          <w:kern w:val="0"/>
          <w:sz w:val="28"/>
          <w:szCs w:val="28"/>
          <w:highlight w:val="none"/>
        </w:rPr>
        <w:t>结果可见，近几年源城区水域承载力综合评价值均处于较高水平，水域承载力平均值为0.871。影响水环境承载力变化的关键指标因子包括，降水量、水库蓄水总量、人均GDP等指标。</w:t>
      </w:r>
    </w:p>
    <w:p>
      <w:pPr>
        <w:pStyle w:val="2"/>
        <w:numPr>
          <w:ilvl w:val="0"/>
          <w:numId w:val="0"/>
        </w:numPr>
        <w:spacing w:beforeLines="50" w:afterLines="50" w:line="360" w:lineRule="auto"/>
        <w:jc w:val="center"/>
        <w:rPr>
          <w:rFonts w:ascii="宋体" w:hAnsi="宋体" w:cs="宋体"/>
          <w:b/>
          <w:color w:val="auto"/>
          <w:szCs w:val="28"/>
          <w:highlight w:val="none"/>
        </w:rPr>
      </w:pPr>
      <w:bookmarkStart w:id="15" w:name="_Toc29405"/>
      <w:r>
        <w:rPr>
          <w:rFonts w:hint="eastAsia" w:ascii="times new roam" w:hAnsi="times new roam" w:eastAsia="仿宋" w:cs="黑体"/>
          <w:b/>
          <w:color w:val="auto"/>
          <w:kern w:val="2"/>
          <w:sz w:val="30"/>
          <w:szCs w:val="30"/>
          <w:highlight w:val="none"/>
        </w:rPr>
        <w:t>第七节 水产养殖产业发展分析</w:t>
      </w:r>
      <w:bookmarkEnd w:id="15"/>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16" w:name="_Toc20156"/>
      <w:r>
        <w:rPr>
          <w:rFonts w:hint="eastAsia" w:ascii="times new roam" w:hAnsi="times new roam" w:eastAsia="仿宋" w:cs="黑体"/>
          <w:b/>
          <w:color w:val="auto"/>
          <w:kern w:val="2"/>
          <w:sz w:val="30"/>
          <w:szCs w:val="30"/>
          <w:highlight w:val="none"/>
        </w:rPr>
        <w:t>第一条 水产养殖发展现状</w:t>
      </w:r>
      <w:bookmarkEnd w:id="16"/>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全区2017年水产品总产量1176吨。其中淡水捕捞产量66吨，淡水鱼类捕捞量占据绝对优势（见</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REF _Ref152006441 \h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图 2</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）；水产养殖面积251 公顷，水产品总产量1110 吨，产值1014万元。主要的养殖方式为池塘养殖与水库养殖。其中池塘养殖面积为231 公顷，中小型水库的大水面半精养面积约为100 公顷。主要养殖品种有草鱼、鲢鱼、鳙鱼、罗非鱼、鲫鱼、鳊鱼、鲇鱼、鲈鱼和罗非鱼等（见</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REF _Ref152006590 \h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图 3</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），另还有鲟鱼、鳗鲡、青虾、短盖巨脂鲤等特色品种。全区现有休闲渔业面积已达2</w:t>
      </w:r>
      <w:r>
        <w:rPr>
          <w:rFonts w:ascii="仿宋" w:hAnsi="仿宋" w:eastAsia="仿宋" w:cs="仿宋"/>
          <w:color w:val="auto"/>
          <w:kern w:val="0"/>
          <w:sz w:val="28"/>
          <w:szCs w:val="28"/>
          <w:highlight w:val="none"/>
        </w:rPr>
        <w:t>6</w:t>
      </w:r>
      <w:r>
        <w:rPr>
          <w:rFonts w:hint="eastAsia" w:ascii="仿宋" w:hAnsi="仿宋" w:eastAsia="仿宋" w:cs="仿宋"/>
          <w:color w:val="auto"/>
          <w:kern w:val="0"/>
          <w:sz w:val="28"/>
          <w:szCs w:val="28"/>
          <w:highlight w:val="none"/>
        </w:rPr>
        <w:t>公顷以上，主要以生产经营和休闲垂钓两种形式为主，其利润是常规养殖的2倍以上，休闲渔业已成为源城区渔业的一个亮点。</w:t>
      </w:r>
    </w:p>
    <w:p>
      <w:pPr>
        <w:shd w:val="clear" w:color="auto" w:fill="FFFFFF"/>
        <w:adjustRightInd w:val="0"/>
        <w:snapToGrid w:val="0"/>
        <w:jc w:val="center"/>
        <w:rPr>
          <w:rFonts w:ascii="仿宋" w:hAnsi="仿宋" w:eastAsia="仿宋" w:cs="仿宋"/>
          <w:color w:val="auto"/>
          <w:kern w:val="0"/>
          <w:sz w:val="28"/>
          <w:szCs w:val="28"/>
          <w:highlight w:val="none"/>
        </w:rPr>
      </w:pPr>
      <w:r>
        <w:rPr>
          <w:rFonts w:hint="eastAsia" w:ascii="仿宋" w:hAnsi="仿宋" w:eastAsia="仿宋" w:cs="仿宋"/>
          <w:b/>
          <w:bCs/>
          <w:color w:val="auto"/>
          <w:sz w:val="24"/>
          <w:highlight w:val="none"/>
        </w:rPr>
        <w:drawing>
          <wp:inline distT="0" distB="0" distL="114300" distR="114300">
            <wp:extent cx="3599815" cy="1995805"/>
            <wp:effectExtent l="0" t="0" r="635" b="444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5"/>
        <w:spacing w:line="360" w:lineRule="auto"/>
        <w:rPr>
          <w:rFonts w:ascii="仿宋" w:hAnsi="仿宋" w:eastAsia="仿宋" w:cs="仿宋"/>
          <w:b/>
          <w:bCs/>
          <w:color w:val="auto"/>
          <w:szCs w:val="24"/>
          <w:highlight w:val="none"/>
        </w:rPr>
      </w:pPr>
      <w:bookmarkStart w:id="17" w:name="_Ref152006441"/>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REF _Ref152006441 \h </w:instrText>
      </w:r>
      <w:r>
        <w:rPr>
          <w:rFonts w:hint="eastAsia" w:ascii="仿宋" w:hAnsi="仿宋" w:eastAsia="仿宋" w:cs="仿宋"/>
          <w:b/>
          <w:bCs/>
          <w:color w:val="auto"/>
          <w:szCs w:val="24"/>
          <w:highlight w:val="none"/>
        </w:rPr>
        <w:fldChar w:fldCharType="end"/>
      </w:r>
      <w:r>
        <w:rPr>
          <w:rFonts w:hint="eastAsia" w:ascii="仿宋" w:hAnsi="仿宋" w:eastAsia="仿宋" w:cs="仿宋"/>
          <w:b/>
          <w:bCs/>
          <w:color w:val="auto"/>
          <w:szCs w:val="24"/>
          <w:highlight w:val="none"/>
        </w:rPr>
        <w:t xml:space="preserve">图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图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2</w:t>
      </w:r>
      <w:r>
        <w:rPr>
          <w:rFonts w:hint="eastAsia" w:ascii="仿宋" w:hAnsi="仿宋" w:eastAsia="仿宋" w:cs="仿宋"/>
          <w:b/>
          <w:bCs/>
          <w:color w:val="auto"/>
          <w:szCs w:val="24"/>
          <w:highlight w:val="none"/>
        </w:rPr>
        <w:fldChar w:fldCharType="end"/>
      </w:r>
      <w:bookmarkEnd w:id="17"/>
      <w:r>
        <w:rPr>
          <w:rFonts w:hint="eastAsia" w:ascii="仿宋" w:hAnsi="仿宋" w:eastAsia="仿宋" w:cs="仿宋"/>
          <w:b/>
          <w:bCs/>
          <w:color w:val="auto"/>
          <w:szCs w:val="24"/>
          <w:highlight w:val="none"/>
        </w:rPr>
        <w:t xml:space="preserve"> 2017年源城区淡水鱼捕捞产量</w:t>
      </w:r>
    </w:p>
    <w:p>
      <w:pPr>
        <w:spacing w:line="360" w:lineRule="auto"/>
        <w:ind w:firstLine="420" w:firstLineChars="200"/>
        <w:jc w:val="center"/>
        <w:rPr>
          <w:rFonts w:ascii="新宋体" w:hAnsi="新宋体" w:eastAsia="新宋体"/>
          <w:color w:val="auto"/>
          <w:sz w:val="28"/>
          <w:szCs w:val="28"/>
          <w:highlight w:val="none"/>
        </w:rPr>
      </w:pPr>
      <w:r>
        <w:rPr>
          <w:color w:val="auto"/>
          <w:highlight w:val="none"/>
        </w:rPr>
        <w:drawing>
          <wp:inline distT="0" distB="0" distL="114300" distR="114300">
            <wp:extent cx="4497070" cy="2538730"/>
            <wp:effectExtent l="0" t="0" r="17780" b="1397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5"/>
        <w:spacing w:line="360" w:lineRule="auto"/>
        <w:rPr>
          <w:rFonts w:ascii="仿宋" w:hAnsi="仿宋" w:eastAsia="仿宋" w:cs="仿宋"/>
          <w:b/>
          <w:bCs/>
          <w:color w:val="auto"/>
          <w:szCs w:val="24"/>
          <w:highlight w:val="none"/>
        </w:rPr>
      </w:pPr>
      <w:bookmarkStart w:id="18" w:name="_Ref152006590"/>
      <w:r>
        <w:rPr>
          <w:rFonts w:hint="eastAsia" w:ascii="仿宋" w:hAnsi="仿宋" w:eastAsia="仿宋" w:cs="仿宋"/>
          <w:b/>
          <w:bCs/>
          <w:color w:val="auto"/>
          <w:szCs w:val="24"/>
          <w:highlight w:val="none"/>
        </w:rPr>
        <w:t xml:space="preserve">图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图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3</w:t>
      </w:r>
      <w:r>
        <w:rPr>
          <w:rFonts w:hint="eastAsia" w:ascii="仿宋" w:hAnsi="仿宋" w:eastAsia="仿宋" w:cs="仿宋"/>
          <w:b/>
          <w:bCs/>
          <w:color w:val="auto"/>
          <w:szCs w:val="24"/>
          <w:highlight w:val="none"/>
        </w:rPr>
        <w:fldChar w:fldCharType="end"/>
      </w:r>
      <w:bookmarkEnd w:id="18"/>
      <w:r>
        <w:rPr>
          <w:rFonts w:hint="eastAsia" w:ascii="仿宋" w:hAnsi="仿宋" w:eastAsia="仿宋" w:cs="仿宋"/>
          <w:b/>
          <w:bCs/>
          <w:color w:val="auto"/>
          <w:szCs w:val="24"/>
          <w:highlight w:val="none"/>
        </w:rPr>
        <w:t xml:space="preserve"> 2017年源城区淡水鱼养殖产量</w:t>
      </w:r>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19" w:name="_Toc25243"/>
      <w:r>
        <w:rPr>
          <w:rFonts w:hint="eastAsia" w:ascii="times new roam" w:hAnsi="times new roam" w:eastAsia="仿宋" w:cs="黑体"/>
          <w:b/>
          <w:color w:val="auto"/>
          <w:kern w:val="2"/>
          <w:sz w:val="30"/>
          <w:szCs w:val="30"/>
          <w:highlight w:val="none"/>
        </w:rPr>
        <w:t>第二条 区域经济发展方向</w:t>
      </w:r>
      <w:bookmarkEnd w:id="19"/>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区位优越、环境优美。东与江东新区接壤，南至埔前镇，与博罗县石坝镇相邻，西面与东源县新港镇交界，北面与东源县仙塘镇相连。源城区处于经济发达的珠三角地区与贫困县山区的结合部。水产养殖以四大家鱼养殖为主，鲫鱼、罗非鱼、鲶鱼、鲈鱼、鳊鱼和鳗鱼及常规鱼为辅。2017年渔业经济总产值1943万元，其中渔业捕捞和养殖为1092万元，渔业流通和服务业851万元。渔业从业人员1001人，渔业专业从业人员291人，渔业纯收入318.93万元。人均收入11200元，全区经济社会保持平稳发展。</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根据《农业部关于加快推进渔业转方式调结构的指导意见》，未来河源渔业将持续推进“两减两提三转”，即着力减少养殖排放，减轻捕捞强度；大力提高渔民收入，提升质量安全水平；推动渔业发展由注重产量增长转到更加注重质量效益，由注重资源利用转到更加注重生态环境保护，由注重物质投入转到更加注重科技进步。</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进入新时代，源城区渔业发展将进一步摒弃传统注重产量和产值的发展模式，努力转变发展方式，优化养殖空间布局，促进养殖供给侧结构性改革，提升科技创新对养殖产业的支撑，推进特色养殖和休闲渔业发展，带动渔村振兴，打造现代化的渔业产业体系。</w:t>
      </w:r>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20" w:name="_Toc957"/>
      <w:r>
        <w:rPr>
          <w:rFonts w:hint="eastAsia" w:ascii="times new roam" w:hAnsi="times new roam" w:eastAsia="仿宋" w:cs="黑体"/>
          <w:b/>
          <w:color w:val="auto"/>
          <w:kern w:val="2"/>
          <w:sz w:val="30"/>
          <w:szCs w:val="30"/>
          <w:highlight w:val="none"/>
        </w:rPr>
        <w:t>第三条 水产养殖前景预测</w:t>
      </w:r>
      <w:bookmarkEnd w:id="20"/>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一、市场发展潜力</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优越的自然资源禀赋为水产养殖发展提供了良好条件。新丰江水库水源充沛，水质清新，为水产养殖进一步发展提供了有利条件。政策导向为水产养殖发展创造了良好的外部环境。中央和各级政府高度重视包括渔业在内的现代农业发展，出台了一系列政策，支持渔业结构调整和产业发展，并把水产养殖作为调整农业产业结构、增加渔农民收入的重要产业来抓，为水产养殖持续、稳定发展创造了良好的政策环境。巨大的消费市场是水产养殖发展的根本动力。水产品是消费者喜欢的菜篮子产品。随着我国经济的发展，人们生活水平的提高，食用安全、健康和无污染的品种多样、群众喜爱的水产品，已成了人们日常生活的必需，市场也迫切需求，这为地方特色养殖和无公害食品、绿色食品的生产和销售提供了一个空前有利的机会和无限广阔的市场。</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二、发展趋势</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充分发挥区域丰富的水资源优势和优良生态的条件，发展增殖渔业。根据水体特定的环境条件，通过人工增殖放流，增强水体自净能力，从而达到既保护水环境，又修复和维持水域生物多样性的目的。</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为提高经济效益和生态效益，转型升级池塘养殖。通过池塘整形、塘堤加固、进排水沟渠和管道改造，以及养殖设备升级等基础设施建设，提高池塘养殖产量，提高养殖效益，减轻养殖污染，并使养殖模式从传统模式向高效健康、生态养殖模式类型，最终实现水产养殖的生态化无公害生产。</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调整渔业产业结构。因地制宜发展名特优养殖品种和本地特色品种，养殖品种结构向名特优和高价值品种转型，提高特色养殖品种比重。</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依托自然风光优美、交通便利优势，发展休闲观光渔业。推广稻渔、稻虾、稻蟹和稻蛙等综合养殖模式，同时拓展科普展示、旅游观光、休闲体验、健康疗养和文化传承等综合功能，提升渔业经济效益、社会效益和生态效益。</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三、水产产业发展预测</w:t>
      </w:r>
    </w:p>
    <w:p>
      <w:pPr>
        <w:shd w:val="clear" w:color="auto" w:fill="FFFFFF"/>
        <w:adjustRightInd w:val="0"/>
        <w:snapToGrid w:val="0"/>
        <w:spacing w:line="360" w:lineRule="auto"/>
        <w:ind w:firstLine="560" w:firstLineChars="200"/>
        <w:rPr>
          <w:rFonts w:ascii="宋体" w:hAnsi="宋体" w:cs="宋体"/>
          <w:b/>
          <w:color w:val="auto"/>
          <w:sz w:val="28"/>
          <w:szCs w:val="28"/>
          <w:highlight w:val="none"/>
        </w:rPr>
      </w:pPr>
      <w:r>
        <w:rPr>
          <w:rFonts w:hint="eastAsia" w:ascii="仿宋" w:hAnsi="仿宋" w:eastAsia="仿宋" w:cs="仿宋"/>
          <w:color w:val="auto"/>
          <w:kern w:val="0"/>
          <w:sz w:val="28"/>
          <w:szCs w:val="28"/>
          <w:highlight w:val="none"/>
        </w:rPr>
        <w:t>随着水产养殖业的快速发展，养殖方式发生转变。即从传统数量增长型向质量效益增长型转变。节水、高效、生态、健康养殖模式将成为我区水产养殖业的主体。在新丰江水库等天然水域设立禁渔期、禁渔区，通过实施人工增殖放流等一系列水生生物资源的养护措施，使渔业资源衰退的状况得到了有效遏制，渔业生态建设成为生态文明建设作出积极贡献。</w:t>
      </w:r>
    </w:p>
    <w:p>
      <w:pPr>
        <w:pStyle w:val="2"/>
        <w:numPr>
          <w:ilvl w:val="0"/>
          <w:numId w:val="0"/>
        </w:numPr>
        <w:spacing w:beforeLines="50" w:afterLines="50" w:line="360" w:lineRule="auto"/>
        <w:jc w:val="center"/>
        <w:rPr>
          <w:color w:val="auto"/>
          <w:highlight w:val="none"/>
        </w:rPr>
      </w:pPr>
      <w:bookmarkStart w:id="21" w:name="_Toc20619"/>
      <w:r>
        <w:rPr>
          <w:rFonts w:hint="eastAsia" w:ascii="times new roam" w:hAnsi="times new roam" w:eastAsia="仿宋" w:cs="黑体"/>
          <w:b/>
          <w:color w:val="auto"/>
          <w:kern w:val="2"/>
          <w:sz w:val="30"/>
          <w:szCs w:val="30"/>
          <w:highlight w:val="none"/>
        </w:rPr>
        <w:t>第八节 养殖水域滩涂开发总体思路</w:t>
      </w:r>
      <w:bookmarkEnd w:id="21"/>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根据源城区水域滩涂承载力评价结果，以及对于水产养殖产业未来发展趋势，本规划提出，在坚持“绿色发展，科学发展”的理念引导下，以乡村振兴战略为引领，以满足人民对优质水产品和优美水域生态环境的需求为目标，围绕“稳定四大家鱼、保障市场供给、利用生态优势、突出地方特色、调整产品结构、力推工厂化养殖，培育休闲渔业、促进三产融合”的基本思路，稳定现有养殖区域，有效利用沼泽地和撂荒地，开发水产养殖面积，调整渔业产业结构，因地制宜发展名特优养殖品种，加快推广本地特色养殖品种育繁推一体化发展，推广综合养殖模式，升级改造养殖基础设施，加快运用现代化渔业设施装备，延伸水产养殖产业链条，发展当地特色休闲渔业，引导一二三产业融合发展的养殖水域开发总体思路。优化源城区禁止养殖区、限制养殖区和养殖区空间，促进养殖产业转型升级，推进三产融合发展和供给侧结构性改革，构建科学合理、集约高效、融合发展的现代养殖产业体系。</w:t>
      </w:r>
    </w:p>
    <w:p>
      <w:pP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pStyle w:val="2"/>
        <w:numPr>
          <w:ilvl w:val="0"/>
          <w:numId w:val="0"/>
        </w:numPr>
        <w:spacing w:beforeLines="50" w:afterLines="50" w:line="360" w:lineRule="auto"/>
        <w:jc w:val="center"/>
        <w:rPr>
          <w:color w:val="auto"/>
          <w:sz w:val="30"/>
          <w:szCs w:val="30"/>
          <w:highlight w:val="none"/>
        </w:rPr>
      </w:pPr>
      <w:bookmarkStart w:id="22" w:name="_Toc17974"/>
      <w:r>
        <w:rPr>
          <w:rFonts w:hint="eastAsia" w:ascii="仿宋" w:hAnsi="仿宋" w:eastAsia="仿宋" w:cs="仿宋"/>
          <w:b/>
          <w:bCs w:val="0"/>
          <w:color w:val="auto"/>
          <w:sz w:val="32"/>
          <w:szCs w:val="32"/>
          <w:highlight w:val="none"/>
        </w:rPr>
        <w:t>第三章 养殖水域滩涂功能区划</w:t>
      </w:r>
      <w:bookmarkEnd w:id="22"/>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规划中的水域滩涂指全区境内已进行水产养殖开发利用和尚未开发利用的所有水域滩涂。</w:t>
      </w:r>
    </w:p>
    <w:p>
      <w:pPr>
        <w:shd w:val="clear" w:color="auto" w:fill="FFFFFF"/>
        <w:adjustRightInd w:val="0"/>
        <w:snapToGrid w:val="0"/>
        <w:spacing w:line="360" w:lineRule="auto"/>
        <w:ind w:firstLine="560" w:firstLineChars="200"/>
        <w:rPr>
          <w:rFonts w:ascii="宋体" w:hAnsi="宋体" w:cs="宋体"/>
          <w:color w:val="auto"/>
          <w:sz w:val="24"/>
          <w:highlight w:val="none"/>
        </w:rPr>
      </w:pPr>
      <w:r>
        <w:rPr>
          <w:rFonts w:hint="eastAsia" w:ascii="仿宋" w:hAnsi="仿宋" w:eastAsia="仿宋" w:cs="仿宋"/>
          <w:color w:val="auto"/>
          <w:kern w:val="0"/>
          <w:sz w:val="28"/>
          <w:szCs w:val="28"/>
          <w:highlight w:val="none"/>
        </w:rPr>
        <w:t>根据《中华人民共和国渔业法》、《中华人民共和国环境保护法》、《中华人民共和国水污染防治法》、《广东省饮用水源水质保护条例》、农业部《养殖水域滩涂规划编制工作规范》等有关规定，结合源城区境内各水域的自然属性，将境内水域滩涂划分为禁止养殖区、限制养殖区、养殖区三个功能区域。</w:t>
      </w:r>
    </w:p>
    <w:p>
      <w:pPr>
        <w:pStyle w:val="2"/>
        <w:numPr>
          <w:ilvl w:val="0"/>
          <w:numId w:val="0"/>
        </w:numPr>
        <w:spacing w:beforeLines="50" w:afterLines="50" w:line="360" w:lineRule="auto"/>
        <w:jc w:val="center"/>
        <w:rPr>
          <w:color w:val="auto"/>
          <w:highlight w:val="none"/>
        </w:rPr>
      </w:pPr>
      <w:bookmarkStart w:id="23" w:name="_Toc510940140"/>
      <w:bookmarkStart w:id="24" w:name="_Toc19171"/>
      <w:r>
        <w:rPr>
          <w:rFonts w:hint="eastAsia" w:ascii="times new roam" w:hAnsi="times new roam" w:eastAsia="仿宋" w:cs="黑体"/>
          <w:b/>
          <w:color w:val="auto"/>
          <w:kern w:val="2"/>
          <w:sz w:val="30"/>
          <w:szCs w:val="30"/>
          <w:highlight w:val="none"/>
        </w:rPr>
        <w:t>第九节 功能区划概述</w:t>
      </w:r>
      <w:bookmarkEnd w:id="23"/>
      <w:bookmarkEnd w:id="24"/>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根据农业部《养殖水域滩涂规编制工作规范》（农渔发〔2016〕39 号）要求，并结合源城区水域滩涂资源、区域经济社会发展战略，将全区水域滩涂划分为三类：禁止养殖区（禁养区）、限制养殖区（限养区）、养殖区等三种功能区。</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一、禁止养殖区</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禁止养殖区指禁止任何单位和个人进行水产养殖的区域。</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1.禁止在饮用水水源地一级保护区、自然保护区核心区和缓冲区、国家级水产种质资源保护区核心区和未批准利用的河段等重点生态功能区开展水产养殖。</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2.禁止在港口、航道、行洪区、河道堤防安全保护区等公共设施安全区域开展水产养殖。</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3.禁止在有毒有害物质超过规定标准的水体开展水产养殖。</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4.法律法规规定的其他禁止从事水产养殖的区域。</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二、限制养殖区</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限制养殖区指在一定区域内，结合区域环境容量等环保要求，限定水产养殖规模和密度的区域。</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限制在饮用水水源二级保护区、自然保护区实验区和外围保护地带、国家级水产种质资源保护区实验区、风景名胜区、依法确定为开展旅游活动的可利用的河段及其周边水域等生态功能区开展水产养殖，在以上区域内进行水产养殖的应采取污染防治措施，污染物排放不得超过国家和地方规定的污染物排放标准。</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限制在重点湖泊水库及河道水域等公共自然水域开展网箱围栏养殖。重点湖泊水库饲养滤食性鱼类的网箱围栏总面积不超过水域面积的1%，饲养吃食性鱼类的网箱围栏总面积不超过水域面积的0.25%。各地应根据养殖水域滩涂生态保护实际需要确定重点湖泊水库，确定不高于农业部标准的本地区可养比例。</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3.未来规划建设用地内的水域。</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4.法律法规规定的其他限制养殖区。</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三、养殖区</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除禁养区、限养区以外的区域为养殖区。包括池塘养殖区、湖泊养殖区、水库养殖区和其他养殖区。池塘养殖包括普通池塘养殖和工厂化设施养殖等，湖泊水库养殖包括网箱养殖、围栏养殖和大水面生态养殖等，其他养殖包括稻田综合种养和低洼地养殖等。</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四、养殖水域开发和保护重点</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养殖水域滩涂规划重点开发禁养区、限养区以外适于水产养殖的水域滩涂。对生物多样性维护生态保护区、集中式饮用水水源保护区、城镇规划控制区、基本农田保护区等区域进行重点保护。</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禁养区和限养区要根据相关规划，实行动态调整，特别今后新增的自然保护区、饮用水水源保护区、风景名胜区、港口、航道、锚地等，应自动列入禁养区和限养区，而涉及部分调整的区域，如饮用水水源保护区等，可由原先的禁养区和限养区自动调整为养殖区。</w:t>
      </w:r>
    </w:p>
    <w:p>
      <w:pPr>
        <w:shd w:val="clear" w:color="auto" w:fill="FFFFFF"/>
        <w:adjustRightInd w:val="0"/>
        <w:snapToGrid w:val="0"/>
        <w:spacing w:line="360" w:lineRule="auto"/>
        <w:ind w:firstLine="560" w:firstLineChars="200"/>
        <w:rPr>
          <w:rFonts w:ascii="宋体" w:hAnsi="宋体" w:cs="宋体"/>
          <w:b/>
          <w:color w:val="auto"/>
          <w:sz w:val="28"/>
          <w:szCs w:val="28"/>
          <w:highlight w:val="none"/>
        </w:rPr>
      </w:pPr>
      <w:r>
        <w:rPr>
          <w:rFonts w:hint="eastAsia" w:ascii="仿宋" w:hAnsi="仿宋" w:eastAsia="仿宋" w:cs="仿宋"/>
          <w:color w:val="auto"/>
          <w:kern w:val="0"/>
          <w:sz w:val="28"/>
          <w:szCs w:val="28"/>
          <w:highlight w:val="none"/>
        </w:rPr>
        <w:t>在养殖区内从事水产养殖的，应当遵守国家有关环境保护管理的规定、遵循水产健康养殖和水产品质量安全管理的要求，开展水域环境和水产品质量安全影响评价，其污染防治措施和养殖废水排放应符合有关规定和要求。</w:t>
      </w:r>
    </w:p>
    <w:p>
      <w:pPr>
        <w:pStyle w:val="2"/>
        <w:numPr>
          <w:ilvl w:val="0"/>
          <w:numId w:val="0"/>
        </w:numPr>
        <w:spacing w:beforeLines="50" w:afterLines="50" w:line="360" w:lineRule="auto"/>
        <w:jc w:val="center"/>
        <w:rPr>
          <w:rFonts w:ascii="仿宋" w:hAnsi="仿宋" w:eastAsia="仿宋" w:cs="仿宋"/>
          <w:bCs w:val="0"/>
          <w:color w:val="auto"/>
          <w:kern w:val="0"/>
          <w:szCs w:val="28"/>
          <w:highlight w:val="none"/>
        </w:rPr>
      </w:pPr>
      <w:bookmarkStart w:id="25" w:name="_Toc24063"/>
      <w:r>
        <w:rPr>
          <w:rFonts w:hint="eastAsia" w:ascii="times new roam" w:hAnsi="times new roam" w:eastAsia="仿宋" w:cs="黑体"/>
          <w:b/>
          <w:color w:val="auto"/>
          <w:kern w:val="2"/>
          <w:sz w:val="30"/>
          <w:szCs w:val="30"/>
          <w:highlight w:val="none"/>
        </w:rPr>
        <w:t>第十节 禁止养殖区</w:t>
      </w:r>
      <w:bookmarkEnd w:id="25"/>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根据《中华人民共和国水法》、《水污染防治法》、《河道管理条例》、《中华人民共和国航道法》等法律法规，结合源城区流域水文特点、流域地形以及滩涂养殖现状，以环境承载力和养殖容量为基础，将源城区境内饮用水源保护区一级保护区，航道、自然保护区和城镇居民区内有水域分布的公园划为禁止养殖区，又称为禁养区，禁养区总面积为1761.5公顷，其中沟渠为27.0公顷，河流水面为800.8公顷，湖泊水面为18.3公顷，水库水面为540.0公顷，坑塘水面为117.2公顷，内陆滩涂为288.2公顷（见附表1）。</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一、禁养区类型</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1.饮用水源一级保护区</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位于源城区内的饮用水源一级保护区有河源市区新丰江饮用水源一级保护区、河源市区东江饮用水水源一级保护区、河源华嘉工业区东江饮用水水源一级保护区、源城区七礤水库饮用水源保护区和香车水库饮用水源保护区。饮用水水源保护区禁养区范围具体见</w:t>
      </w:r>
      <w:r>
        <w:rPr>
          <w:color w:val="auto"/>
          <w:highlight w:val="none"/>
        </w:rPr>
        <w:fldChar w:fldCharType="begin"/>
      </w:r>
      <w:r>
        <w:rPr>
          <w:color w:val="auto"/>
          <w:highlight w:val="none"/>
        </w:rPr>
        <w:instrText xml:space="preserve"> REF _Ref152053909 \h  \* MERGEFORMAT </w:instrText>
      </w:r>
      <w:r>
        <w:rPr>
          <w:color w:val="auto"/>
          <w:highlight w:val="none"/>
        </w:rPr>
        <w:fldChar w:fldCharType="separate"/>
      </w:r>
      <w:r>
        <w:rPr>
          <w:rFonts w:hint="eastAsia" w:ascii="仿宋" w:hAnsi="仿宋" w:eastAsia="仿宋" w:cs="仿宋"/>
          <w:color w:val="auto"/>
          <w:kern w:val="0"/>
          <w:sz w:val="28"/>
          <w:szCs w:val="28"/>
          <w:highlight w:val="none"/>
        </w:rPr>
        <w:t>表 3</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河源市区东江饮用水水源一级保护区和河源华嘉工业区东江饮用水水源一级保护区都位于东江干流，为计算方便，其水域面积计入东江干流。河源市区新丰江饮用水源一级保护区、源城区七礤水库饮用水源保护区和香车水库饮用水源保护区禁养区水域面积为</w:t>
      </w:r>
      <w:r>
        <w:rPr>
          <w:rFonts w:ascii="仿宋" w:hAnsi="仿宋" w:eastAsia="仿宋" w:cs="仿宋"/>
          <w:color w:val="auto"/>
          <w:kern w:val="0"/>
          <w:sz w:val="28"/>
          <w:szCs w:val="28"/>
          <w:highlight w:val="none"/>
        </w:rPr>
        <w:t>768.39</w:t>
      </w:r>
      <w:r>
        <w:rPr>
          <w:rFonts w:hint="eastAsia" w:ascii="仿宋" w:hAnsi="仿宋" w:eastAsia="仿宋" w:cs="仿宋"/>
          <w:color w:val="auto"/>
          <w:kern w:val="0"/>
          <w:sz w:val="28"/>
          <w:szCs w:val="28"/>
          <w:highlight w:val="none"/>
        </w:rPr>
        <w:t>公顷。</w:t>
      </w:r>
    </w:p>
    <w:p>
      <w:pPr>
        <w:pStyle w:val="5"/>
        <w:rPr>
          <w:rFonts w:ascii="仿宋" w:hAnsi="仿宋" w:eastAsia="仿宋" w:cs="仿宋"/>
          <w:b/>
          <w:bCs/>
          <w:color w:val="auto"/>
          <w:szCs w:val="24"/>
          <w:highlight w:val="none"/>
        </w:rPr>
        <w:sectPr>
          <w:footerReference r:id="rId4" w:type="default"/>
          <w:pgSz w:w="11906" w:h="16838"/>
          <w:pgMar w:top="1440" w:right="1803" w:bottom="1440" w:left="1803" w:header="851" w:footer="992" w:gutter="0"/>
          <w:pgNumType w:start="1"/>
          <w:cols w:space="720" w:num="1"/>
          <w:docGrid w:type="lines" w:linePitch="319" w:charSpace="0"/>
        </w:sectPr>
      </w:pPr>
      <w:bookmarkStart w:id="26" w:name="_Ref152053909"/>
    </w:p>
    <w:p>
      <w:pPr>
        <w:pStyle w:val="5"/>
        <w:spacing w:line="360" w:lineRule="auto"/>
        <w:rPr>
          <w:rFonts w:ascii="仿宋" w:hAnsi="仿宋" w:eastAsia="仿宋" w:cs="仿宋"/>
          <w:b/>
          <w:bCs/>
          <w:color w:val="auto"/>
          <w:szCs w:val="24"/>
          <w:highlight w:val="none"/>
        </w:rPr>
      </w:pPr>
      <w:r>
        <w:rPr>
          <w:rFonts w:hint="eastAsia" w:ascii="仿宋" w:hAnsi="仿宋" w:eastAsia="仿宋" w:cs="仿宋"/>
          <w:b/>
          <w:bCs/>
          <w:color w:val="auto"/>
          <w:szCs w:val="24"/>
          <w:highlight w:val="none"/>
        </w:rPr>
        <w:t xml:space="preserve">表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表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3</w:t>
      </w:r>
      <w:r>
        <w:rPr>
          <w:rFonts w:hint="eastAsia" w:ascii="仿宋" w:hAnsi="仿宋" w:eastAsia="仿宋" w:cs="仿宋"/>
          <w:b/>
          <w:bCs/>
          <w:color w:val="auto"/>
          <w:szCs w:val="24"/>
          <w:highlight w:val="none"/>
        </w:rPr>
        <w:fldChar w:fldCharType="end"/>
      </w:r>
      <w:bookmarkEnd w:id="26"/>
      <w:r>
        <w:rPr>
          <w:rFonts w:hint="eastAsia" w:ascii="仿宋" w:hAnsi="仿宋" w:eastAsia="仿宋" w:cs="仿宋"/>
          <w:b/>
          <w:bCs/>
          <w:color w:val="auto"/>
          <w:szCs w:val="24"/>
          <w:highlight w:val="none"/>
        </w:rPr>
        <w:t xml:space="preserve"> 源城区饮用水源一级保护区</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2571"/>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17" w:type="dxa"/>
            <w:vAlign w:val="center"/>
          </w:tcPr>
          <w:p>
            <w:pPr>
              <w:pStyle w:val="26"/>
              <w:numPr>
                <w:ilvl w:val="0"/>
                <w:numId w:val="0"/>
              </w:numPr>
              <w:jc w:val="center"/>
              <w:rPr>
                <w:rFonts w:ascii="仿宋" w:hAnsi="仿宋" w:eastAsia="仿宋" w:cs="仿宋"/>
                <w:b/>
                <w:color w:val="auto"/>
                <w:sz w:val="24"/>
                <w:highlight w:val="none"/>
              </w:rPr>
            </w:pPr>
            <w:r>
              <w:rPr>
                <w:rFonts w:hint="eastAsia" w:ascii="仿宋" w:hAnsi="仿宋" w:eastAsia="仿宋" w:cs="仿宋"/>
                <w:b/>
                <w:caps/>
                <w:color w:val="auto"/>
                <w:sz w:val="24"/>
                <w:highlight w:val="none"/>
              </w:rPr>
              <w:t>保护区名称和级别</w:t>
            </w:r>
          </w:p>
        </w:tc>
        <w:tc>
          <w:tcPr>
            <w:tcW w:w="2571" w:type="dxa"/>
            <w:vAlign w:val="center"/>
          </w:tcPr>
          <w:p>
            <w:pPr>
              <w:pStyle w:val="26"/>
              <w:numPr>
                <w:ilvl w:val="0"/>
                <w:numId w:val="0"/>
              </w:numPr>
              <w:jc w:val="center"/>
              <w:rPr>
                <w:rFonts w:ascii="仿宋" w:hAnsi="仿宋" w:eastAsia="仿宋" w:cs="仿宋"/>
                <w:b/>
                <w:color w:val="auto"/>
                <w:sz w:val="24"/>
                <w:highlight w:val="none"/>
              </w:rPr>
            </w:pPr>
            <w:r>
              <w:rPr>
                <w:rFonts w:hint="eastAsia" w:ascii="仿宋" w:hAnsi="仿宋" w:eastAsia="仿宋" w:cs="仿宋"/>
                <w:b/>
                <w:caps/>
                <w:color w:val="auto"/>
                <w:sz w:val="24"/>
                <w:highlight w:val="none"/>
              </w:rPr>
              <w:t>水域保护范围</w:t>
            </w:r>
          </w:p>
        </w:tc>
        <w:tc>
          <w:tcPr>
            <w:tcW w:w="3334" w:type="dxa"/>
            <w:vAlign w:val="center"/>
          </w:tcPr>
          <w:p>
            <w:pPr>
              <w:pStyle w:val="26"/>
              <w:numPr>
                <w:ilvl w:val="0"/>
                <w:numId w:val="0"/>
              </w:numPr>
              <w:jc w:val="center"/>
              <w:rPr>
                <w:rFonts w:ascii="仿宋" w:hAnsi="仿宋" w:eastAsia="仿宋" w:cs="仿宋"/>
                <w:b/>
                <w:color w:val="auto"/>
                <w:sz w:val="24"/>
                <w:highlight w:val="none"/>
              </w:rPr>
            </w:pPr>
            <w:r>
              <w:rPr>
                <w:rFonts w:hint="eastAsia" w:ascii="仿宋" w:hAnsi="仿宋" w:eastAsia="仿宋" w:cs="仿宋"/>
                <w:b/>
                <w:caps/>
                <w:color w:val="auto"/>
                <w:sz w:val="24"/>
                <w:highlight w:val="none"/>
              </w:rPr>
              <w:t>陆域保护范围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1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河源市区新丰江饮用水源一级保护区</w:t>
            </w:r>
          </w:p>
        </w:tc>
        <w:tc>
          <w:tcPr>
            <w:tcW w:w="257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新丰江水库大坝上游3500米（牛坑航标塔）至新丰江大坝的水域。</w:t>
            </w:r>
          </w:p>
        </w:tc>
        <w:tc>
          <w:tcPr>
            <w:tcW w:w="3334"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新丰江水库116米正常水位线相应一级保护区水域向陆纵深200米的集雨区。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1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河源市区东江饮用水水源一级保护区</w:t>
            </w:r>
          </w:p>
        </w:tc>
        <w:tc>
          <w:tcPr>
            <w:tcW w:w="257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河源市区东江自来水厂取水口上游1</w:t>
            </w:r>
            <w:r>
              <w:rPr>
                <w:rFonts w:ascii="仿宋" w:hAnsi="仿宋" w:eastAsia="仿宋" w:cs="仿宋"/>
                <w:color w:val="auto"/>
                <w:sz w:val="24"/>
                <w:highlight w:val="none"/>
              </w:rPr>
              <w:t>000</w:t>
            </w:r>
            <w:r>
              <w:rPr>
                <w:rFonts w:hint="eastAsia" w:ascii="仿宋" w:hAnsi="仿宋" w:eastAsia="仿宋" w:cs="仿宋"/>
                <w:color w:val="auto"/>
                <w:sz w:val="24"/>
                <w:highlight w:val="none"/>
              </w:rPr>
              <w:t>米至取水口下游5</w:t>
            </w:r>
            <w:r>
              <w:rPr>
                <w:rFonts w:ascii="仿宋" w:hAnsi="仿宋" w:eastAsia="仿宋" w:cs="仿宋"/>
                <w:color w:val="auto"/>
                <w:sz w:val="24"/>
                <w:highlight w:val="none"/>
              </w:rPr>
              <w:t>00</w:t>
            </w:r>
            <w:r>
              <w:rPr>
                <w:rFonts w:hint="eastAsia" w:ascii="仿宋" w:hAnsi="仿宋" w:eastAsia="仿宋" w:cs="仿宋"/>
                <w:color w:val="auto"/>
                <w:sz w:val="24"/>
                <w:highlight w:val="none"/>
              </w:rPr>
              <w:t>米河段的水域</w:t>
            </w:r>
          </w:p>
        </w:tc>
        <w:tc>
          <w:tcPr>
            <w:tcW w:w="3334"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相应一级保护区水域两岸向陆纵深5</w:t>
            </w:r>
            <w:r>
              <w:rPr>
                <w:rFonts w:ascii="仿宋" w:hAnsi="仿宋" w:eastAsia="仿宋" w:cs="仿宋"/>
                <w:color w:val="auto"/>
                <w:sz w:val="24"/>
                <w:highlight w:val="none"/>
              </w:rPr>
              <w:t>00</w:t>
            </w:r>
            <w:r>
              <w:rPr>
                <w:rFonts w:hint="eastAsia" w:ascii="仿宋" w:hAnsi="仿宋" w:eastAsia="仿宋" w:cs="仿宋"/>
                <w:color w:val="auto"/>
                <w:sz w:val="24"/>
                <w:highlight w:val="none"/>
              </w:rPr>
              <w:t>米的陆域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1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河源华嘉工业区东江饮用水水源一级保护区</w:t>
            </w:r>
          </w:p>
        </w:tc>
        <w:tc>
          <w:tcPr>
            <w:tcW w:w="257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华嘉自来水厂取水口（地名大水坝）上游1</w:t>
            </w:r>
            <w:r>
              <w:rPr>
                <w:rFonts w:ascii="仿宋" w:hAnsi="仿宋" w:eastAsia="仿宋" w:cs="仿宋"/>
                <w:color w:val="auto"/>
                <w:sz w:val="24"/>
                <w:highlight w:val="none"/>
              </w:rPr>
              <w:t>000</w:t>
            </w:r>
            <w:r>
              <w:rPr>
                <w:rFonts w:hint="eastAsia" w:ascii="仿宋" w:hAnsi="仿宋" w:eastAsia="仿宋" w:cs="仿宋"/>
                <w:color w:val="auto"/>
                <w:sz w:val="24"/>
                <w:highlight w:val="none"/>
              </w:rPr>
              <w:t>米至取水口下游5</w:t>
            </w:r>
            <w:r>
              <w:rPr>
                <w:rFonts w:ascii="仿宋" w:hAnsi="仿宋" w:eastAsia="仿宋" w:cs="仿宋"/>
                <w:color w:val="auto"/>
                <w:sz w:val="24"/>
                <w:highlight w:val="none"/>
              </w:rPr>
              <w:t>00</w:t>
            </w:r>
            <w:r>
              <w:rPr>
                <w:rFonts w:hint="eastAsia" w:ascii="仿宋" w:hAnsi="仿宋" w:eastAsia="仿宋" w:cs="仿宋"/>
                <w:color w:val="auto"/>
                <w:sz w:val="24"/>
                <w:highlight w:val="none"/>
              </w:rPr>
              <w:t>米河段的水域</w:t>
            </w:r>
          </w:p>
        </w:tc>
        <w:tc>
          <w:tcPr>
            <w:tcW w:w="3334"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相应一级保护区水域两岸向陆纵深5</w:t>
            </w:r>
            <w:r>
              <w:rPr>
                <w:rFonts w:ascii="仿宋" w:hAnsi="仿宋" w:eastAsia="仿宋" w:cs="仿宋"/>
                <w:color w:val="auto"/>
                <w:sz w:val="24"/>
                <w:highlight w:val="none"/>
              </w:rPr>
              <w:t>00</w:t>
            </w:r>
            <w:r>
              <w:rPr>
                <w:rFonts w:hint="eastAsia" w:ascii="仿宋" w:hAnsi="仿宋" w:eastAsia="仿宋" w:cs="仿宋"/>
                <w:color w:val="auto"/>
                <w:sz w:val="24"/>
                <w:highlight w:val="none"/>
              </w:rPr>
              <w:t>米的水域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1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源城区七礤水库饮用水源一级保护区</w:t>
            </w:r>
          </w:p>
        </w:tc>
        <w:tc>
          <w:tcPr>
            <w:tcW w:w="257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七礤水库全部水域。</w:t>
            </w:r>
          </w:p>
        </w:tc>
        <w:tc>
          <w:tcPr>
            <w:tcW w:w="3334"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七礤水库设计正常水位线向陆纵深5</w:t>
            </w:r>
            <w:r>
              <w:rPr>
                <w:rFonts w:ascii="仿宋" w:hAnsi="仿宋" w:eastAsia="仿宋" w:cs="仿宋"/>
                <w:color w:val="auto"/>
                <w:sz w:val="24"/>
                <w:highlight w:val="none"/>
              </w:rPr>
              <w:t>00</w:t>
            </w:r>
            <w:r>
              <w:rPr>
                <w:rFonts w:hint="eastAsia" w:ascii="仿宋" w:hAnsi="仿宋" w:eastAsia="仿宋" w:cs="仿宋"/>
                <w:color w:val="auto"/>
                <w:sz w:val="24"/>
                <w:highlight w:val="none"/>
              </w:rPr>
              <w:t>米集雨区。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1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香车水库饮用水源一级保护区</w:t>
            </w:r>
          </w:p>
        </w:tc>
        <w:tc>
          <w:tcPr>
            <w:tcW w:w="257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香车水库全部水域。</w:t>
            </w:r>
          </w:p>
        </w:tc>
        <w:tc>
          <w:tcPr>
            <w:tcW w:w="3334"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香车水库1</w:t>
            </w:r>
            <w:r>
              <w:rPr>
                <w:rFonts w:ascii="仿宋" w:hAnsi="仿宋" w:eastAsia="仿宋" w:cs="仿宋"/>
                <w:color w:val="auto"/>
                <w:sz w:val="24"/>
                <w:highlight w:val="none"/>
              </w:rPr>
              <w:t>16</w:t>
            </w:r>
            <w:r>
              <w:rPr>
                <w:rFonts w:hint="eastAsia" w:ascii="仿宋" w:hAnsi="仿宋" w:eastAsia="仿宋" w:cs="仿宋"/>
                <w:color w:val="auto"/>
                <w:sz w:val="24"/>
                <w:highlight w:val="none"/>
              </w:rPr>
              <w:t>米正常水位线相应一级保护区水域向陆纵深2</w:t>
            </w:r>
            <w:r>
              <w:rPr>
                <w:rFonts w:ascii="仿宋" w:hAnsi="仿宋" w:eastAsia="仿宋" w:cs="仿宋"/>
                <w:color w:val="auto"/>
                <w:sz w:val="24"/>
                <w:highlight w:val="none"/>
              </w:rPr>
              <w:t>00</w:t>
            </w:r>
            <w:r>
              <w:rPr>
                <w:rFonts w:hint="eastAsia" w:ascii="仿宋" w:hAnsi="仿宋" w:eastAsia="仿宋" w:cs="仿宋"/>
                <w:color w:val="auto"/>
                <w:sz w:val="24"/>
                <w:highlight w:val="none"/>
              </w:rPr>
              <w:t>米的集雨区；香车水库相应一级保护区水域两岸向陆纵深2</w:t>
            </w:r>
            <w:r>
              <w:rPr>
                <w:rFonts w:ascii="仿宋" w:hAnsi="仿宋" w:eastAsia="仿宋" w:cs="仿宋"/>
                <w:color w:val="auto"/>
                <w:sz w:val="24"/>
                <w:highlight w:val="none"/>
              </w:rPr>
              <w:t>00</w:t>
            </w:r>
            <w:r>
              <w:rPr>
                <w:rFonts w:hint="eastAsia" w:ascii="仿宋" w:hAnsi="仿宋" w:eastAsia="仿宋" w:cs="仿宋"/>
                <w:color w:val="auto"/>
                <w:sz w:val="24"/>
                <w:highlight w:val="none"/>
              </w:rPr>
              <w:t>米的陆域区域。</w:t>
            </w:r>
          </w:p>
        </w:tc>
      </w:tr>
    </w:tbl>
    <w:p>
      <w:pPr>
        <w:shd w:val="clear" w:color="auto" w:fill="FFFFFF"/>
        <w:adjustRightInd w:val="0"/>
        <w:snapToGrid w:val="0"/>
        <w:spacing w:beforeLines="50"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2.航道</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源城区境内的主航道有新丰江干流和东江干流，以及东江一级支流埔前河和七礤河，列为禁养区。航道禁养区范围具体见</w:t>
      </w:r>
      <w:r>
        <w:rPr>
          <w:color w:val="auto"/>
          <w:highlight w:val="none"/>
        </w:rPr>
        <w:fldChar w:fldCharType="begin"/>
      </w:r>
      <w:r>
        <w:rPr>
          <w:color w:val="auto"/>
          <w:highlight w:val="none"/>
        </w:rPr>
        <w:instrText xml:space="preserve"> REF _Ref152053948 \h  \* MERGEFORMAT </w:instrText>
      </w:r>
      <w:r>
        <w:rPr>
          <w:color w:val="auto"/>
          <w:highlight w:val="none"/>
        </w:rPr>
        <w:fldChar w:fldCharType="separate"/>
      </w:r>
      <w:r>
        <w:rPr>
          <w:rFonts w:hint="eastAsia" w:ascii="仿宋" w:hAnsi="仿宋" w:eastAsia="仿宋" w:cs="仿宋"/>
          <w:color w:val="auto"/>
          <w:kern w:val="0"/>
          <w:sz w:val="28"/>
          <w:szCs w:val="28"/>
          <w:highlight w:val="none"/>
        </w:rPr>
        <w:t>表 4</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，水域面积为</w:t>
      </w:r>
      <w:r>
        <w:rPr>
          <w:rFonts w:ascii="仿宋" w:hAnsi="仿宋" w:eastAsia="仿宋" w:cs="仿宋"/>
          <w:color w:val="auto"/>
          <w:kern w:val="0"/>
          <w:sz w:val="28"/>
          <w:szCs w:val="28"/>
          <w:highlight w:val="none"/>
        </w:rPr>
        <w:t>1107.9</w:t>
      </w:r>
      <w:r>
        <w:rPr>
          <w:rFonts w:hint="eastAsia" w:ascii="仿宋" w:hAnsi="仿宋" w:eastAsia="仿宋" w:cs="仿宋"/>
          <w:color w:val="auto"/>
          <w:kern w:val="0"/>
          <w:sz w:val="28"/>
          <w:szCs w:val="28"/>
          <w:highlight w:val="none"/>
        </w:rPr>
        <w:t>公顷。</w:t>
      </w:r>
    </w:p>
    <w:p>
      <w:pPr>
        <w:pStyle w:val="5"/>
        <w:spacing w:line="360" w:lineRule="auto"/>
        <w:rPr>
          <w:rFonts w:ascii="仿宋" w:hAnsi="仿宋" w:eastAsia="仿宋" w:cs="仿宋"/>
          <w:b/>
          <w:bCs/>
          <w:color w:val="auto"/>
          <w:szCs w:val="24"/>
          <w:highlight w:val="none"/>
        </w:rPr>
      </w:pPr>
      <w:bookmarkStart w:id="27" w:name="_Ref152053948"/>
      <w:r>
        <w:rPr>
          <w:rFonts w:hint="eastAsia" w:ascii="仿宋" w:hAnsi="仿宋" w:eastAsia="仿宋" w:cs="仿宋"/>
          <w:b/>
          <w:bCs/>
          <w:color w:val="auto"/>
          <w:szCs w:val="24"/>
          <w:highlight w:val="none"/>
        </w:rPr>
        <w:t xml:space="preserve">表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表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4</w:t>
      </w:r>
      <w:r>
        <w:rPr>
          <w:rFonts w:hint="eastAsia" w:ascii="仿宋" w:hAnsi="仿宋" w:eastAsia="仿宋" w:cs="仿宋"/>
          <w:b/>
          <w:bCs/>
          <w:color w:val="auto"/>
          <w:szCs w:val="24"/>
          <w:highlight w:val="none"/>
        </w:rPr>
        <w:fldChar w:fldCharType="end"/>
      </w:r>
      <w:bookmarkEnd w:id="27"/>
      <w:r>
        <w:rPr>
          <w:rFonts w:hint="eastAsia" w:ascii="仿宋" w:hAnsi="仿宋" w:eastAsia="仿宋" w:cs="仿宋"/>
          <w:b/>
          <w:bCs/>
          <w:color w:val="auto"/>
          <w:szCs w:val="24"/>
          <w:highlight w:val="none"/>
        </w:rPr>
        <w:t xml:space="preserve"> 源城区航道</w:t>
      </w:r>
    </w:p>
    <w:tbl>
      <w:tblPr>
        <w:tblStyle w:val="17"/>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5529"/>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5529"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涉及水体及禁养区范围</w:t>
            </w:r>
          </w:p>
        </w:tc>
        <w:tc>
          <w:tcPr>
            <w:tcW w:w="1745"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水域面积（hm</w:t>
            </w:r>
            <w:r>
              <w:rPr>
                <w:rFonts w:hint="eastAsia" w:ascii="仿宋" w:hAnsi="仿宋" w:eastAsia="仿宋" w:cs="仿宋"/>
                <w:b/>
                <w:bCs/>
                <w:color w:val="auto"/>
                <w:sz w:val="24"/>
                <w:highlight w:val="none"/>
                <w:vertAlign w:val="superscript"/>
              </w:rPr>
              <w:t>2</w:t>
            </w:r>
            <w:r>
              <w:rPr>
                <w:rFonts w:hint="eastAsia" w:ascii="仿宋" w:hAnsi="仿宋" w:eastAsia="仿宋" w:cs="仿宋"/>
                <w:b/>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9"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新丰江干流及两侧各</w:t>
            </w:r>
            <w:r>
              <w:rPr>
                <w:rFonts w:ascii="仿宋" w:hAnsi="仿宋" w:eastAsia="仿宋" w:cs="仿宋"/>
                <w:color w:val="auto"/>
                <w:sz w:val="24"/>
                <w:highlight w:val="none"/>
              </w:rPr>
              <w:t>2</w:t>
            </w:r>
            <w:r>
              <w:rPr>
                <w:rFonts w:hint="eastAsia" w:ascii="仿宋" w:hAnsi="仿宋" w:eastAsia="仿宋" w:cs="仿宋"/>
                <w:color w:val="auto"/>
                <w:sz w:val="24"/>
                <w:highlight w:val="none"/>
              </w:rPr>
              <w:t>00米以内的区域</w:t>
            </w:r>
          </w:p>
        </w:tc>
        <w:tc>
          <w:tcPr>
            <w:tcW w:w="174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9"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东江干流及其两侧各</w:t>
            </w:r>
            <w:r>
              <w:rPr>
                <w:rFonts w:ascii="仿宋" w:hAnsi="仿宋" w:eastAsia="仿宋" w:cs="仿宋"/>
                <w:color w:val="auto"/>
                <w:sz w:val="24"/>
                <w:highlight w:val="none"/>
              </w:rPr>
              <w:t>2</w:t>
            </w:r>
            <w:r>
              <w:rPr>
                <w:rFonts w:hint="eastAsia" w:ascii="仿宋" w:hAnsi="仿宋" w:eastAsia="仿宋" w:cs="仿宋"/>
                <w:color w:val="auto"/>
                <w:sz w:val="24"/>
                <w:highlight w:val="none"/>
              </w:rPr>
              <w:t>00米以内的区域</w:t>
            </w:r>
          </w:p>
        </w:tc>
        <w:tc>
          <w:tcPr>
            <w:tcW w:w="174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9"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东江一级支流埔前河</w:t>
            </w:r>
          </w:p>
        </w:tc>
        <w:tc>
          <w:tcPr>
            <w:tcW w:w="1745" w:type="dxa"/>
            <w:vAlign w:val="center"/>
          </w:tcPr>
          <w:p>
            <w:pPr>
              <w:jc w:val="center"/>
              <w:rPr>
                <w:rFonts w:ascii="仿宋" w:hAnsi="仿宋" w:eastAsia="仿宋" w:cs="仿宋"/>
                <w:color w:val="auto"/>
                <w:sz w:val="24"/>
                <w:highlight w:val="none"/>
              </w:rPr>
            </w:pPr>
            <w:r>
              <w:rPr>
                <w:rFonts w:ascii="仿宋" w:hAnsi="仿宋" w:eastAsia="仿宋" w:cs="仿宋"/>
                <w:color w:val="auto"/>
                <w:sz w:val="24"/>
                <w:highlight w:val="none"/>
              </w:rPr>
              <w:t>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9"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东江一级支流七礤河</w:t>
            </w:r>
          </w:p>
        </w:tc>
        <w:tc>
          <w:tcPr>
            <w:tcW w:w="1745" w:type="dxa"/>
            <w:vAlign w:val="center"/>
          </w:tcPr>
          <w:p>
            <w:pPr>
              <w:jc w:val="center"/>
              <w:rPr>
                <w:rFonts w:ascii="仿宋" w:hAnsi="仿宋" w:eastAsia="仿宋" w:cs="仿宋"/>
                <w:color w:val="auto"/>
                <w:sz w:val="24"/>
                <w:highlight w:val="none"/>
              </w:rPr>
            </w:pPr>
            <w:r>
              <w:rPr>
                <w:rFonts w:ascii="仿宋" w:hAnsi="仿宋" w:eastAsia="仿宋" w:cs="仿宋"/>
                <w:color w:val="auto"/>
                <w:sz w:val="24"/>
                <w:highlight w:val="none"/>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6" w:type="dxa"/>
            <w:gridSpan w:val="2"/>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合计</w:t>
            </w:r>
          </w:p>
        </w:tc>
        <w:tc>
          <w:tcPr>
            <w:tcW w:w="174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107.9</w:t>
            </w:r>
          </w:p>
        </w:tc>
      </w:tr>
    </w:tbl>
    <w:p>
      <w:pPr>
        <w:shd w:val="clear" w:color="auto" w:fill="FFFFFF"/>
        <w:adjustRightInd w:val="0"/>
        <w:snapToGrid w:val="0"/>
        <w:spacing w:beforeLines="50"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3.自然保护区核心区和缓冲区</w:t>
      </w:r>
    </w:p>
    <w:p>
      <w:pPr>
        <w:shd w:val="clear" w:color="auto" w:fill="FFFFFF"/>
        <w:adjustRightInd w:val="0"/>
        <w:snapToGrid w:val="0"/>
        <w:spacing w:line="360" w:lineRule="auto"/>
        <w:ind w:firstLine="560" w:firstLineChars="200"/>
        <w:rPr>
          <w:rFonts w:ascii="仿宋" w:hAnsi="仿宋" w:eastAsia="仿宋" w:cs="仿宋"/>
          <w:b/>
          <w:bCs/>
          <w:color w:val="auto"/>
          <w:highlight w:val="none"/>
        </w:rPr>
      </w:pPr>
      <w:r>
        <w:rPr>
          <w:rFonts w:hint="eastAsia" w:ascii="仿宋" w:hAnsi="仿宋" w:eastAsia="仿宋" w:cs="仿宋"/>
          <w:color w:val="auto"/>
          <w:kern w:val="0"/>
          <w:sz w:val="28"/>
          <w:szCs w:val="28"/>
          <w:highlight w:val="none"/>
        </w:rPr>
        <w:t>源城区有2个自然保护区，为广东河源大桂山省级自然保护区和河源恐龙蛋化石自然保护区。自然保护区的具体范围见</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REF _Ref152007626 \h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表 5</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，面积为7216公顷，包含的水域主要为位于广东河源大桂山省级自然保护区实验区的新丰江水库和位于广东河源大桂山省级自然保护区缓冲区的埔前河上游河段（含老炉下水库），列为禁养区。</w:t>
      </w:r>
      <w:bookmarkStart w:id="28" w:name="_Ref152007626"/>
    </w:p>
    <w:p>
      <w:pPr>
        <w:pStyle w:val="5"/>
        <w:spacing w:line="360" w:lineRule="auto"/>
        <w:rPr>
          <w:rFonts w:ascii="仿宋" w:hAnsi="仿宋" w:eastAsia="仿宋" w:cs="仿宋"/>
          <w:b/>
          <w:bCs/>
          <w:color w:val="auto"/>
          <w:szCs w:val="24"/>
          <w:highlight w:val="none"/>
        </w:rPr>
      </w:pPr>
      <w:r>
        <w:rPr>
          <w:rFonts w:hint="eastAsia" w:ascii="仿宋" w:hAnsi="仿宋" w:eastAsia="仿宋" w:cs="仿宋"/>
          <w:b/>
          <w:bCs/>
          <w:color w:val="auto"/>
          <w:szCs w:val="24"/>
          <w:highlight w:val="none"/>
        </w:rPr>
        <w:t xml:space="preserve">表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表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5</w:t>
      </w:r>
      <w:r>
        <w:rPr>
          <w:rFonts w:hint="eastAsia" w:ascii="仿宋" w:hAnsi="仿宋" w:eastAsia="仿宋" w:cs="仿宋"/>
          <w:b/>
          <w:bCs/>
          <w:color w:val="auto"/>
          <w:szCs w:val="24"/>
          <w:highlight w:val="none"/>
        </w:rPr>
        <w:fldChar w:fldCharType="end"/>
      </w:r>
      <w:bookmarkEnd w:id="28"/>
      <w:r>
        <w:rPr>
          <w:rFonts w:hint="eastAsia" w:ascii="仿宋" w:hAnsi="仿宋" w:eastAsia="仿宋" w:cs="仿宋"/>
          <w:b/>
          <w:bCs/>
          <w:color w:val="auto"/>
          <w:szCs w:val="24"/>
          <w:highlight w:val="none"/>
        </w:rPr>
        <w:t xml:space="preserve"> 源城区自然保护区核心区和缓冲区</w:t>
      </w:r>
    </w:p>
    <w:tbl>
      <w:tblPr>
        <w:tblStyle w:val="1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5"/>
        <w:gridCol w:w="1812"/>
        <w:gridCol w:w="1050"/>
        <w:gridCol w:w="1263"/>
        <w:gridCol w:w="1550"/>
        <w:gridCol w:w="1214"/>
        <w:gridCol w:w="86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65" w:type="dxa"/>
            <w:tcBorders>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812" w:type="dxa"/>
            <w:tcBorders>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保护区名称</w:t>
            </w:r>
          </w:p>
        </w:tc>
        <w:tc>
          <w:tcPr>
            <w:tcW w:w="1050" w:type="dxa"/>
            <w:tcBorders>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地点</w:t>
            </w:r>
          </w:p>
        </w:tc>
        <w:tc>
          <w:tcPr>
            <w:tcW w:w="1263" w:type="dxa"/>
            <w:tcBorders>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自然保护区类型</w:t>
            </w:r>
          </w:p>
        </w:tc>
        <w:tc>
          <w:tcPr>
            <w:tcW w:w="1550" w:type="dxa"/>
            <w:tcBorders>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自然保护区面积（hm</w:t>
            </w:r>
            <w:r>
              <w:rPr>
                <w:rFonts w:hint="eastAsia" w:ascii="仿宋" w:hAnsi="仿宋" w:eastAsia="仿宋" w:cs="仿宋"/>
                <w:b/>
                <w:bCs/>
                <w:color w:val="auto"/>
                <w:sz w:val="24"/>
                <w:highlight w:val="none"/>
                <w:vertAlign w:val="superscript"/>
              </w:rPr>
              <w:t>2</w:t>
            </w:r>
            <w:r>
              <w:rPr>
                <w:rFonts w:hint="eastAsia" w:ascii="仿宋" w:hAnsi="仿宋" w:eastAsia="仿宋" w:cs="仿宋"/>
                <w:b/>
                <w:bCs/>
                <w:color w:val="auto"/>
                <w:sz w:val="24"/>
                <w:highlight w:val="none"/>
              </w:rPr>
              <w:t>）</w:t>
            </w:r>
          </w:p>
        </w:tc>
        <w:tc>
          <w:tcPr>
            <w:tcW w:w="1214" w:type="dxa"/>
            <w:tcBorders>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水域面积（hm</w:t>
            </w:r>
            <w:r>
              <w:rPr>
                <w:rFonts w:hint="eastAsia" w:ascii="仿宋" w:hAnsi="仿宋" w:eastAsia="仿宋" w:cs="仿宋"/>
                <w:b/>
                <w:bCs/>
                <w:color w:val="auto"/>
                <w:sz w:val="24"/>
                <w:highlight w:val="none"/>
                <w:vertAlign w:val="superscript"/>
              </w:rPr>
              <w:t>2</w:t>
            </w:r>
            <w:r>
              <w:rPr>
                <w:rFonts w:hint="eastAsia" w:ascii="仿宋" w:hAnsi="仿宋" w:eastAsia="仿宋" w:cs="仿宋"/>
                <w:b/>
                <w:bCs/>
                <w:color w:val="auto"/>
                <w:sz w:val="24"/>
                <w:highlight w:val="none"/>
              </w:rPr>
              <w:t>）</w:t>
            </w:r>
          </w:p>
        </w:tc>
        <w:tc>
          <w:tcPr>
            <w:tcW w:w="862" w:type="dxa"/>
            <w:tcBorders>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级别</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812" w:type="dxa"/>
            <w:tcBorders>
              <w:top w:val="single" w:color="auto" w:sz="4" w:space="0"/>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广东省河源大桂山省级自然保护区</w:t>
            </w:r>
          </w:p>
        </w:tc>
        <w:tc>
          <w:tcPr>
            <w:tcW w:w="1050" w:type="dxa"/>
            <w:tcBorders>
              <w:top w:val="single" w:color="auto" w:sz="4" w:space="0"/>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263" w:type="dxa"/>
            <w:tcBorders>
              <w:top w:val="single" w:color="auto" w:sz="4" w:space="0"/>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森林生态系统</w:t>
            </w:r>
          </w:p>
        </w:tc>
        <w:tc>
          <w:tcPr>
            <w:tcW w:w="1550" w:type="dxa"/>
            <w:tcBorders>
              <w:top w:val="single" w:color="auto" w:sz="4" w:space="0"/>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7086</w:t>
            </w:r>
          </w:p>
        </w:tc>
        <w:tc>
          <w:tcPr>
            <w:tcW w:w="1214" w:type="dxa"/>
            <w:tcBorders>
              <w:top w:val="single" w:color="auto" w:sz="4" w:space="0"/>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560.6</w:t>
            </w:r>
          </w:p>
        </w:tc>
        <w:tc>
          <w:tcPr>
            <w:tcW w:w="862" w:type="dxa"/>
            <w:tcBorders>
              <w:top w:val="single" w:color="auto" w:sz="4" w:space="0"/>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省级</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812" w:type="dxa"/>
            <w:tcBorders>
              <w:top w:val="single" w:color="auto" w:sz="4" w:space="0"/>
              <w:left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河源恐龙化石自然保护区</w:t>
            </w:r>
          </w:p>
        </w:tc>
        <w:tc>
          <w:tcPr>
            <w:tcW w:w="1050" w:type="dxa"/>
            <w:tcBorders>
              <w:top w:val="single" w:color="auto" w:sz="4" w:space="0"/>
              <w:left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263" w:type="dxa"/>
            <w:tcBorders>
              <w:top w:val="single" w:color="auto" w:sz="4" w:space="0"/>
              <w:left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古生物遗迹</w:t>
            </w:r>
          </w:p>
        </w:tc>
        <w:tc>
          <w:tcPr>
            <w:tcW w:w="1550" w:type="dxa"/>
            <w:tcBorders>
              <w:top w:val="single" w:color="auto" w:sz="4" w:space="0"/>
              <w:left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130</w:t>
            </w:r>
          </w:p>
        </w:tc>
        <w:tc>
          <w:tcPr>
            <w:tcW w:w="1214" w:type="dxa"/>
            <w:tcBorders>
              <w:top w:val="single" w:color="auto" w:sz="4" w:space="0"/>
              <w:left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862" w:type="dxa"/>
            <w:tcBorders>
              <w:top w:val="single" w:color="auto" w:sz="4" w:space="0"/>
              <w:left w:val="single" w:color="auto" w:sz="4" w:space="0"/>
              <w:right w:val="single" w:color="auto" w:sz="4" w:space="0"/>
            </w:tcBorders>
            <w:vAlign w:val="center"/>
          </w:tcPr>
          <w:p>
            <w:pPr>
              <w:pStyle w:val="26"/>
              <w:numPr>
                <w:ilvl w:val="0"/>
                <w:numId w:val="0"/>
              </w:numPr>
              <w:jc w:val="center"/>
              <w:rPr>
                <w:rFonts w:ascii="仿宋" w:hAnsi="仿宋" w:eastAsia="仿宋" w:cs="仿宋"/>
                <w:color w:val="auto"/>
                <w:sz w:val="24"/>
                <w:highlight w:val="none"/>
              </w:rPr>
            </w:pPr>
            <w:r>
              <w:rPr>
                <w:rFonts w:hint="eastAsia" w:ascii="仿宋" w:hAnsi="仿宋" w:eastAsia="仿宋" w:cs="仿宋"/>
                <w:color w:val="auto"/>
                <w:sz w:val="24"/>
                <w:highlight w:val="none"/>
              </w:rPr>
              <w:t>省级</w:t>
            </w:r>
          </w:p>
        </w:tc>
      </w:tr>
    </w:tbl>
    <w:p>
      <w:pPr>
        <w:shd w:val="clear" w:color="auto" w:fill="FFFFFF"/>
        <w:adjustRightInd w:val="0"/>
        <w:snapToGrid w:val="0"/>
        <w:spacing w:beforeLines="50"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4.城镇居民区内主要公园</w:t>
      </w:r>
    </w:p>
    <w:p>
      <w:pPr>
        <w:shd w:val="clear" w:color="auto" w:fill="FFFFFF"/>
        <w:adjustRightInd w:val="0"/>
        <w:snapToGrid w:val="0"/>
        <w:spacing w:line="360" w:lineRule="auto"/>
        <w:ind w:firstLine="560" w:firstLineChars="200"/>
        <w:rPr>
          <w:rFonts w:ascii="仿宋" w:hAnsi="仿宋" w:eastAsia="仿宋" w:cs="仿宋"/>
          <w:b/>
          <w:bCs/>
          <w:color w:val="auto"/>
          <w:sz w:val="24"/>
          <w:highlight w:val="none"/>
        </w:rPr>
      </w:pPr>
      <w:r>
        <w:rPr>
          <w:rFonts w:hint="eastAsia" w:ascii="仿宋" w:hAnsi="仿宋" w:eastAsia="仿宋" w:cs="仿宋"/>
          <w:color w:val="auto"/>
          <w:kern w:val="0"/>
          <w:sz w:val="28"/>
          <w:szCs w:val="28"/>
          <w:highlight w:val="none"/>
        </w:rPr>
        <w:t>源城区城镇居民区内有较大水面的公园2个，为鳄湖公园和客家文化公园。公园禁养区范围具体见</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REF _Ref152007635 \h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表 6</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，水域面积为17.7公顷，列为禁养区。</w:t>
      </w:r>
      <w:bookmarkStart w:id="29" w:name="_Ref152007635"/>
    </w:p>
    <w:p>
      <w:pPr>
        <w:pStyle w:val="5"/>
        <w:spacing w:line="360" w:lineRule="auto"/>
        <w:rPr>
          <w:rFonts w:ascii="仿宋" w:hAnsi="仿宋" w:eastAsia="仿宋" w:cs="仿宋"/>
          <w:b/>
          <w:bCs/>
          <w:color w:val="auto"/>
          <w:szCs w:val="24"/>
          <w:highlight w:val="none"/>
        </w:rPr>
      </w:pPr>
      <w:r>
        <w:rPr>
          <w:rFonts w:hint="eastAsia" w:ascii="仿宋" w:hAnsi="仿宋" w:eastAsia="仿宋" w:cs="仿宋"/>
          <w:b/>
          <w:bCs/>
          <w:color w:val="auto"/>
          <w:szCs w:val="24"/>
          <w:highlight w:val="none"/>
        </w:rPr>
        <w:t xml:space="preserve">表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表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6</w:t>
      </w:r>
      <w:r>
        <w:rPr>
          <w:rFonts w:hint="eastAsia" w:ascii="仿宋" w:hAnsi="仿宋" w:eastAsia="仿宋" w:cs="仿宋"/>
          <w:b/>
          <w:bCs/>
          <w:color w:val="auto"/>
          <w:szCs w:val="24"/>
          <w:highlight w:val="none"/>
        </w:rPr>
        <w:fldChar w:fldCharType="end"/>
      </w:r>
      <w:bookmarkEnd w:id="29"/>
      <w:r>
        <w:rPr>
          <w:rFonts w:hint="eastAsia" w:ascii="仿宋" w:hAnsi="仿宋" w:eastAsia="仿宋" w:cs="仿宋"/>
          <w:b/>
          <w:bCs/>
          <w:color w:val="auto"/>
          <w:szCs w:val="24"/>
          <w:highlight w:val="none"/>
        </w:rPr>
        <w:t xml:space="preserve"> 源城区城镇居民区内主要公园</w:t>
      </w:r>
    </w:p>
    <w:tbl>
      <w:tblPr>
        <w:tblStyle w:val="17"/>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984"/>
        <w:gridCol w:w="1657"/>
        <w:gridCol w:w="1705"/>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0" w:type="dxa"/>
            <w:tcBorders>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984" w:type="dxa"/>
            <w:tcBorders>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名称</w:t>
            </w:r>
          </w:p>
        </w:tc>
        <w:tc>
          <w:tcPr>
            <w:tcW w:w="1657" w:type="dxa"/>
            <w:tcBorders>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地点</w:t>
            </w:r>
          </w:p>
        </w:tc>
        <w:tc>
          <w:tcPr>
            <w:tcW w:w="1705" w:type="dxa"/>
            <w:tcBorders>
              <w:left w:val="single" w:color="auto" w:sz="4" w:space="0"/>
              <w:bottom w:val="single" w:color="auto" w:sz="4" w:space="0"/>
              <w:right w:val="single" w:color="auto" w:sz="4" w:space="0"/>
            </w:tcBorders>
          </w:tcPr>
          <w:p>
            <w:pPr>
              <w:spacing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面积（hm</w:t>
            </w:r>
            <w:r>
              <w:rPr>
                <w:rFonts w:hint="eastAsia" w:ascii="仿宋" w:hAnsi="仿宋" w:eastAsia="仿宋" w:cs="仿宋"/>
                <w:b/>
                <w:bCs/>
                <w:color w:val="auto"/>
                <w:sz w:val="24"/>
                <w:highlight w:val="none"/>
                <w:vertAlign w:val="superscript"/>
              </w:rPr>
              <w:t>2</w:t>
            </w:r>
            <w:r>
              <w:rPr>
                <w:rFonts w:hint="eastAsia" w:ascii="仿宋" w:hAnsi="仿宋" w:eastAsia="仿宋" w:cs="仿宋"/>
                <w:b/>
                <w:bCs/>
                <w:color w:val="auto"/>
                <w:sz w:val="24"/>
                <w:highlight w:val="none"/>
              </w:rPr>
              <w:t>）</w:t>
            </w:r>
          </w:p>
        </w:tc>
        <w:tc>
          <w:tcPr>
            <w:tcW w:w="2057" w:type="dxa"/>
            <w:tcBorders>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水域面积（hm</w:t>
            </w:r>
            <w:r>
              <w:rPr>
                <w:rFonts w:hint="eastAsia" w:ascii="仿宋" w:hAnsi="仿宋" w:eastAsia="仿宋" w:cs="仿宋"/>
                <w:b/>
                <w:bCs/>
                <w:color w:val="auto"/>
                <w:sz w:val="24"/>
                <w:highlight w:val="none"/>
                <w:vertAlign w:val="superscript"/>
              </w:rPr>
              <w:t>2</w:t>
            </w:r>
            <w:r>
              <w:rPr>
                <w:rFonts w:hint="eastAsia" w:ascii="仿宋" w:hAnsi="仿宋" w:eastAsia="仿宋" w:cs="仿宋"/>
                <w:b/>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鳄湖公园</w:t>
            </w:r>
          </w:p>
        </w:tc>
        <w:tc>
          <w:tcPr>
            <w:tcW w:w="16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70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0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0" w:type="dxa"/>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984" w:type="dxa"/>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客家文化公园</w:t>
            </w:r>
          </w:p>
        </w:tc>
        <w:tc>
          <w:tcPr>
            <w:tcW w:w="1657" w:type="dxa"/>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705" w:type="dxa"/>
            <w:tcBorders>
              <w:top w:val="single" w:color="auto" w:sz="4" w:space="0"/>
              <w:left w:val="single" w:color="auto" w:sz="4" w:space="0"/>
              <w:right w:val="single" w:color="auto" w:sz="4" w:space="0"/>
            </w:tcBorders>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130</w:t>
            </w:r>
          </w:p>
        </w:tc>
        <w:tc>
          <w:tcPr>
            <w:tcW w:w="2057" w:type="dxa"/>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5.3</w:t>
            </w:r>
          </w:p>
        </w:tc>
      </w:tr>
    </w:tbl>
    <w:p>
      <w:pPr>
        <w:shd w:val="clear" w:color="auto" w:fill="FFFFFF"/>
        <w:adjustRightInd w:val="0"/>
        <w:snapToGrid w:val="0"/>
        <w:spacing w:beforeLines="50"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二、管理措施</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禁养区内的水产养殖，由区人民政府及相关部门负责限期搬迁或关停；禁养区内划分前已有的水产养殖，搬迁或关停的造成养殖生产者的损失依法进行补偿，并妥善安置养殖渔民生产生活；加强渔政执法，查处禁养区内的违法养殖活动，强化社会监督。</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对该区水域实行最严格的保护，控制所在水域污染物实行总量减排，现有工业废水排放口应限期关闭，禁止新建排污口；大力发展生态绿色农业，开展农业面源污染物减排。</w:t>
      </w:r>
    </w:p>
    <w:p>
      <w:pPr>
        <w:shd w:val="clear" w:color="auto" w:fill="FFFFFF"/>
        <w:adjustRightInd w:val="0"/>
        <w:snapToGrid w:val="0"/>
        <w:spacing w:line="360" w:lineRule="auto"/>
        <w:ind w:firstLine="560" w:firstLineChars="200"/>
        <w:rPr>
          <w:rFonts w:ascii="宋体" w:hAnsi="宋体" w:cs="宋体"/>
          <w:color w:val="auto"/>
          <w:sz w:val="24"/>
          <w:highlight w:val="none"/>
        </w:rPr>
      </w:pPr>
      <w:r>
        <w:rPr>
          <w:rFonts w:hint="eastAsia" w:ascii="仿宋" w:hAnsi="仿宋" w:eastAsia="仿宋" w:cs="仿宋"/>
          <w:color w:val="auto"/>
          <w:kern w:val="0"/>
          <w:sz w:val="28"/>
          <w:szCs w:val="28"/>
          <w:highlight w:val="none"/>
        </w:rPr>
        <w:t>禁止养殖区内禁止新建、改建、扩建排放污染物的建设项目，已建成的排放污染物的建设项目，责令拆除或者关闭，禁止从事可能污染水体的活动；集中式饮用水水源地一级保护区禁止新建、改建、扩建与供水设施和保护水源无关的建设项目，已建成的与供水设施和保护水源无关的建设项目，责令拆除或关闭。</w:t>
      </w:r>
    </w:p>
    <w:p>
      <w:pPr>
        <w:pStyle w:val="2"/>
        <w:numPr>
          <w:ilvl w:val="0"/>
          <w:numId w:val="0"/>
        </w:numPr>
        <w:spacing w:beforeLines="50" w:afterLines="50" w:line="360" w:lineRule="auto"/>
        <w:jc w:val="center"/>
        <w:rPr>
          <w:rFonts w:ascii="仿宋" w:hAnsi="仿宋" w:eastAsia="仿宋" w:cs="仿宋"/>
          <w:bCs w:val="0"/>
          <w:color w:val="auto"/>
          <w:kern w:val="0"/>
          <w:szCs w:val="28"/>
          <w:highlight w:val="none"/>
        </w:rPr>
      </w:pPr>
      <w:bookmarkStart w:id="30" w:name="_Toc2737"/>
      <w:r>
        <w:rPr>
          <w:rFonts w:hint="eastAsia" w:ascii="times new roam" w:hAnsi="times new roam" w:eastAsia="仿宋" w:cs="黑体"/>
          <w:b/>
          <w:color w:val="auto"/>
          <w:kern w:val="2"/>
          <w:sz w:val="30"/>
          <w:szCs w:val="30"/>
          <w:highlight w:val="none"/>
        </w:rPr>
        <w:t>第十一节 限制养殖区</w:t>
      </w:r>
      <w:bookmarkEnd w:id="30"/>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限制养殖区又称限养区，指资源承载力较弱，并关系到较大范围内生态安全，或环境污染、损害、破坏较严重并急需修复与恢复，不适合于进行集中高强度开发的水域。</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一、限养区范围</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结合源城区流域特点及养殖现状，将饮用水源保护区二级保护区、县级森林公园和湿地公园，以及重要水体划为限养区。</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源城区东江河以西，及埔前河以北至东源县交界处内的非禁养区水域（包括但不限于松树坑山塘），埔前河以南区域的奶娘坑水库、鹿子底水库、禾丰坑水库和黄坝洞水库，大筒河（黄果沥）的河道和</w:t>
      </w:r>
      <w:bookmarkStart w:id="31" w:name="_Hlk151110123"/>
      <w:r>
        <w:rPr>
          <w:rFonts w:hint="eastAsia" w:ascii="仿宋" w:hAnsi="仿宋" w:eastAsia="仿宋" w:cs="仿宋"/>
          <w:color w:val="auto"/>
          <w:kern w:val="0"/>
          <w:sz w:val="28"/>
          <w:szCs w:val="28"/>
          <w:highlight w:val="none"/>
        </w:rPr>
        <w:t>陂角村</w:t>
      </w:r>
      <w:bookmarkEnd w:id="31"/>
      <w:r>
        <w:rPr>
          <w:rFonts w:hint="eastAsia" w:ascii="仿宋" w:hAnsi="仿宋" w:eastAsia="仿宋" w:cs="仿宋"/>
          <w:color w:val="auto"/>
          <w:kern w:val="0"/>
          <w:sz w:val="28"/>
          <w:szCs w:val="28"/>
          <w:highlight w:val="none"/>
        </w:rPr>
        <w:t>为限养区，限养区总面积为</w:t>
      </w:r>
      <w:r>
        <w:rPr>
          <w:rFonts w:ascii="仿宋" w:hAnsi="仿宋" w:eastAsia="仿宋" w:cs="仿宋"/>
          <w:color w:val="auto"/>
          <w:kern w:val="0"/>
          <w:sz w:val="28"/>
          <w:szCs w:val="28"/>
          <w:highlight w:val="none"/>
        </w:rPr>
        <w:t>378.0</w:t>
      </w:r>
      <w:r>
        <w:rPr>
          <w:rFonts w:hint="eastAsia" w:ascii="仿宋" w:hAnsi="仿宋" w:eastAsia="仿宋" w:cs="仿宋"/>
          <w:color w:val="auto"/>
          <w:kern w:val="0"/>
          <w:sz w:val="28"/>
          <w:szCs w:val="28"/>
          <w:highlight w:val="none"/>
        </w:rPr>
        <w:t>公顷，其中沟渠2</w:t>
      </w:r>
      <w:r>
        <w:rPr>
          <w:rFonts w:ascii="仿宋" w:hAnsi="仿宋" w:eastAsia="仿宋" w:cs="仿宋"/>
          <w:color w:val="auto"/>
          <w:kern w:val="0"/>
          <w:sz w:val="28"/>
          <w:szCs w:val="28"/>
          <w:highlight w:val="none"/>
        </w:rPr>
        <w:t>7.7</w:t>
      </w:r>
      <w:r>
        <w:rPr>
          <w:rFonts w:hint="eastAsia" w:ascii="仿宋" w:hAnsi="仿宋" w:eastAsia="仿宋" w:cs="仿宋"/>
          <w:color w:val="auto"/>
          <w:kern w:val="0"/>
          <w:sz w:val="28"/>
          <w:szCs w:val="28"/>
          <w:highlight w:val="none"/>
        </w:rPr>
        <w:t>公顷，湖泊水面</w:t>
      </w:r>
      <w:r>
        <w:rPr>
          <w:rFonts w:ascii="仿宋" w:hAnsi="仿宋" w:eastAsia="仿宋" w:cs="仿宋"/>
          <w:color w:val="auto"/>
          <w:kern w:val="0"/>
          <w:sz w:val="28"/>
          <w:szCs w:val="28"/>
          <w:highlight w:val="none"/>
        </w:rPr>
        <w:t>5.9</w:t>
      </w:r>
      <w:r>
        <w:rPr>
          <w:rFonts w:hint="eastAsia" w:ascii="仿宋" w:hAnsi="仿宋" w:eastAsia="仿宋" w:cs="仿宋"/>
          <w:color w:val="auto"/>
          <w:kern w:val="0"/>
          <w:sz w:val="28"/>
          <w:szCs w:val="28"/>
          <w:highlight w:val="none"/>
        </w:rPr>
        <w:t>公顷，水库水面</w:t>
      </w:r>
      <w:r>
        <w:rPr>
          <w:rFonts w:ascii="仿宋" w:hAnsi="仿宋" w:eastAsia="仿宋" w:cs="仿宋"/>
          <w:color w:val="auto"/>
          <w:kern w:val="0"/>
          <w:sz w:val="28"/>
          <w:szCs w:val="28"/>
          <w:highlight w:val="none"/>
        </w:rPr>
        <w:t>83.5</w:t>
      </w:r>
      <w:r>
        <w:rPr>
          <w:rFonts w:hint="eastAsia" w:ascii="仿宋" w:hAnsi="仿宋" w:eastAsia="仿宋" w:cs="仿宋"/>
          <w:color w:val="auto"/>
          <w:kern w:val="0"/>
          <w:sz w:val="28"/>
          <w:szCs w:val="28"/>
          <w:highlight w:val="none"/>
        </w:rPr>
        <w:t>公顷，坑塘水面</w:t>
      </w:r>
      <w:r>
        <w:rPr>
          <w:rFonts w:ascii="仿宋" w:hAnsi="仿宋" w:eastAsia="仿宋" w:cs="仿宋"/>
          <w:color w:val="auto"/>
          <w:kern w:val="0"/>
          <w:sz w:val="28"/>
          <w:szCs w:val="28"/>
          <w:highlight w:val="none"/>
        </w:rPr>
        <w:t>260.5</w:t>
      </w:r>
      <w:r>
        <w:rPr>
          <w:rFonts w:hint="eastAsia" w:ascii="仿宋" w:hAnsi="仿宋" w:eastAsia="仿宋" w:cs="仿宋"/>
          <w:color w:val="auto"/>
          <w:kern w:val="0"/>
          <w:sz w:val="28"/>
          <w:szCs w:val="28"/>
          <w:highlight w:val="none"/>
        </w:rPr>
        <w:t>公顷，内陆滩涂</w:t>
      </w:r>
      <w:r>
        <w:rPr>
          <w:rFonts w:ascii="仿宋" w:hAnsi="仿宋" w:eastAsia="仿宋" w:cs="仿宋"/>
          <w:color w:val="auto"/>
          <w:kern w:val="0"/>
          <w:sz w:val="28"/>
          <w:szCs w:val="28"/>
          <w:highlight w:val="none"/>
        </w:rPr>
        <w:t>0.4</w:t>
      </w:r>
      <w:r>
        <w:rPr>
          <w:rFonts w:hint="eastAsia" w:ascii="仿宋" w:hAnsi="仿宋" w:eastAsia="仿宋" w:cs="仿宋"/>
          <w:color w:val="auto"/>
          <w:kern w:val="0"/>
          <w:sz w:val="28"/>
          <w:szCs w:val="28"/>
          <w:highlight w:val="none"/>
        </w:rPr>
        <w:t>公顷。</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1.饮用水源保护区二级保护区</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现源城区内饮用水源二级保护区有河源市区新丰江饮用水源二级保护区、河源市区东江饮用水水源二级保护区、河源华嘉工业区东江饮用水水源二级保护区。饮用水水源保护区限养区范围具体见</w:t>
      </w:r>
      <w:r>
        <w:rPr>
          <w:color w:val="auto"/>
          <w:highlight w:val="none"/>
        </w:rPr>
        <w:fldChar w:fldCharType="begin"/>
      </w:r>
      <w:r>
        <w:rPr>
          <w:color w:val="auto"/>
          <w:highlight w:val="none"/>
        </w:rPr>
        <w:instrText xml:space="preserve"> REF _Ref152007660 \h  \* MERGEFORMAT </w:instrText>
      </w:r>
      <w:r>
        <w:rPr>
          <w:color w:val="auto"/>
          <w:highlight w:val="none"/>
        </w:rPr>
        <w:fldChar w:fldCharType="separate"/>
      </w:r>
      <w:r>
        <w:rPr>
          <w:rFonts w:hint="eastAsia" w:ascii="仿宋" w:hAnsi="仿宋" w:eastAsia="仿宋" w:cs="仿宋"/>
          <w:color w:val="auto"/>
          <w:kern w:val="0"/>
          <w:sz w:val="28"/>
          <w:szCs w:val="28"/>
          <w:highlight w:val="none"/>
        </w:rPr>
        <w:t>表 7</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但由于新丰江饮用水源二级保护区与广东省河源大桂山省级自然保护区的实验区有部分区域重叠，这部分重叠区域属于禁养区，因此将新丰江饮用水源二级保护区非禁养区的部分划为限养区，水域面积为81.0公顷。河源市区东江饮用水水源二级保护区和河源华嘉工业区东江饮用水水源二级保护区均位于东江东江干流的禁养区，因此河源市区东江饮用水水源二级保护区和河源华嘉工业区东江饮用水水源二级保护区均纳入禁养区管理。</w:t>
      </w:r>
    </w:p>
    <w:p>
      <w:pPr>
        <w:pStyle w:val="5"/>
        <w:spacing w:line="360" w:lineRule="auto"/>
        <w:rPr>
          <w:rFonts w:ascii="仿宋" w:hAnsi="仿宋" w:eastAsia="仿宋" w:cs="仿宋"/>
          <w:b/>
          <w:bCs/>
          <w:color w:val="auto"/>
          <w:szCs w:val="24"/>
          <w:highlight w:val="none"/>
        </w:rPr>
      </w:pPr>
      <w:bookmarkStart w:id="32" w:name="_Ref152007660"/>
      <w:r>
        <w:rPr>
          <w:rFonts w:hint="eastAsia" w:ascii="仿宋" w:hAnsi="仿宋" w:eastAsia="仿宋" w:cs="仿宋"/>
          <w:b/>
          <w:bCs/>
          <w:color w:val="auto"/>
          <w:szCs w:val="24"/>
          <w:highlight w:val="none"/>
        </w:rPr>
        <w:t xml:space="preserve">表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表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7</w:t>
      </w:r>
      <w:r>
        <w:rPr>
          <w:rFonts w:hint="eastAsia" w:ascii="仿宋" w:hAnsi="仿宋" w:eastAsia="仿宋" w:cs="仿宋"/>
          <w:b/>
          <w:bCs/>
          <w:color w:val="auto"/>
          <w:szCs w:val="24"/>
          <w:highlight w:val="none"/>
        </w:rPr>
        <w:fldChar w:fldCharType="end"/>
      </w:r>
      <w:bookmarkEnd w:id="32"/>
      <w:r>
        <w:rPr>
          <w:rFonts w:hint="eastAsia" w:ascii="仿宋" w:hAnsi="仿宋" w:eastAsia="仿宋" w:cs="仿宋"/>
          <w:b/>
          <w:bCs/>
          <w:color w:val="auto"/>
          <w:szCs w:val="24"/>
          <w:highlight w:val="none"/>
        </w:rPr>
        <w:t xml:space="preserve"> 源城区饮用水源二级保护区</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2"/>
        <w:gridCol w:w="2625"/>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dxa"/>
            <w:tcBorders>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b/>
                <w:color w:val="auto"/>
                <w:sz w:val="24"/>
                <w:highlight w:val="none"/>
              </w:rPr>
            </w:pPr>
            <w:r>
              <w:rPr>
                <w:rFonts w:hint="eastAsia" w:ascii="仿宋" w:hAnsi="仿宋" w:eastAsia="仿宋" w:cs="仿宋"/>
                <w:b/>
                <w:caps/>
                <w:color w:val="auto"/>
                <w:sz w:val="24"/>
                <w:highlight w:val="none"/>
              </w:rPr>
              <w:t>保护区名称和级别</w:t>
            </w:r>
          </w:p>
        </w:tc>
        <w:tc>
          <w:tcPr>
            <w:tcW w:w="2625" w:type="dxa"/>
            <w:tcBorders>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b/>
                <w:color w:val="auto"/>
                <w:sz w:val="24"/>
                <w:highlight w:val="none"/>
              </w:rPr>
            </w:pPr>
            <w:r>
              <w:rPr>
                <w:rFonts w:hint="eastAsia" w:ascii="仿宋" w:hAnsi="仿宋" w:eastAsia="仿宋" w:cs="仿宋"/>
                <w:b/>
                <w:caps/>
                <w:color w:val="auto"/>
                <w:sz w:val="24"/>
                <w:highlight w:val="none"/>
              </w:rPr>
              <w:t>水域保护范围</w:t>
            </w:r>
          </w:p>
        </w:tc>
        <w:tc>
          <w:tcPr>
            <w:tcW w:w="3545" w:type="dxa"/>
            <w:tcBorders>
              <w:left w:val="single" w:color="auto" w:sz="4" w:space="0"/>
              <w:bottom w:val="single" w:color="auto" w:sz="4" w:space="0"/>
              <w:right w:val="single" w:color="auto" w:sz="4" w:space="0"/>
            </w:tcBorders>
            <w:vAlign w:val="center"/>
          </w:tcPr>
          <w:p>
            <w:pPr>
              <w:pStyle w:val="26"/>
              <w:numPr>
                <w:ilvl w:val="0"/>
                <w:numId w:val="0"/>
              </w:numPr>
              <w:jc w:val="center"/>
              <w:rPr>
                <w:rFonts w:ascii="仿宋" w:hAnsi="仿宋" w:eastAsia="仿宋" w:cs="仿宋"/>
                <w:b/>
                <w:color w:val="auto"/>
                <w:sz w:val="24"/>
                <w:highlight w:val="none"/>
              </w:rPr>
            </w:pPr>
            <w:r>
              <w:rPr>
                <w:rFonts w:hint="eastAsia" w:ascii="仿宋" w:hAnsi="仿宋" w:eastAsia="仿宋" w:cs="仿宋"/>
                <w:b/>
                <w:caps/>
                <w:color w:val="auto"/>
                <w:sz w:val="24"/>
                <w:highlight w:val="none"/>
              </w:rPr>
              <w:t>陆域保护范围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河源市区新丰江饮用水源二级保护区</w:t>
            </w:r>
          </w:p>
        </w:tc>
        <w:tc>
          <w:tcPr>
            <w:tcW w:w="262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新丰江水库除一级保护区外的水库所有水域。</w:t>
            </w:r>
          </w:p>
        </w:tc>
        <w:tc>
          <w:tcPr>
            <w:tcW w:w="354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新丰江水库116米正常水位线相应二级保护区水域向陆纵深300米、一级保护区陆域界限向陆纵深200米的陆域范围。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河源市区东江饮用水水源二级保护区</w:t>
            </w:r>
          </w:p>
        </w:tc>
        <w:tc>
          <w:tcPr>
            <w:tcW w:w="262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一级保护区上游边界上溯5</w:t>
            </w:r>
            <w:r>
              <w:rPr>
                <w:rFonts w:ascii="仿宋" w:hAnsi="仿宋" w:eastAsia="仿宋" w:cs="仿宋"/>
                <w:color w:val="auto"/>
                <w:sz w:val="24"/>
                <w:highlight w:val="none"/>
              </w:rPr>
              <w:t>00</w:t>
            </w:r>
            <w:r>
              <w:rPr>
                <w:rFonts w:hint="eastAsia" w:ascii="仿宋" w:hAnsi="仿宋" w:eastAsia="仿宋" w:cs="仿宋"/>
                <w:color w:val="auto"/>
                <w:sz w:val="24"/>
                <w:highlight w:val="none"/>
              </w:rPr>
              <w:t>米河段的水域</w:t>
            </w:r>
          </w:p>
        </w:tc>
        <w:tc>
          <w:tcPr>
            <w:tcW w:w="354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相应二级保护区水域两岸向陆纵深</w:t>
            </w:r>
            <w:r>
              <w:rPr>
                <w:rFonts w:ascii="仿宋" w:hAnsi="仿宋" w:eastAsia="仿宋" w:cs="仿宋"/>
                <w:color w:val="auto"/>
                <w:sz w:val="24"/>
                <w:highlight w:val="none"/>
              </w:rPr>
              <w:t>300</w:t>
            </w:r>
            <w:r>
              <w:rPr>
                <w:rFonts w:hint="eastAsia" w:ascii="仿宋" w:hAnsi="仿宋" w:eastAsia="仿宋" w:cs="仿宋"/>
                <w:color w:val="auto"/>
                <w:sz w:val="24"/>
                <w:highlight w:val="none"/>
              </w:rPr>
              <w:t>米的陆域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2" w:type="dxa"/>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河源华嘉工业区东江饮用水水源二级保护区</w:t>
            </w:r>
          </w:p>
        </w:tc>
        <w:tc>
          <w:tcPr>
            <w:tcW w:w="2625" w:type="dxa"/>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一级保护区上游边界上溯5</w:t>
            </w:r>
            <w:r>
              <w:rPr>
                <w:rFonts w:ascii="仿宋" w:hAnsi="仿宋" w:eastAsia="仿宋" w:cs="仿宋"/>
                <w:color w:val="auto"/>
                <w:sz w:val="24"/>
                <w:highlight w:val="none"/>
              </w:rPr>
              <w:t>00</w:t>
            </w:r>
            <w:r>
              <w:rPr>
                <w:rFonts w:hint="eastAsia" w:ascii="仿宋" w:hAnsi="仿宋" w:eastAsia="仿宋" w:cs="仿宋"/>
                <w:color w:val="auto"/>
                <w:sz w:val="24"/>
                <w:highlight w:val="none"/>
              </w:rPr>
              <w:t>米河段的水域</w:t>
            </w:r>
          </w:p>
        </w:tc>
        <w:tc>
          <w:tcPr>
            <w:tcW w:w="3545" w:type="dxa"/>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相应二级保护区水域两岸向陆纵深</w:t>
            </w:r>
            <w:r>
              <w:rPr>
                <w:rFonts w:ascii="仿宋" w:hAnsi="仿宋" w:eastAsia="仿宋" w:cs="仿宋"/>
                <w:color w:val="auto"/>
                <w:sz w:val="24"/>
                <w:highlight w:val="none"/>
              </w:rPr>
              <w:t>300</w:t>
            </w:r>
            <w:r>
              <w:rPr>
                <w:rFonts w:hint="eastAsia" w:ascii="仿宋" w:hAnsi="仿宋" w:eastAsia="仿宋" w:cs="仿宋"/>
                <w:color w:val="auto"/>
                <w:sz w:val="24"/>
                <w:highlight w:val="none"/>
              </w:rPr>
              <w:t>米的水域</w:t>
            </w:r>
          </w:p>
        </w:tc>
      </w:tr>
    </w:tbl>
    <w:p>
      <w:pPr>
        <w:shd w:val="clear" w:color="auto" w:fill="FFFFFF"/>
        <w:adjustRightInd w:val="0"/>
        <w:snapToGrid w:val="0"/>
        <w:spacing w:beforeLines="50"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2.森林公园和湿地公园</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源城区有2个森林公园和1个湿地公园，为桂山森林公园、望郎回森林公园和双下湿地公园，自然保护区范围和面积具体见</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REF _Ref152007795 \h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表 8</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桂山森林公园与广东省河源大桂山省级自然保护区存在重叠区域，望郎回森林公园与香车水库饮用水源一级保护区存在重叠区域，双下湿地公园位于新丰江干流禁养区范围内，因此将桂山森林公园和望郎回森林公园非禁养区的区域划为限养区。</w:t>
      </w:r>
    </w:p>
    <w:p>
      <w:pPr>
        <w:pStyle w:val="5"/>
        <w:spacing w:line="360" w:lineRule="auto"/>
        <w:rPr>
          <w:rFonts w:ascii="仿宋" w:hAnsi="仿宋" w:eastAsia="仿宋" w:cs="仿宋"/>
          <w:b/>
          <w:bCs/>
          <w:color w:val="auto"/>
          <w:szCs w:val="24"/>
          <w:highlight w:val="none"/>
        </w:rPr>
      </w:pPr>
      <w:bookmarkStart w:id="33" w:name="_Ref152007795"/>
      <w:r>
        <w:rPr>
          <w:rFonts w:hint="eastAsia" w:ascii="仿宋" w:hAnsi="仿宋" w:eastAsia="仿宋" w:cs="仿宋"/>
          <w:b/>
          <w:bCs/>
          <w:color w:val="auto"/>
          <w:szCs w:val="24"/>
          <w:highlight w:val="none"/>
        </w:rPr>
        <w:t xml:space="preserve">表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表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8</w:t>
      </w:r>
      <w:r>
        <w:rPr>
          <w:rFonts w:hint="eastAsia" w:ascii="仿宋" w:hAnsi="仿宋" w:eastAsia="仿宋" w:cs="仿宋"/>
          <w:b/>
          <w:bCs/>
          <w:color w:val="auto"/>
          <w:szCs w:val="24"/>
          <w:highlight w:val="none"/>
        </w:rPr>
        <w:fldChar w:fldCharType="end"/>
      </w:r>
      <w:bookmarkEnd w:id="33"/>
      <w:r>
        <w:rPr>
          <w:rFonts w:hint="eastAsia" w:ascii="仿宋" w:hAnsi="仿宋" w:eastAsia="仿宋" w:cs="仿宋"/>
          <w:b/>
          <w:bCs/>
          <w:color w:val="auto"/>
          <w:szCs w:val="24"/>
          <w:highlight w:val="none"/>
        </w:rPr>
        <w:t xml:space="preserve"> 源城区森林公园和湿地公园</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2073"/>
        <w:gridCol w:w="1419"/>
        <w:gridCol w:w="1419"/>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2073" w:type="dxa"/>
            <w:tcBorders>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名称</w:t>
            </w:r>
          </w:p>
        </w:tc>
        <w:tc>
          <w:tcPr>
            <w:tcW w:w="1419" w:type="dxa"/>
            <w:tcBorders>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地点</w:t>
            </w:r>
          </w:p>
        </w:tc>
        <w:tc>
          <w:tcPr>
            <w:tcW w:w="1419" w:type="dxa"/>
            <w:tcBorders>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类型</w:t>
            </w:r>
          </w:p>
        </w:tc>
        <w:tc>
          <w:tcPr>
            <w:tcW w:w="1420" w:type="dxa"/>
            <w:tcBorders>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面积（hm</w:t>
            </w:r>
            <w:r>
              <w:rPr>
                <w:rFonts w:hint="eastAsia" w:ascii="仿宋" w:hAnsi="仿宋" w:eastAsia="仿宋" w:cs="仿宋"/>
                <w:b/>
                <w:bCs/>
                <w:color w:val="auto"/>
                <w:sz w:val="24"/>
                <w:highlight w:val="none"/>
                <w:vertAlign w:val="superscript"/>
              </w:rPr>
              <w:t>2</w:t>
            </w:r>
            <w:r>
              <w:rPr>
                <w:rFonts w:hint="eastAsia" w:ascii="仿宋" w:hAnsi="仿宋" w:eastAsia="仿宋" w:cs="仿宋"/>
                <w:b/>
                <w:bCs/>
                <w:color w:val="auto"/>
                <w:sz w:val="24"/>
                <w:highlight w:val="none"/>
              </w:rPr>
              <w:t>）</w:t>
            </w:r>
          </w:p>
        </w:tc>
        <w:tc>
          <w:tcPr>
            <w:tcW w:w="1420" w:type="dxa"/>
            <w:tcBorders>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0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桂山森林公园</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森林公园</w:t>
            </w: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2517</w:t>
            </w: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0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望郎回森林公园</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森林公园</w:t>
            </w: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878</w:t>
            </w: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207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双下湿地公园</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湿地公园</w:t>
            </w: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21</w:t>
            </w: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县级</w:t>
            </w:r>
          </w:p>
        </w:tc>
      </w:tr>
    </w:tbl>
    <w:p>
      <w:pPr>
        <w:shd w:val="clear" w:color="auto" w:fill="FFFFFF"/>
        <w:adjustRightInd w:val="0"/>
        <w:snapToGrid w:val="0"/>
        <w:spacing w:beforeLines="50"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3.重要水体</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源城区重要水体：源城区东江以西，及埔前河以北至东源县交界处内的非禁养区水域，包括但不限于松树坑山塘，埔前河以南区域的大筒河（黄果沥）的河道、水库，奶娘坑水库、鹿子底水库、禾丰坑水库和黄坝洞水库等划分为限养区。具体范围见</w:t>
      </w:r>
      <w:r>
        <w:rPr>
          <w:rFonts w:hint="eastAsia" w:ascii="仿宋" w:hAnsi="仿宋" w:eastAsia="仿宋" w:cs="仿宋"/>
          <w:color w:val="auto"/>
          <w:kern w:val="0"/>
          <w:sz w:val="28"/>
          <w:szCs w:val="28"/>
          <w:highlight w:val="none"/>
        </w:rPr>
        <w:fldChar w:fldCharType="begin"/>
      </w:r>
      <w:r>
        <w:rPr>
          <w:rFonts w:hint="eastAsia" w:ascii="仿宋" w:hAnsi="仿宋" w:eastAsia="仿宋" w:cs="仿宋"/>
          <w:color w:val="auto"/>
          <w:kern w:val="0"/>
          <w:sz w:val="28"/>
          <w:szCs w:val="28"/>
          <w:highlight w:val="none"/>
        </w:rPr>
        <w:instrText xml:space="preserve"> REF _Ref152008633 \h </w:instrText>
      </w:r>
      <w:r>
        <w:rPr>
          <w:rFonts w:hint="eastAsia" w:ascii="仿宋" w:hAnsi="仿宋" w:eastAsia="仿宋" w:cs="仿宋"/>
          <w:color w:val="auto"/>
          <w:kern w:val="0"/>
          <w:sz w:val="28"/>
          <w:szCs w:val="28"/>
          <w:highlight w:val="none"/>
        </w:rPr>
        <w:fldChar w:fldCharType="separate"/>
      </w:r>
      <w:r>
        <w:rPr>
          <w:rFonts w:hint="eastAsia" w:ascii="仿宋" w:hAnsi="仿宋" w:eastAsia="仿宋" w:cs="仿宋"/>
          <w:color w:val="auto"/>
          <w:kern w:val="0"/>
          <w:sz w:val="28"/>
          <w:szCs w:val="28"/>
          <w:highlight w:val="none"/>
        </w:rPr>
        <w:t>表 9</w:t>
      </w:r>
      <w:r>
        <w:rPr>
          <w:rFonts w:hint="eastAsia" w:ascii="仿宋" w:hAnsi="仿宋" w:eastAsia="仿宋" w:cs="仿宋"/>
          <w:color w:val="auto"/>
          <w:kern w:val="0"/>
          <w:sz w:val="28"/>
          <w:szCs w:val="28"/>
          <w:highlight w:val="none"/>
        </w:rPr>
        <w:fldChar w:fldCharType="end"/>
      </w:r>
      <w:r>
        <w:rPr>
          <w:rFonts w:hint="eastAsia" w:ascii="仿宋" w:hAnsi="仿宋" w:eastAsia="仿宋" w:cs="仿宋"/>
          <w:color w:val="auto"/>
          <w:kern w:val="0"/>
          <w:sz w:val="28"/>
          <w:szCs w:val="28"/>
          <w:highlight w:val="none"/>
        </w:rPr>
        <w:t>，水域面积为</w:t>
      </w:r>
      <w:r>
        <w:rPr>
          <w:rFonts w:ascii="仿宋" w:hAnsi="仿宋" w:eastAsia="仿宋" w:cs="仿宋"/>
          <w:color w:val="auto"/>
          <w:kern w:val="0"/>
          <w:sz w:val="28"/>
          <w:szCs w:val="28"/>
          <w:highlight w:val="none"/>
        </w:rPr>
        <w:t>297.0</w:t>
      </w:r>
      <w:r>
        <w:rPr>
          <w:rFonts w:hint="eastAsia" w:ascii="仿宋" w:hAnsi="仿宋" w:eastAsia="仿宋" w:cs="仿宋"/>
          <w:color w:val="auto"/>
          <w:kern w:val="0"/>
          <w:sz w:val="28"/>
          <w:szCs w:val="28"/>
          <w:highlight w:val="none"/>
        </w:rPr>
        <w:t>公顷。</w:t>
      </w:r>
    </w:p>
    <w:p>
      <w:pPr>
        <w:pStyle w:val="5"/>
        <w:spacing w:line="360" w:lineRule="auto"/>
        <w:rPr>
          <w:rFonts w:ascii="仿宋" w:hAnsi="仿宋" w:eastAsia="仿宋" w:cs="仿宋"/>
          <w:b/>
          <w:bCs/>
          <w:color w:val="auto"/>
          <w:szCs w:val="24"/>
          <w:highlight w:val="none"/>
        </w:rPr>
      </w:pPr>
      <w:bookmarkStart w:id="34" w:name="_Ref152008633"/>
      <w:r>
        <w:rPr>
          <w:rFonts w:hint="eastAsia" w:ascii="仿宋" w:hAnsi="仿宋" w:eastAsia="仿宋" w:cs="仿宋"/>
          <w:b/>
          <w:bCs/>
          <w:color w:val="auto"/>
          <w:szCs w:val="24"/>
          <w:highlight w:val="none"/>
        </w:rPr>
        <w:t xml:space="preserve">表 </w:t>
      </w:r>
      <w:r>
        <w:rPr>
          <w:rFonts w:hint="eastAsia" w:ascii="仿宋" w:hAnsi="仿宋" w:eastAsia="仿宋" w:cs="仿宋"/>
          <w:b/>
          <w:bCs/>
          <w:color w:val="auto"/>
          <w:szCs w:val="24"/>
          <w:highlight w:val="none"/>
        </w:rPr>
        <w:fldChar w:fldCharType="begin"/>
      </w:r>
      <w:r>
        <w:rPr>
          <w:rFonts w:hint="eastAsia" w:ascii="仿宋" w:hAnsi="仿宋" w:eastAsia="仿宋" w:cs="仿宋"/>
          <w:b/>
          <w:bCs/>
          <w:color w:val="auto"/>
          <w:szCs w:val="24"/>
          <w:highlight w:val="none"/>
        </w:rPr>
        <w:instrText xml:space="preserve"> SEQ 表 \* ARABIC </w:instrText>
      </w:r>
      <w:r>
        <w:rPr>
          <w:rFonts w:hint="eastAsia" w:ascii="仿宋" w:hAnsi="仿宋" w:eastAsia="仿宋" w:cs="仿宋"/>
          <w:b/>
          <w:bCs/>
          <w:color w:val="auto"/>
          <w:szCs w:val="24"/>
          <w:highlight w:val="none"/>
        </w:rPr>
        <w:fldChar w:fldCharType="separate"/>
      </w:r>
      <w:r>
        <w:rPr>
          <w:rFonts w:hint="eastAsia" w:ascii="仿宋" w:hAnsi="仿宋" w:eastAsia="仿宋" w:cs="仿宋"/>
          <w:b/>
          <w:bCs/>
          <w:color w:val="auto"/>
          <w:szCs w:val="24"/>
          <w:highlight w:val="none"/>
        </w:rPr>
        <w:t>9</w:t>
      </w:r>
      <w:r>
        <w:rPr>
          <w:rFonts w:hint="eastAsia" w:ascii="仿宋" w:hAnsi="仿宋" w:eastAsia="仿宋" w:cs="仿宋"/>
          <w:b/>
          <w:bCs/>
          <w:color w:val="auto"/>
          <w:szCs w:val="24"/>
          <w:highlight w:val="none"/>
        </w:rPr>
        <w:fldChar w:fldCharType="end"/>
      </w:r>
      <w:bookmarkEnd w:id="34"/>
      <w:r>
        <w:rPr>
          <w:rFonts w:hint="eastAsia" w:ascii="仿宋" w:hAnsi="仿宋" w:eastAsia="仿宋" w:cs="仿宋"/>
          <w:b/>
          <w:bCs/>
          <w:color w:val="auto"/>
          <w:szCs w:val="24"/>
          <w:highlight w:val="none"/>
        </w:rPr>
        <w:t xml:space="preserve"> 源城区重要水体</w:t>
      </w:r>
    </w:p>
    <w:tbl>
      <w:tblPr>
        <w:tblStyle w:val="17"/>
        <w:tblW w:w="866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6800"/>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5"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6800"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重要水体涉及限养区范围</w:t>
            </w:r>
          </w:p>
        </w:tc>
        <w:tc>
          <w:tcPr>
            <w:tcW w:w="1087"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水域面积（hm</w:t>
            </w:r>
            <w:r>
              <w:rPr>
                <w:rFonts w:hint="eastAsia" w:ascii="仿宋" w:hAnsi="仿宋" w:eastAsia="仿宋" w:cs="仿宋"/>
                <w:b/>
                <w:bCs/>
                <w:color w:val="auto"/>
                <w:sz w:val="24"/>
                <w:highlight w:val="none"/>
                <w:vertAlign w:val="superscript"/>
              </w:rPr>
              <w:t>2</w:t>
            </w:r>
            <w:r>
              <w:rPr>
                <w:rFonts w:hint="eastAsia" w:ascii="仿宋" w:hAnsi="仿宋" w:eastAsia="仿宋" w:cs="仿宋"/>
                <w:b/>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680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东江一级支流大简河（黄果沥河）的河道</w:t>
            </w:r>
          </w:p>
        </w:tc>
        <w:tc>
          <w:tcPr>
            <w:tcW w:w="108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680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奶娘坑水库正常水位线内全部水域</w:t>
            </w:r>
          </w:p>
        </w:tc>
        <w:tc>
          <w:tcPr>
            <w:tcW w:w="108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680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鹿子底水库正常水位线内全部水域</w:t>
            </w:r>
          </w:p>
        </w:tc>
        <w:tc>
          <w:tcPr>
            <w:tcW w:w="108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680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禾丰坑水库正常水位线内全部水域</w:t>
            </w:r>
          </w:p>
        </w:tc>
        <w:tc>
          <w:tcPr>
            <w:tcW w:w="108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680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黄坝洞水库正常水位线内全部水域</w:t>
            </w:r>
          </w:p>
        </w:tc>
        <w:tc>
          <w:tcPr>
            <w:tcW w:w="108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680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松树坑山塘正常水位线内全部水域</w:t>
            </w:r>
          </w:p>
        </w:tc>
        <w:tc>
          <w:tcPr>
            <w:tcW w:w="108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r>
              <w:rPr>
                <w:rFonts w:ascii="仿宋" w:hAnsi="仿宋" w:eastAsia="仿宋" w:cs="仿宋"/>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5" w:type="dxa"/>
            <w:vAlign w:val="center"/>
          </w:tcPr>
          <w:p>
            <w:pPr>
              <w:jc w:val="center"/>
              <w:rPr>
                <w:rFonts w:ascii="仿宋" w:hAnsi="仿宋" w:eastAsia="仿宋" w:cs="仿宋"/>
                <w:color w:val="auto"/>
                <w:sz w:val="24"/>
                <w:highlight w:val="none"/>
              </w:rPr>
            </w:pPr>
            <w:r>
              <w:rPr>
                <w:rFonts w:ascii="仿宋" w:hAnsi="仿宋" w:eastAsia="仿宋" w:cs="仿宋"/>
                <w:color w:val="auto"/>
                <w:sz w:val="24"/>
                <w:highlight w:val="none"/>
              </w:rPr>
              <w:t>7</w:t>
            </w:r>
          </w:p>
        </w:tc>
        <w:tc>
          <w:tcPr>
            <w:tcW w:w="680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其他坑塘水面</w:t>
            </w:r>
          </w:p>
        </w:tc>
        <w:tc>
          <w:tcPr>
            <w:tcW w:w="108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75" w:type="dxa"/>
            <w:gridSpan w:val="2"/>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合计</w:t>
            </w:r>
          </w:p>
        </w:tc>
        <w:tc>
          <w:tcPr>
            <w:tcW w:w="108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97.0</w:t>
            </w:r>
          </w:p>
        </w:tc>
      </w:tr>
    </w:tbl>
    <w:p>
      <w:pPr>
        <w:shd w:val="clear" w:color="auto" w:fill="FFFFFF"/>
        <w:adjustRightInd w:val="0"/>
        <w:snapToGrid w:val="0"/>
        <w:spacing w:beforeLines="50"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二、管理措施</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1.根据《中华人民共和国水污染防治法》，第四章第四节第五十七条规定，从事水产养殖应当保护水域生态环境，科学确定养殖密度，合理投饵和使用药物，防止污染水环境。</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在限养区，限制水产养殖品种和规模，禁止可能对水域环境造成污染破坏的养殖、捕捞作业方式。从事水产养殖业可采用粗放粗养的养殖方式，合理投饵和使用药物，严格控制放养密度。放养品种仍以传统品种如四大家鱼为主，鳊鱼、鲈鱼、鳗鱼等品种为辅。</w:t>
      </w:r>
    </w:p>
    <w:p>
      <w:pPr>
        <w:shd w:val="clear" w:color="auto" w:fill="FFFFFF"/>
        <w:adjustRightInd w:val="0"/>
        <w:snapToGrid w:val="0"/>
        <w:spacing w:line="360" w:lineRule="auto"/>
        <w:ind w:firstLine="560" w:firstLineChars="200"/>
        <w:rPr>
          <w:rFonts w:ascii="宋体" w:hAnsi="宋体" w:cs="宋体"/>
          <w:color w:val="auto"/>
          <w:sz w:val="24"/>
          <w:highlight w:val="none"/>
        </w:rPr>
      </w:pPr>
      <w:r>
        <w:rPr>
          <w:rFonts w:hint="eastAsia" w:ascii="仿宋" w:hAnsi="仿宋" w:eastAsia="仿宋" w:cs="仿宋"/>
          <w:color w:val="auto"/>
          <w:kern w:val="0"/>
          <w:sz w:val="28"/>
          <w:szCs w:val="28"/>
          <w:highlight w:val="none"/>
        </w:rPr>
        <w:t>3.在限养区内设立宣传告示牌予以标注说明。</w:t>
      </w:r>
    </w:p>
    <w:p>
      <w:pPr>
        <w:pStyle w:val="2"/>
        <w:numPr>
          <w:ilvl w:val="0"/>
          <w:numId w:val="0"/>
        </w:numPr>
        <w:spacing w:beforeLines="50" w:afterLines="50" w:line="360" w:lineRule="auto"/>
        <w:jc w:val="center"/>
        <w:rPr>
          <w:rFonts w:ascii="仿宋" w:hAnsi="仿宋" w:eastAsia="仿宋" w:cs="仿宋"/>
          <w:bCs w:val="0"/>
          <w:color w:val="auto"/>
          <w:kern w:val="0"/>
          <w:szCs w:val="28"/>
          <w:highlight w:val="none"/>
        </w:rPr>
      </w:pPr>
      <w:bookmarkStart w:id="35" w:name="_Toc13882"/>
      <w:r>
        <w:rPr>
          <w:rFonts w:hint="eastAsia" w:ascii="times new roam" w:hAnsi="times new roam" w:eastAsia="仿宋" w:cs="黑体"/>
          <w:b/>
          <w:color w:val="auto"/>
          <w:kern w:val="2"/>
          <w:sz w:val="30"/>
          <w:szCs w:val="30"/>
          <w:highlight w:val="none"/>
        </w:rPr>
        <w:t>第十二节 养殖区</w:t>
      </w:r>
      <w:bookmarkEnd w:id="35"/>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一、养殖区类型</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1.村区池塘养殖区</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埔前镇南陂村、双头村、莲塘岭村、中田村、赤岭村、高围村、上村村、埔前村、坪围村为养殖区（其中高围村、上村村、埔前村、坪围村是埔前镇五村拟连片打造成复合型美丽乡村，不再新增滩涂养殖；养殖区水域总面积为</w:t>
      </w:r>
      <w:r>
        <w:rPr>
          <w:rFonts w:ascii="仿宋" w:hAnsi="仿宋" w:eastAsia="仿宋" w:cs="仿宋"/>
          <w:color w:val="auto"/>
          <w:kern w:val="0"/>
          <w:sz w:val="28"/>
          <w:szCs w:val="28"/>
          <w:highlight w:val="none"/>
        </w:rPr>
        <w:t>70.7</w:t>
      </w:r>
      <w:r>
        <w:rPr>
          <w:rFonts w:hint="eastAsia" w:ascii="仿宋" w:hAnsi="仿宋" w:eastAsia="仿宋" w:cs="仿宋"/>
          <w:color w:val="auto"/>
          <w:kern w:val="0"/>
          <w:sz w:val="28"/>
          <w:szCs w:val="28"/>
          <w:highlight w:val="none"/>
        </w:rPr>
        <w:t>公顷，全部为坑塘水面。在此范围内，根据《源城区土地利用总体规划（2010-2020年）》，若池塘规划为建设用地范围内的，将其设为禁养区）；在现有养殖池塘基础上，实行“大稳定、小调整”战略，充分发挥交通便利、水源</w:t>
      </w:r>
      <w:r>
        <w:rPr>
          <w:rFonts w:hint="eastAsia" w:ascii="仿宋" w:hAnsi="仿宋" w:eastAsia="仿宋" w:cs="仿宋"/>
          <w:color w:val="auto"/>
          <w:kern w:val="0"/>
          <w:sz w:val="28"/>
          <w:szCs w:val="28"/>
          <w:highlight w:val="none"/>
          <w:lang w:eastAsia="zh-CN"/>
        </w:rPr>
        <w:t>充</w:t>
      </w:r>
      <w:r>
        <w:rPr>
          <w:rFonts w:hint="eastAsia" w:ascii="仿宋" w:hAnsi="仿宋" w:eastAsia="仿宋" w:cs="仿宋"/>
          <w:color w:val="auto"/>
          <w:kern w:val="0"/>
          <w:sz w:val="28"/>
          <w:szCs w:val="28"/>
          <w:highlight w:val="none"/>
        </w:rPr>
        <w:t>足优越条件，制</w:t>
      </w:r>
      <w:r>
        <w:rPr>
          <w:rFonts w:hint="eastAsia" w:ascii="仿宋" w:hAnsi="仿宋" w:eastAsia="仿宋" w:cs="仿宋"/>
          <w:color w:val="auto"/>
          <w:kern w:val="0"/>
          <w:sz w:val="28"/>
          <w:szCs w:val="28"/>
          <w:highlight w:val="none"/>
          <w:lang w:eastAsia="zh-CN"/>
        </w:rPr>
        <w:t>定</w:t>
      </w:r>
      <w:r>
        <w:rPr>
          <w:rFonts w:hint="eastAsia" w:ascii="仿宋" w:hAnsi="仿宋" w:eastAsia="仿宋" w:cs="仿宋"/>
          <w:color w:val="auto"/>
          <w:kern w:val="0"/>
          <w:sz w:val="28"/>
          <w:szCs w:val="28"/>
          <w:highlight w:val="none"/>
        </w:rPr>
        <w:t>出台鼓励农（渔）民的优惠政策。</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在稳定传统养殖品种的基础上，结合鱼塘的自身条件，混养青鱼、鲤、鲫等，适度推广名、特、优、新水产品种的养殖，重点发展四大家鱼、黄颡鱼、鳊鱼等鱼类为主的养殖。在稳定四大家鱼产量的基础上加大鲫鱼、罗氏沼虾、鲶鱼等高值名优鱼类养殖的开发力度。</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拓宽养殖面积发展渠道。在不违反“三区三线”的底线下，发展工厂化养殖模式，推广应用工厂集约养殖、立体养殖，如利用新型镀锌板帆布池（桶）、跑道式循环水、立体生态养殖等增加养殖空间。</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2.稻田综合养殖区</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充分利用养殖区稻田水面面积，提高水域资源利用效率，通过配套养殖黄鳝、泥鳅或稻花鲤等养殖品种，改善水稻的生长发育条件，实现稻鱼双丰收。</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二、管理措施</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养殖区内符合规划的养殖项目，应当科学确定养殖密度，合理投饵、使用药物，防止造成水域的环境污染，养殖生产应符合《水产养殖质量安全管理规定》的有关要求；各养殖功能区以规划区域内池塘养殖为主。各养殖功能区常规管理工作如下：</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1.加强养殖废水（废水物）达标排放管理</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严格监管未达标养殖废水（废弃物）排放，对造成水域环境污染者进行批评教育，责令整改，对屡教不改者可吊销养殖许可证、终止其养殖行为。通过严格监管，实行养殖区养殖废水（废弃物）达标排放。</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2.开展无公害健康养殖</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从事水产养殖的单位或个人必须做好生产记录，养殖过程中所使用的饲料和药品必须符合无公害养殖标准，严禁施用对人体有害的渔药和高毒、高残留的农药。</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3.加强环境监控</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定期监测水质、底质，根据环境的评估结果，调节养殖规模，实现养殖的动态控制。</w:t>
      </w:r>
    </w:p>
    <w:p>
      <w:pPr>
        <w:shd w:val="clear" w:color="auto" w:fill="FFFFFF"/>
        <w:adjustRightInd w:val="0"/>
        <w:snapToGrid w:val="0"/>
        <w:spacing w:line="360" w:lineRule="auto"/>
        <w:ind w:firstLine="562" w:firstLineChars="200"/>
        <w:rPr>
          <w:rFonts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4.安全监管</w:t>
      </w:r>
      <w:r>
        <w:rPr>
          <w:rFonts w:hint="eastAsia" w:ascii="仿宋" w:hAnsi="仿宋" w:eastAsia="仿宋" w:cs="仿宋"/>
          <w:color w:val="auto"/>
          <w:kern w:val="0"/>
          <w:sz w:val="28"/>
          <w:szCs w:val="28"/>
          <w:highlight w:val="none"/>
        </w:rPr>
        <w:t xml:space="preserve"> </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开展经常性的安全宣传教育，贯彻安全生产法规，开展安全监督检查工作。加强渔政执法，查处无证养殖，对非法侵占养殖水域及滩涂行为进行处理，规范开发利用秩序。</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5.制度保障</w:t>
      </w:r>
    </w:p>
    <w:p>
      <w:pPr>
        <w:shd w:val="clear" w:color="auto" w:fill="FFFFFF"/>
        <w:adjustRightInd w:val="0"/>
        <w:snapToGrid w:val="0"/>
        <w:spacing w:line="360" w:lineRule="auto"/>
        <w:ind w:firstLine="560" w:firstLineChars="200"/>
        <w:rPr>
          <w:rFonts w:ascii="宋体" w:hAnsi="宋体" w:cs="宋体"/>
          <w:color w:val="auto"/>
          <w:sz w:val="24"/>
          <w:highlight w:val="none"/>
        </w:rPr>
      </w:pPr>
      <w:r>
        <w:rPr>
          <w:rFonts w:hint="eastAsia" w:ascii="仿宋" w:hAnsi="仿宋" w:eastAsia="仿宋" w:cs="仿宋"/>
          <w:color w:val="auto"/>
          <w:kern w:val="0"/>
          <w:sz w:val="28"/>
          <w:szCs w:val="28"/>
          <w:highlight w:val="none"/>
        </w:rPr>
        <w:t>完善养殖水域使用审批制度，健全使用权的招、拍、挂等交易制度，推进养殖水域及滩涂承包经营权的确权工作，规范水域滩涂养殖发证登记工作。</w:t>
      </w:r>
    </w:p>
    <w:p>
      <w:pPr>
        <w:widowControl/>
        <w:jc w:val="left"/>
        <w:rPr>
          <w:rFonts w:ascii="宋体" w:hAnsi="宋体" w:cs="宋体"/>
          <w:color w:val="auto"/>
          <w:sz w:val="24"/>
          <w:highlight w:val="none"/>
        </w:rPr>
      </w:pPr>
      <w:r>
        <w:rPr>
          <w:rFonts w:ascii="宋体" w:hAnsi="宋体" w:cs="宋体"/>
          <w:color w:val="auto"/>
          <w:sz w:val="24"/>
          <w:highlight w:val="none"/>
        </w:rPr>
        <w:br w:type="page"/>
      </w:r>
    </w:p>
    <w:p>
      <w:pPr>
        <w:pStyle w:val="2"/>
        <w:numPr>
          <w:ilvl w:val="0"/>
          <w:numId w:val="0"/>
        </w:numPr>
        <w:spacing w:beforeLines="50" w:afterLines="50" w:line="360" w:lineRule="auto"/>
        <w:jc w:val="center"/>
        <w:rPr>
          <w:color w:val="auto"/>
          <w:sz w:val="30"/>
          <w:szCs w:val="30"/>
          <w:highlight w:val="none"/>
        </w:rPr>
      </w:pPr>
      <w:bookmarkStart w:id="36" w:name="_Toc13230"/>
      <w:r>
        <w:rPr>
          <w:rFonts w:hint="eastAsia" w:ascii="仿宋" w:hAnsi="仿宋" w:eastAsia="仿宋" w:cs="仿宋"/>
          <w:b/>
          <w:bCs w:val="0"/>
          <w:color w:val="auto"/>
          <w:sz w:val="32"/>
          <w:szCs w:val="32"/>
          <w:highlight w:val="none"/>
        </w:rPr>
        <w:t>第四章 保障措施</w:t>
      </w:r>
      <w:bookmarkEnd w:id="36"/>
    </w:p>
    <w:p>
      <w:pPr>
        <w:shd w:val="clear" w:color="auto" w:fill="FFFFFF"/>
        <w:adjustRightInd w:val="0"/>
        <w:snapToGrid w:val="0"/>
        <w:spacing w:line="360" w:lineRule="auto"/>
        <w:ind w:firstLine="560" w:firstLineChars="200"/>
        <w:rPr>
          <w:rFonts w:ascii="宋体" w:hAnsi="宋体" w:cs="宋体"/>
          <w:color w:val="auto"/>
          <w:sz w:val="24"/>
          <w:highlight w:val="none"/>
        </w:rPr>
      </w:pPr>
      <w:r>
        <w:rPr>
          <w:rFonts w:hint="eastAsia" w:ascii="仿宋" w:hAnsi="仿宋" w:eastAsia="仿宋" w:cs="仿宋"/>
          <w:color w:val="auto"/>
          <w:kern w:val="0"/>
          <w:sz w:val="28"/>
          <w:szCs w:val="28"/>
          <w:highlight w:val="none"/>
        </w:rPr>
        <w:t>按照水产养殖功能区域划分和功能定位要求，以充分发挥区域比较优势为立足点和出发点，通过法律与政策、组织与管理、体制与机制、资金与投入、资源与设施、人员素质与人才等保障措施，确保规划的全面实施，推进主导产业和优势产品的规模化经营和产业化发展水平，促进水产养殖业的持续健康发展。</w:t>
      </w:r>
    </w:p>
    <w:p>
      <w:pPr>
        <w:pStyle w:val="2"/>
        <w:numPr>
          <w:ilvl w:val="0"/>
          <w:numId w:val="0"/>
        </w:numPr>
        <w:spacing w:beforeLines="50" w:afterLines="50" w:line="360" w:lineRule="auto"/>
        <w:jc w:val="center"/>
        <w:rPr>
          <w:color w:val="auto"/>
          <w:highlight w:val="none"/>
        </w:rPr>
      </w:pPr>
      <w:bookmarkStart w:id="37" w:name="_Toc15446"/>
      <w:r>
        <w:rPr>
          <w:rFonts w:hint="eastAsia" w:ascii="times new roam" w:hAnsi="times new roam" w:eastAsia="仿宋" w:cs="黑体"/>
          <w:b/>
          <w:color w:val="auto"/>
          <w:kern w:val="2"/>
          <w:sz w:val="30"/>
          <w:szCs w:val="30"/>
          <w:highlight w:val="none"/>
        </w:rPr>
        <w:t>第十三节 加强组织领导</w:t>
      </w:r>
      <w:bookmarkEnd w:id="37"/>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一、强化部门协作，加强组织协调</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建立由区人民政府统一领导，各镇（街道）政府（办事处）和相关部门各尽其责、分工有序的领导管理机制，明确各部门工作职责，建立责任追究制度，切实加强对规划的行政管理、监督管理和协调管理。</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渔业部门，负责本规划实施的组织协调，监督检查本规划的落实情况，指导落实辖区内水域在区级层面养殖水域滩涂规划中的功能定位和相关各项管制措施；负责养殖水域滩涂范围内养殖活动的督导检查；定期开展规划实施情况评估。</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——生态环境部门，负责生态红线区、饮用水水源保护区内养殖活动污染的监测，以及有毒有害物质超过标准水体养殖活动的监督检查。</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——水务部门，负责水库、湖泊、行洪区、河道堤防安全保护区范围内养殖活动的监督检查。</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——交通运输管理部门，负责桥梁水域范围等养殖活动的监督检查。</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——林业部门，负责自然保护区、森林公园、湿地公园范围内养殖活动的监督检查。</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——旅游部门，负责景区景点范围内养殖活动的监督检查。</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各镇（街道）政府（办事处），细化和落实区规划明确的养殖水域滩涂空间，明确自然保护区、湿地公园、森林公园、水库、河流等水域空间养殖功能；负责辖区养殖水域滩涂范围内养殖活动督导检查；负责所辖区域内禁养区的管理，对处在禁养区内的养殖场户依法处理。对禁养区内拒不执行养殖户，由区人民政府牵头，各镇（街道）政府（办事处）组织各相关部门进行整治。</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二、完善法治保障</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积极推进渔业执法工作，贯彻实施新修订的省渔业管理条例、渔港渔业船舶管理条例等法规制度，推行渔具渔法、可捕标准、养殖尾水排放等标准和规范，完善配套实施办法和细则。坚持依法行政，各有关部门加强沟通和协调配合，加大对破坏渔业资源、水域环境等违法违规活动的处罚力度，规范行政裁量权，细化分类处理的办法和程序，使工作有法可依，有章可循。</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三、规范规划修订</w:t>
      </w:r>
    </w:p>
    <w:p>
      <w:pPr>
        <w:shd w:val="clear" w:color="auto" w:fill="FFFFFF"/>
        <w:adjustRightInd w:val="0"/>
        <w:snapToGrid w:val="0"/>
        <w:spacing w:line="360" w:lineRule="auto"/>
        <w:ind w:firstLine="560" w:firstLineChars="200"/>
        <w:rPr>
          <w:rFonts w:ascii="宋体" w:hAnsi="宋体" w:cs="宋体"/>
          <w:color w:val="auto"/>
          <w:sz w:val="24"/>
          <w:highlight w:val="none"/>
        </w:rPr>
      </w:pPr>
      <w:r>
        <w:rPr>
          <w:rFonts w:hint="eastAsia" w:ascii="仿宋" w:hAnsi="仿宋" w:eastAsia="仿宋" w:cs="仿宋"/>
          <w:color w:val="auto"/>
          <w:kern w:val="0"/>
          <w:sz w:val="28"/>
          <w:szCs w:val="28"/>
          <w:highlight w:val="none"/>
        </w:rPr>
        <w:t>规划批准后，未经规定程序任何单位和个人不得随意更改，本级渔业行政主管部门应定期对规划实施情况开展评估，因生态安全、经国务院、省政府、市政府批准的区域规划或产业规划确定的重大项目建设等原因，养殖水域滩涂环境发生重大改变确需修改的，由本级渔业行政主管部门提出修改建议。在局部地区进行的不涉及一级养殖水域滩涂类型的调整的一般性修改，由区渔业行政主管部门提出修改方案，报区人民政府批准后修改实施。涉及一级养殖水域滩涂类型调整的重大修改，应报市渔业行政主管部门审核同意，由市渔业行政主管部门组织论证，报市人民政府批准后修改实施。</w:t>
      </w:r>
    </w:p>
    <w:p>
      <w:pPr>
        <w:pStyle w:val="2"/>
        <w:numPr>
          <w:ilvl w:val="0"/>
          <w:numId w:val="0"/>
        </w:numPr>
        <w:spacing w:beforeLines="50" w:afterLines="50" w:line="360" w:lineRule="auto"/>
        <w:jc w:val="center"/>
        <w:rPr>
          <w:color w:val="auto"/>
          <w:highlight w:val="none"/>
        </w:rPr>
      </w:pPr>
      <w:bookmarkStart w:id="38" w:name="_Toc23491"/>
      <w:r>
        <w:rPr>
          <w:rFonts w:hint="eastAsia" w:ascii="times new roam" w:hAnsi="times new roam" w:eastAsia="仿宋" w:cs="黑体"/>
          <w:b/>
          <w:color w:val="auto"/>
          <w:kern w:val="2"/>
          <w:sz w:val="30"/>
          <w:szCs w:val="30"/>
          <w:highlight w:val="none"/>
        </w:rPr>
        <w:t>第十四节 强化监督检查</w:t>
      </w:r>
      <w:bookmarkEnd w:id="38"/>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水域滩涂规划是养殖水域滩涂使用管理的基本依据，养殖水域滩涂使用管理要严格依据规划开展，加强用途管理，强化监督检查。</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一、加强用途管理</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水域滩涂用途管制是国家为保证水域资源的合理利用和优化配置，促进经济、社会和环境的协调发展，通过水域滩涂规划等强制措施或手段，规定水域滩涂用途，明确水域滩涂使用条件，水域滩涂所有者、使用者必须严格按照规划所确定的水域滩涂用途和条件使用水域滩涂的制度。</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加强水域滩涂用途管制制度实施的组织和领导，对于擅自改变养殖水域滩涂用途的单位和个人，或违反规划水域滩涂用途的行为依法给予严厉处罚。在规划范围内，不得新建及改扩建养殖项目；其它生态保护或工程建设项目等占用规划内养殖水域滩涂的，必须征求渔业行政主管部门意见，按照有关要求对规划进行修订后实施，造成养殖生产者经济损失的应依法给予补偿。</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二、完善养殖水域滩涂使用审批</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认真贯彻执行《源城区养殖水域滩涂规划》，落实水域滩涂养殖证制度，进一步完善源城区养殖水域滩涂使用审批制度，科学利用水域从事水产养殖生产，单位或个人使用水域滩涂从事水产养殖生产活动的，先通过环保部门环评后，向渔业主管部门提出申请，渔业主管部门应认真审查申请材料，并进行现场勘验、确认界标等情况，经过审核对符合规定的单位或个人，渔业主管部门应报请有审批权的政府部门批准并颁发养殖证。养殖水域滩涂使用审批，按照农业部《水域滩涂养殖发证登记办法》，进一步完善审批制度。</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三、加强水产养殖生产执法</w:t>
      </w:r>
    </w:p>
    <w:p>
      <w:pPr>
        <w:shd w:val="clear" w:color="auto" w:fill="FFFFFF"/>
        <w:adjustRightInd w:val="0"/>
        <w:snapToGrid w:val="0"/>
        <w:spacing w:line="360" w:lineRule="auto"/>
        <w:ind w:firstLine="560" w:firstLineChars="200"/>
        <w:rPr>
          <w:rFonts w:ascii="宋体" w:hAnsi="宋体" w:cs="宋体"/>
          <w:color w:val="auto"/>
          <w:sz w:val="24"/>
          <w:highlight w:val="none"/>
        </w:rPr>
      </w:pPr>
      <w:r>
        <w:rPr>
          <w:rFonts w:hint="eastAsia" w:ascii="仿宋" w:hAnsi="仿宋" w:eastAsia="仿宋" w:cs="仿宋"/>
          <w:color w:val="auto"/>
          <w:kern w:val="0"/>
          <w:sz w:val="28"/>
          <w:szCs w:val="28"/>
          <w:highlight w:val="none"/>
        </w:rPr>
        <w:t>随着水产养殖业的快速发展，水产养殖范围和养殖规模日益扩大，对水产养殖管理需求也逐渐提高。在加快水产养殖发展的同时，必须加强水产养殖执法监督，水产养殖生产执法是渔业主管部门的重要任务，需要进一步规范渔业行政执法行为，进一步强化水域滩涂合理使用的执法监督检查，保持规划相对稳定。</w:t>
      </w:r>
    </w:p>
    <w:p>
      <w:pPr>
        <w:pStyle w:val="2"/>
        <w:numPr>
          <w:ilvl w:val="0"/>
          <w:numId w:val="0"/>
        </w:numPr>
        <w:spacing w:beforeLines="50" w:afterLines="50" w:line="360" w:lineRule="auto"/>
        <w:jc w:val="center"/>
        <w:rPr>
          <w:rFonts w:ascii="仿宋" w:hAnsi="仿宋" w:eastAsia="仿宋" w:cs="仿宋"/>
          <w:bCs w:val="0"/>
          <w:color w:val="auto"/>
          <w:kern w:val="0"/>
          <w:szCs w:val="28"/>
          <w:highlight w:val="none"/>
        </w:rPr>
      </w:pPr>
      <w:bookmarkStart w:id="39" w:name="_Toc23555"/>
      <w:r>
        <w:rPr>
          <w:rFonts w:hint="eastAsia" w:ascii="times new roam" w:hAnsi="times new roam" w:eastAsia="仿宋" w:cs="黑体"/>
          <w:b/>
          <w:color w:val="auto"/>
          <w:kern w:val="2"/>
          <w:sz w:val="30"/>
          <w:szCs w:val="30"/>
          <w:highlight w:val="none"/>
        </w:rPr>
        <w:t>第十五节 完善生态保护</w:t>
      </w:r>
      <w:bookmarkEnd w:id="39"/>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保护水域生态环境要做到统筹规划，科学治理。把水域生态环境保护的理念贯穿于江河湖库的养殖规划、设计、建设、管理全过程。要注重科学谋划，正确处理经济建设发展与水域资源整合、水系格局优化、生态环境保护之间的关系，确保水域生态安全和水域滩涂的可持续利用。</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一、加强水资源污染防控</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部分地方水资源开发利用不合理，水资源的利用率超过了生态警戒线的范围，导致水域的生态功能被破坏。在进行水域资源合理调控利用的同时，需严格控制工业“三废”、农业和渔业生产自身对水资源的污染。今后，要进一步加强对养殖者自身产生的垃圾及污染物的收集处理，加强城市污水处理设施建设，提高水环境容量和水体自净能力的工程措施。</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二、开展养殖排放监测</w:t>
      </w:r>
    </w:p>
    <w:p>
      <w:pPr>
        <w:shd w:val="clear" w:color="auto" w:fill="FFFFFF"/>
        <w:adjustRightInd w:val="0"/>
        <w:snapToGrid w:val="0"/>
        <w:spacing w:line="360" w:lineRule="auto"/>
        <w:ind w:firstLine="560" w:firstLineChars="200"/>
        <w:rPr>
          <w:rFonts w:ascii="宋体" w:hAnsi="宋体" w:cs="宋体"/>
          <w:color w:val="auto"/>
          <w:sz w:val="24"/>
          <w:highlight w:val="none"/>
        </w:rPr>
      </w:pPr>
      <w:r>
        <w:rPr>
          <w:rFonts w:hint="eastAsia" w:ascii="仿宋" w:hAnsi="仿宋" w:eastAsia="仿宋" w:cs="仿宋"/>
          <w:color w:val="auto"/>
          <w:kern w:val="0"/>
          <w:sz w:val="28"/>
          <w:szCs w:val="28"/>
          <w:highlight w:val="none"/>
        </w:rPr>
        <w:t>养殖排放监测是渔业环境保护的基础。今后，源城区将采取定期发布养殖排放监测公报方式，提高渔业生产者的环境意识。一是完善政策和法律法规，确保水产养殖水域达标排放。加强重要养殖水域环境的监测和保护，防止重金属及其它有毒、有害物质的污染，对养殖水域实行达标整治，养殖废水达标排放，设立养殖水域污染监测点。二是对于突发的渔业水域污染事件，要有应急处理预案，要及时截断养殖水域污染源及污染途径，防</w:t>
      </w:r>
      <w:r>
        <w:rPr>
          <w:rFonts w:hint="eastAsia" w:ascii="仿宋" w:hAnsi="仿宋" w:eastAsia="仿宋" w:cs="仿宋"/>
          <w:color w:val="auto"/>
          <w:kern w:val="0"/>
          <w:sz w:val="28"/>
          <w:szCs w:val="28"/>
          <w:highlight w:val="none"/>
          <w:lang w:eastAsia="zh-CN"/>
        </w:rPr>
        <w:t>止</w:t>
      </w:r>
      <w:r>
        <w:rPr>
          <w:rFonts w:hint="eastAsia" w:ascii="仿宋" w:hAnsi="仿宋" w:eastAsia="仿宋" w:cs="仿宋"/>
          <w:color w:val="auto"/>
          <w:kern w:val="0"/>
          <w:sz w:val="28"/>
          <w:szCs w:val="28"/>
          <w:highlight w:val="none"/>
        </w:rPr>
        <w:t>水质继续恶化，并积极开展治理。在受污染水域实施禁渔管理，</w:t>
      </w:r>
      <w:bookmarkStart w:id="45" w:name="_GoBack"/>
      <w:r>
        <w:rPr>
          <w:rFonts w:hint="eastAsia" w:ascii="仿宋" w:hAnsi="仿宋" w:eastAsia="仿宋" w:cs="仿宋"/>
          <w:color w:val="auto"/>
          <w:kern w:val="0"/>
          <w:sz w:val="28"/>
          <w:szCs w:val="28"/>
          <w:highlight w:val="none"/>
        </w:rPr>
        <w:t>防止</w:t>
      </w:r>
      <w:bookmarkEnd w:id="45"/>
      <w:r>
        <w:rPr>
          <w:rFonts w:hint="eastAsia" w:ascii="仿宋" w:hAnsi="仿宋" w:eastAsia="仿宋" w:cs="仿宋"/>
          <w:color w:val="auto"/>
          <w:kern w:val="0"/>
          <w:sz w:val="28"/>
          <w:szCs w:val="28"/>
          <w:highlight w:val="none"/>
        </w:rPr>
        <w:t>受污染水产品上市，科学评估水污染事件及其对渔民生产生活的影响，并且按照农业部发布的《渔业污染事故调查鉴定资格管理办法》的规定，依法调查处理。三是加强对重点渔业养殖水域地区的技术和资金扶持，对重要渔业水域独立开展环境监测和对突发性污染事故进行跟踪报道，使保护好渔业生态环境变成社会共识。将养殖排放监测工作纳入地方政府的议事日程，严格控制周围农田含有农药等污染源流入生态养殖区，实行定点定期监测，全面杜绝污染源。</w:t>
      </w:r>
    </w:p>
    <w:p>
      <w:pPr>
        <w:pStyle w:val="2"/>
        <w:numPr>
          <w:ilvl w:val="0"/>
          <w:numId w:val="0"/>
        </w:numPr>
        <w:spacing w:beforeLines="50" w:afterLines="50" w:line="360" w:lineRule="auto"/>
        <w:jc w:val="center"/>
        <w:rPr>
          <w:rFonts w:ascii="仿宋" w:hAnsi="仿宋" w:eastAsia="仿宋" w:cs="仿宋"/>
          <w:bCs w:val="0"/>
          <w:color w:val="auto"/>
          <w:kern w:val="0"/>
          <w:szCs w:val="28"/>
          <w:highlight w:val="none"/>
        </w:rPr>
      </w:pPr>
      <w:bookmarkStart w:id="40" w:name="_Toc24477"/>
      <w:r>
        <w:rPr>
          <w:rFonts w:hint="eastAsia" w:ascii="times new roam" w:hAnsi="times new roam" w:eastAsia="仿宋" w:cs="黑体"/>
          <w:b/>
          <w:color w:val="auto"/>
          <w:kern w:val="2"/>
          <w:sz w:val="30"/>
          <w:szCs w:val="30"/>
          <w:highlight w:val="none"/>
        </w:rPr>
        <w:t>第十六节 其他保障措施</w:t>
      </w:r>
      <w:bookmarkEnd w:id="40"/>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一、加强宣传教育，提高意识</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构建源城区渔业信息服务平台，加大对健康养殖和环保意识的宣传和舆论监督力度，建立舆论监督和公众监督机制。鼓励广大养殖户自觉参与保护水域环境的实践中来，倡导健康养殖，推行绿色养殖。</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二、强化渔业科技，加强科技支撑</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依靠科技进步和技术创新，充分发挥科学技术第一生产力作用，是实现本规划目标的有力保证。要整合科技资源，充分发挥渔业科学研究院所、高等院校的科技支撑作用，形成产学研结合，运用水产科研成果和先进技术，依靠技术创新和技术开发，不断提高水产养殖技术水平和水产品质量，持续开发出新产品，充分发挥渔业科技资金作用，开发一个品种，深化一门科学，扶持一个产业，以此带动水产业结构的升级，保持和提高水产品在市场上的竞争能力。</w:t>
      </w:r>
    </w:p>
    <w:p>
      <w:pPr>
        <w:shd w:val="clear" w:color="auto" w:fill="FFFFFF"/>
        <w:adjustRightInd w:val="0"/>
        <w:snapToGrid w:val="0"/>
        <w:spacing w:line="360" w:lineRule="auto"/>
        <w:ind w:firstLine="562" w:firstLineChars="200"/>
        <w:rPr>
          <w:rFonts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三、加快人才培养，提高养殖水平</w:t>
      </w:r>
    </w:p>
    <w:p>
      <w:pPr>
        <w:shd w:val="clear" w:color="auto" w:fill="FFFFFF"/>
        <w:adjustRightInd w:val="0"/>
        <w:snapToGrid w:val="0"/>
        <w:spacing w:line="360" w:lineRule="auto"/>
        <w:ind w:firstLine="560" w:firstLineChars="200"/>
        <w:rPr>
          <w:rFonts w:ascii="宋体" w:hAnsi="宋体" w:cs="宋体"/>
          <w:color w:val="auto"/>
          <w:sz w:val="24"/>
          <w:highlight w:val="none"/>
        </w:rPr>
      </w:pPr>
      <w:r>
        <w:rPr>
          <w:rFonts w:hint="eastAsia" w:ascii="仿宋" w:hAnsi="仿宋" w:eastAsia="仿宋" w:cs="仿宋"/>
          <w:color w:val="auto"/>
          <w:kern w:val="0"/>
          <w:sz w:val="28"/>
          <w:szCs w:val="28"/>
          <w:highlight w:val="none"/>
        </w:rPr>
        <w:t>要构建现代化水产养殖业，向生态环保、零污染、节能、高科技方向发展，使数量型水产业向质量型水产业发展，需要各种层次的科技人才，充分利用科研机构、高等院校雄厚的技术力量，培养专业化和高素质的水产养殖从业人才，充实加强企业生产第一线的技术力量，加快水产养殖业转型升级。</w:t>
      </w:r>
    </w:p>
    <w:p>
      <w:pPr>
        <w:rPr>
          <w:rFonts w:ascii="times new roam" w:hAnsi="times new roam" w:eastAsia="仿宋" w:cs="黑体"/>
          <w:b/>
          <w:bCs/>
          <w:color w:val="auto"/>
          <w:sz w:val="30"/>
          <w:szCs w:val="30"/>
          <w:highlight w:val="none"/>
        </w:rPr>
      </w:pPr>
      <w:r>
        <w:rPr>
          <w:rFonts w:hint="eastAsia" w:ascii="times new roam" w:hAnsi="times new roam" w:eastAsia="仿宋" w:cs="黑体"/>
          <w:b/>
          <w:bCs/>
          <w:color w:val="auto"/>
          <w:sz w:val="30"/>
          <w:szCs w:val="30"/>
          <w:highlight w:val="none"/>
        </w:rPr>
        <w:br w:type="page"/>
      </w:r>
    </w:p>
    <w:p>
      <w:pPr>
        <w:pStyle w:val="2"/>
        <w:numPr>
          <w:ilvl w:val="0"/>
          <w:numId w:val="0"/>
        </w:numPr>
        <w:spacing w:beforeLines="50" w:afterLines="50" w:line="360" w:lineRule="auto"/>
        <w:jc w:val="center"/>
        <w:rPr>
          <w:rFonts w:ascii="宋体" w:hAnsi="宋体" w:cs="宋体"/>
          <w:b/>
          <w:color w:val="auto"/>
          <w:sz w:val="24"/>
          <w:highlight w:val="none"/>
        </w:rPr>
      </w:pPr>
      <w:bookmarkStart w:id="41" w:name="_Toc10222"/>
      <w:r>
        <w:rPr>
          <w:rFonts w:hint="eastAsia" w:ascii="times new roam" w:hAnsi="times new roam" w:eastAsia="仿宋" w:cs="黑体"/>
          <w:b/>
          <w:color w:val="auto"/>
          <w:kern w:val="2"/>
          <w:sz w:val="30"/>
          <w:szCs w:val="30"/>
          <w:highlight w:val="none"/>
        </w:rPr>
        <w:t>第五章 附则</w:t>
      </w:r>
      <w:bookmarkEnd w:id="41"/>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42" w:name="_Toc29960"/>
      <w:r>
        <w:rPr>
          <w:rFonts w:hint="eastAsia" w:ascii="times new roam" w:hAnsi="times new roam" w:eastAsia="仿宋" w:cs="黑体"/>
          <w:b/>
          <w:color w:val="auto"/>
          <w:kern w:val="2"/>
          <w:sz w:val="30"/>
          <w:szCs w:val="30"/>
          <w:highlight w:val="none"/>
        </w:rPr>
        <w:t>第十七节 关于规划效力</w:t>
      </w:r>
      <w:bookmarkEnd w:id="42"/>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养殖水域滩涂规划一经批准，即具有法律效力，必须严格执行。</w:t>
      </w:r>
    </w:p>
    <w:p>
      <w:pPr>
        <w:pStyle w:val="2"/>
        <w:numPr>
          <w:ilvl w:val="0"/>
          <w:numId w:val="0"/>
        </w:numPr>
        <w:spacing w:beforeLines="50" w:afterLines="50" w:line="360" w:lineRule="auto"/>
        <w:jc w:val="center"/>
        <w:rPr>
          <w:rFonts w:ascii="times new roam" w:hAnsi="times new roam" w:eastAsia="仿宋" w:cs="黑体"/>
          <w:b/>
          <w:color w:val="auto"/>
          <w:kern w:val="2"/>
          <w:sz w:val="30"/>
          <w:szCs w:val="30"/>
          <w:highlight w:val="none"/>
        </w:rPr>
      </w:pPr>
      <w:bookmarkStart w:id="43" w:name="_Toc32068"/>
      <w:r>
        <w:rPr>
          <w:rFonts w:hint="eastAsia" w:ascii="times new roam" w:hAnsi="times new roam" w:eastAsia="仿宋" w:cs="黑体"/>
          <w:b/>
          <w:color w:val="auto"/>
          <w:kern w:val="2"/>
          <w:sz w:val="30"/>
          <w:szCs w:val="30"/>
          <w:highlight w:val="none"/>
        </w:rPr>
        <w:t>第十八节 关于规划图件</w:t>
      </w:r>
      <w:bookmarkEnd w:id="43"/>
    </w:p>
    <w:p>
      <w:pPr>
        <w:spacing w:line="360" w:lineRule="auto"/>
        <w:ind w:firstLine="560" w:firstLineChars="200"/>
        <w:rPr>
          <w:rFonts w:ascii="times new roam" w:hAnsi="times new roam" w:eastAsia="仿宋"/>
          <w:color w:val="auto"/>
          <w:sz w:val="28"/>
          <w:szCs w:val="28"/>
          <w:highlight w:val="none"/>
        </w:rPr>
      </w:pPr>
      <w:r>
        <w:rPr>
          <w:rFonts w:hint="eastAsia" w:ascii="times new roam" w:hAnsi="times new roam" w:eastAsia="仿宋"/>
          <w:color w:val="auto"/>
          <w:sz w:val="28"/>
          <w:szCs w:val="28"/>
          <w:highlight w:val="none"/>
        </w:rPr>
        <w:t>规划图为规划文本附件，具有与文本同等的法律效力。</w:t>
      </w:r>
    </w:p>
    <w:p>
      <w:pPr>
        <w:shd w:val="clear" w:color="auto" w:fill="FFFFFF"/>
        <w:adjustRightInd w:val="0"/>
        <w:snapToGrid w:val="0"/>
        <w:spacing w:line="360" w:lineRule="auto"/>
        <w:ind w:firstLine="560" w:firstLineChars="200"/>
        <w:rPr>
          <w:rFonts w:ascii="仿宋" w:hAnsi="仿宋" w:eastAsia="仿宋" w:cs="仿宋"/>
          <w:color w:val="auto"/>
          <w:kern w:val="0"/>
          <w:sz w:val="28"/>
          <w:szCs w:val="28"/>
          <w:highlight w:val="none"/>
        </w:rPr>
      </w:pPr>
    </w:p>
    <w:p>
      <w:pPr>
        <w:rPr>
          <w:rFonts w:ascii="宋体" w:hAnsi="宋体" w:cs="宋体"/>
          <w:color w:val="auto"/>
          <w:sz w:val="28"/>
          <w:szCs w:val="28"/>
          <w:highlight w:val="none"/>
        </w:rPr>
      </w:pPr>
      <w:r>
        <w:rPr>
          <w:rFonts w:hint="eastAsia" w:ascii="宋体" w:hAnsi="宋体" w:cs="宋体"/>
          <w:color w:val="auto"/>
          <w:sz w:val="28"/>
          <w:szCs w:val="28"/>
          <w:highlight w:val="none"/>
        </w:rPr>
        <w:drawing>
          <wp:inline distT="0" distB="0" distL="114300" distR="114300">
            <wp:extent cx="5219700" cy="8459470"/>
            <wp:effectExtent l="0" t="0" r="0" b="17780"/>
            <wp:docPr id="6" name="图片 6" descr="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行政区划图"/>
                    <pic:cNvPicPr>
                      <a:picLocks noChangeAspect="1"/>
                    </pic:cNvPicPr>
                  </pic:nvPicPr>
                  <pic:blipFill>
                    <a:blip r:embed="rId11" cstate="print"/>
                    <a:stretch>
                      <a:fillRect/>
                    </a:stretch>
                  </pic:blipFill>
                  <pic:spPr>
                    <a:xfrm>
                      <a:off x="0" y="0"/>
                      <a:ext cx="5219700" cy="8459470"/>
                    </a:xfrm>
                    <a:prstGeom prst="rect">
                      <a:avLst/>
                    </a:prstGeom>
                  </pic:spPr>
                </pic:pic>
              </a:graphicData>
            </a:graphic>
          </wp:inline>
        </w:drawing>
      </w:r>
    </w:p>
    <w:p>
      <w:pPr>
        <w:jc w:val="center"/>
        <w:rPr>
          <w:rFonts w:ascii="宋体" w:hAnsi="宋体" w:cs="宋体"/>
          <w:color w:val="auto"/>
          <w:sz w:val="44"/>
          <w:szCs w:val="44"/>
          <w:highlight w:val="none"/>
        </w:rPr>
      </w:pPr>
      <w:r>
        <w:rPr>
          <w:rFonts w:ascii="宋体" w:hAnsi="宋体" w:cs="宋体"/>
          <w:color w:val="auto"/>
          <w:sz w:val="44"/>
          <w:szCs w:val="44"/>
          <w:highlight w:val="none"/>
        </w:rPr>
        <w:drawing>
          <wp:anchor distT="0" distB="0" distL="114300" distR="114300" simplePos="0" relativeHeight="251662336" behindDoc="1" locked="0" layoutInCell="1" allowOverlap="1">
            <wp:simplePos x="0" y="0"/>
            <wp:positionH relativeFrom="column">
              <wp:posOffset>-288290</wp:posOffset>
            </wp:positionH>
            <wp:positionV relativeFrom="paragraph">
              <wp:posOffset>0</wp:posOffset>
            </wp:positionV>
            <wp:extent cx="5687695" cy="8039735"/>
            <wp:effectExtent l="0" t="0" r="8255" b="18415"/>
            <wp:wrapNone/>
            <wp:docPr id="2030196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96468"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87695" cy="8039735"/>
                    </a:xfrm>
                    <a:prstGeom prst="rect">
                      <a:avLst/>
                    </a:prstGeom>
                    <a:noFill/>
                    <a:ln>
                      <a:noFill/>
                    </a:ln>
                  </pic:spPr>
                </pic:pic>
              </a:graphicData>
            </a:graphic>
          </wp:anchor>
        </w:drawing>
      </w:r>
      <w:r>
        <w:rPr>
          <w:rFonts w:hint="eastAsia" w:ascii="宋体" w:hAnsi="宋体" w:cs="宋体"/>
          <w:color w:val="auto"/>
          <w:sz w:val="44"/>
          <w:szCs w:val="44"/>
          <w:highlight w:val="none"/>
        </w:rPr>
        <w:t>源城区水域滩涂现状图</w:t>
      </w:r>
    </w:p>
    <w:p>
      <w:pPr>
        <w:widowControl/>
        <w:jc w:val="center"/>
        <w:rPr>
          <w:rFonts w:ascii="宋体" w:hAnsi="宋体" w:cs="宋体"/>
          <w:color w:val="auto"/>
          <w:sz w:val="44"/>
          <w:szCs w:val="44"/>
          <w:highlight w:val="none"/>
        </w:rPr>
      </w:pPr>
      <w:r>
        <w:rPr>
          <w:rFonts w:ascii="宋体" w:hAnsi="宋体" w:cs="宋体"/>
          <w:color w:val="auto"/>
          <w:sz w:val="44"/>
          <w:szCs w:val="44"/>
          <w:highlight w:val="none"/>
        </w:rPr>
        <w:br w:type="page"/>
      </w:r>
      <w:bookmarkStart w:id="44" w:name="_Hlk151997460"/>
      <w:r>
        <w:rPr>
          <w:rFonts w:ascii="宋体" w:hAnsi="宋体" w:cs="宋体"/>
          <w:color w:val="auto"/>
          <w:sz w:val="28"/>
          <w:szCs w:val="28"/>
          <w:highlight w:val="none"/>
        </w:rPr>
        <w:drawing>
          <wp:anchor distT="0" distB="0" distL="114300" distR="114300" simplePos="0" relativeHeight="251663360" behindDoc="1" locked="0" layoutInCell="1" allowOverlap="1">
            <wp:simplePos x="0" y="0"/>
            <wp:positionH relativeFrom="column">
              <wp:posOffset>-335280</wp:posOffset>
            </wp:positionH>
            <wp:positionV relativeFrom="paragraph">
              <wp:posOffset>26035</wp:posOffset>
            </wp:positionV>
            <wp:extent cx="5855335" cy="8279765"/>
            <wp:effectExtent l="0" t="0" r="0" b="6985"/>
            <wp:wrapNone/>
            <wp:docPr id="1109757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57002"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55587" cy="8280000"/>
                    </a:xfrm>
                    <a:prstGeom prst="rect">
                      <a:avLst/>
                    </a:prstGeom>
                    <a:noFill/>
                    <a:ln>
                      <a:noFill/>
                    </a:ln>
                  </pic:spPr>
                </pic:pic>
              </a:graphicData>
            </a:graphic>
          </wp:anchor>
        </w:drawing>
      </w:r>
      <w:r>
        <w:rPr>
          <w:rFonts w:hint="eastAsia" w:ascii="宋体" w:hAnsi="宋体" w:cs="宋体"/>
          <w:color w:val="auto"/>
          <w:sz w:val="44"/>
          <w:szCs w:val="44"/>
          <w:highlight w:val="none"/>
        </w:rPr>
        <w:t>源城区养殖水域滩涂规划图</w:t>
      </w:r>
      <w:bookmarkEnd w:id="44"/>
    </w:p>
    <w:p>
      <w:pPr>
        <w:widowControl/>
        <w:jc w:val="left"/>
        <w:rPr>
          <w:rFonts w:ascii="宋体" w:hAnsi="宋体" w:cs="宋体"/>
          <w:color w:val="auto"/>
          <w:sz w:val="44"/>
          <w:szCs w:val="44"/>
          <w:highlight w:val="none"/>
        </w:rPr>
      </w:pPr>
      <w:r>
        <w:rPr>
          <w:rFonts w:ascii="宋体" w:hAnsi="宋体" w:cs="宋体"/>
          <w:color w:val="auto"/>
          <w:sz w:val="44"/>
          <w:szCs w:val="44"/>
          <w:highlight w:val="none"/>
        </w:rPr>
        <w:br w:type="page"/>
      </w:r>
    </w:p>
    <w:p>
      <w:pPr>
        <w:jc w:val="center"/>
        <w:rPr>
          <w:rFonts w:ascii="宋体" w:hAnsi="宋体" w:cs="宋体"/>
          <w:color w:val="auto"/>
          <w:sz w:val="44"/>
          <w:szCs w:val="44"/>
          <w:highlight w:val="none"/>
        </w:rPr>
      </w:pPr>
      <w:r>
        <w:rPr>
          <w:rFonts w:hint="eastAsia" w:ascii="宋体" w:hAnsi="宋体" w:cs="宋体"/>
          <w:color w:val="auto"/>
          <w:sz w:val="44"/>
          <w:szCs w:val="44"/>
          <w:highlight w:val="none"/>
        </w:rPr>
        <w:drawing>
          <wp:anchor distT="0" distB="0" distL="114300" distR="114300" simplePos="0" relativeHeight="251664384" behindDoc="1" locked="0" layoutInCell="1" allowOverlap="1">
            <wp:simplePos x="0" y="0"/>
            <wp:positionH relativeFrom="column">
              <wp:posOffset>-274320</wp:posOffset>
            </wp:positionH>
            <wp:positionV relativeFrom="paragraph">
              <wp:posOffset>26035</wp:posOffset>
            </wp:positionV>
            <wp:extent cx="5855335" cy="8279765"/>
            <wp:effectExtent l="0" t="0" r="0" b="6985"/>
            <wp:wrapNone/>
            <wp:docPr id="20396285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28511"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55586" cy="8280000"/>
                    </a:xfrm>
                    <a:prstGeom prst="rect">
                      <a:avLst/>
                    </a:prstGeom>
                    <a:noFill/>
                    <a:ln>
                      <a:noFill/>
                    </a:ln>
                  </pic:spPr>
                </pic:pic>
              </a:graphicData>
            </a:graphic>
          </wp:anchor>
        </w:drawing>
      </w:r>
      <w:r>
        <w:rPr>
          <w:rFonts w:hint="eastAsia" w:ascii="宋体" w:hAnsi="宋体" w:cs="宋体"/>
          <w:color w:val="auto"/>
          <w:sz w:val="44"/>
          <w:szCs w:val="44"/>
          <w:highlight w:val="none"/>
        </w:rPr>
        <w:t>源城区养殖水域滩涂禁养区分布图</w:t>
      </w:r>
    </w:p>
    <w:p>
      <w:pPr>
        <w:widowControl/>
        <w:jc w:val="left"/>
        <w:rPr>
          <w:rFonts w:ascii="宋体" w:hAnsi="宋体" w:cs="宋体"/>
          <w:color w:val="auto"/>
          <w:sz w:val="44"/>
          <w:szCs w:val="44"/>
          <w:highlight w:val="none"/>
        </w:rPr>
      </w:pPr>
      <w:r>
        <w:rPr>
          <w:rFonts w:ascii="宋体" w:hAnsi="宋体" w:cs="宋体"/>
          <w:color w:val="auto"/>
          <w:sz w:val="44"/>
          <w:szCs w:val="44"/>
          <w:highlight w:val="none"/>
        </w:rPr>
        <w:br w:type="page"/>
      </w:r>
    </w:p>
    <w:p>
      <w:pPr>
        <w:jc w:val="center"/>
        <w:rPr>
          <w:rFonts w:ascii="宋体" w:hAnsi="宋体" w:cs="宋体"/>
          <w:color w:val="auto"/>
          <w:sz w:val="44"/>
          <w:szCs w:val="44"/>
          <w:highlight w:val="none"/>
        </w:rPr>
      </w:pPr>
      <w:r>
        <w:rPr>
          <w:rFonts w:ascii="宋体" w:hAnsi="宋体" w:cs="宋体"/>
          <w:color w:val="auto"/>
          <w:sz w:val="28"/>
          <w:szCs w:val="28"/>
          <w:highlight w:val="none"/>
        </w:rPr>
        <w:drawing>
          <wp:anchor distT="0" distB="0" distL="114300" distR="114300" simplePos="0" relativeHeight="251665408" behindDoc="1" locked="0" layoutInCell="1" allowOverlap="1">
            <wp:simplePos x="0" y="0"/>
            <wp:positionH relativeFrom="column">
              <wp:posOffset>-291465</wp:posOffset>
            </wp:positionH>
            <wp:positionV relativeFrom="paragraph">
              <wp:posOffset>26035</wp:posOffset>
            </wp:positionV>
            <wp:extent cx="5855335" cy="8279765"/>
            <wp:effectExtent l="0" t="0" r="0" b="6985"/>
            <wp:wrapNone/>
            <wp:docPr id="19244915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91576"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855587" cy="8280000"/>
                    </a:xfrm>
                    <a:prstGeom prst="rect">
                      <a:avLst/>
                    </a:prstGeom>
                    <a:noFill/>
                    <a:ln>
                      <a:noFill/>
                    </a:ln>
                  </pic:spPr>
                </pic:pic>
              </a:graphicData>
            </a:graphic>
          </wp:anchor>
        </w:drawing>
      </w:r>
      <w:r>
        <w:rPr>
          <w:rFonts w:hint="eastAsia" w:ascii="宋体" w:hAnsi="宋体" w:cs="宋体"/>
          <w:color w:val="auto"/>
          <w:sz w:val="44"/>
          <w:szCs w:val="44"/>
          <w:highlight w:val="none"/>
        </w:rPr>
        <w:t>源城区养殖水域滩涂限养区分布图</w:t>
      </w:r>
    </w:p>
    <w:p>
      <w:pPr>
        <w:widowControl/>
        <w:jc w:val="left"/>
        <w:rPr>
          <w:rFonts w:ascii="宋体" w:hAnsi="宋体" w:cs="宋体"/>
          <w:color w:val="auto"/>
          <w:sz w:val="44"/>
          <w:szCs w:val="44"/>
          <w:highlight w:val="none"/>
        </w:rPr>
      </w:pPr>
      <w:r>
        <w:rPr>
          <w:rFonts w:ascii="宋体" w:hAnsi="宋体" w:cs="宋体"/>
          <w:color w:val="auto"/>
          <w:sz w:val="44"/>
          <w:szCs w:val="44"/>
          <w:highlight w:val="none"/>
        </w:rPr>
        <w:br w:type="page"/>
      </w:r>
    </w:p>
    <w:p>
      <w:pPr>
        <w:jc w:val="center"/>
        <w:rPr>
          <w:rFonts w:ascii="宋体" w:hAnsi="宋体" w:cs="宋体"/>
          <w:color w:val="auto"/>
          <w:sz w:val="28"/>
          <w:szCs w:val="28"/>
          <w:highlight w:val="none"/>
        </w:rPr>
        <w:sectPr>
          <w:footerReference r:id="rId5" w:type="default"/>
          <w:pgSz w:w="11906" w:h="16838"/>
          <w:pgMar w:top="1440" w:right="1803" w:bottom="1440" w:left="1803" w:header="851" w:footer="992" w:gutter="0"/>
          <w:cols w:space="720" w:num="1"/>
          <w:docGrid w:type="lines" w:linePitch="319" w:charSpace="0"/>
        </w:sectPr>
      </w:pPr>
      <w:r>
        <w:rPr>
          <w:rFonts w:ascii="宋体" w:hAnsi="宋体" w:cs="宋体"/>
          <w:color w:val="auto"/>
          <w:sz w:val="28"/>
          <w:szCs w:val="28"/>
          <w:highlight w:val="none"/>
        </w:rPr>
        <w:drawing>
          <wp:anchor distT="0" distB="0" distL="114300" distR="114300" simplePos="0" relativeHeight="251666432" behindDoc="1" locked="0" layoutInCell="1" allowOverlap="1">
            <wp:simplePos x="0" y="0"/>
            <wp:positionH relativeFrom="column">
              <wp:posOffset>-291465</wp:posOffset>
            </wp:positionH>
            <wp:positionV relativeFrom="paragraph">
              <wp:posOffset>26035</wp:posOffset>
            </wp:positionV>
            <wp:extent cx="5855335" cy="8279765"/>
            <wp:effectExtent l="0" t="0" r="0" b="6985"/>
            <wp:wrapNone/>
            <wp:docPr id="20030858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8583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55587" cy="8280000"/>
                    </a:xfrm>
                    <a:prstGeom prst="rect">
                      <a:avLst/>
                    </a:prstGeom>
                    <a:noFill/>
                    <a:ln>
                      <a:noFill/>
                    </a:ln>
                  </pic:spPr>
                </pic:pic>
              </a:graphicData>
            </a:graphic>
          </wp:anchor>
        </w:drawing>
      </w:r>
      <w:r>
        <w:rPr>
          <w:rFonts w:hint="eastAsia" w:ascii="宋体" w:hAnsi="宋体" w:cs="宋体"/>
          <w:color w:val="auto"/>
          <w:sz w:val="44"/>
          <w:szCs w:val="44"/>
          <w:highlight w:val="none"/>
        </w:rPr>
        <w:t>源城区养殖水域滩涂养殖区分布图</w:t>
      </w:r>
    </w:p>
    <w:p>
      <w:pPr>
        <w:pStyle w:val="5"/>
        <w:spacing w:line="360" w:lineRule="auto"/>
        <w:rPr>
          <w:rFonts w:ascii="仿宋" w:hAnsi="仿宋" w:eastAsia="仿宋" w:cs="仿宋"/>
          <w:b/>
          <w:bCs/>
          <w:color w:val="auto"/>
          <w:szCs w:val="24"/>
          <w:highlight w:val="none"/>
        </w:rPr>
      </w:pPr>
      <w:r>
        <w:rPr>
          <w:rFonts w:hint="eastAsia" w:ascii="仿宋" w:hAnsi="仿宋" w:eastAsia="仿宋" w:cs="仿宋"/>
          <w:b/>
          <w:bCs/>
          <w:color w:val="auto"/>
          <w:szCs w:val="24"/>
          <w:highlight w:val="none"/>
        </w:rPr>
        <w:t>附表1 河源市源城区水域滩涂规划面积汇总</w:t>
      </w:r>
    </w:p>
    <w:p>
      <w:pPr>
        <w:rPr>
          <w:rFonts w:ascii="仿宋" w:hAnsi="仿宋" w:eastAsia="仿宋" w:cs="仿宋"/>
          <w:color w:val="auto"/>
          <w:sz w:val="24"/>
          <w:highlight w:val="none"/>
        </w:rPr>
      </w:pPr>
      <w:r>
        <w:rPr>
          <w:rFonts w:hint="eastAsia" w:ascii="宋体" w:hAnsi="宋体" w:cs="宋体"/>
          <w:color w:val="auto"/>
          <w:sz w:val="24"/>
          <w:highlight w:val="none"/>
        </w:rPr>
        <w:t xml:space="preserve">                                          </w:t>
      </w:r>
      <w:r>
        <w:rPr>
          <w:rFonts w:hint="eastAsia" w:ascii="仿宋" w:hAnsi="仿宋" w:eastAsia="仿宋" w:cs="仿宋"/>
          <w:color w:val="auto"/>
          <w:sz w:val="24"/>
          <w:highlight w:val="none"/>
        </w:rPr>
        <w:t xml:space="preserve">  面积单位：公顷</w:t>
      </w:r>
    </w:p>
    <w:tbl>
      <w:tblPr>
        <w:tblStyle w:val="16"/>
        <w:tblW w:w="5710" w:type="dxa"/>
        <w:jc w:val="center"/>
        <w:tblLayout w:type="fixed"/>
        <w:tblCellMar>
          <w:top w:w="15" w:type="dxa"/>
          <w:left w:w="15" w:type="dxa"/>
          <w:bottom w:w="15" w:type="dxa"/>
          <w:right w:w="15" w:type="dxa"/>
        </w:tblCellMar>
      </w:tblPr>
      <w:tblGrid>
        <w:gridCol w:w="1390"/>
        <w:gridCol w:w="1080"/>
        <w:gridCol w:w="1080"/>
        <w:gridCol w:w="1080"/>
        <w:gridCol w:w="1080"/>
      </w:tblGrid>
      <w:tr>
        <w:tblPrEx>
          <w:tblCellMar>
            <w:top w:w="15" w:type="dxa"/>
            <w:left w:w="15" w:type="dxa"/>
            <w:bottom w:w="15" w:type="dxa"/>
            <w:right w:w="15" w:type="dxa"/>
          </w:tblCellMar>
        </w:tblPrEx>
        <w:trPr>
          <w:trHeight w:val="454" w:hRule="atLeast"/>
          <w:jc w:val="center"/>
        </w:trPr>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b/>
                <w:bCs/>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总水域</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禁养区</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限养区</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养殖区</w:t>
            </w:r>
          </w:p>
        </w:tc>
      </w:tr>
      <w:tr>
        <w:tblPrEx>
          <w:tblCellMar>
            <w:top w:w="15" w:type="dxa"/>
            <w:left w:w="15" w:type="dxa"/>
            <w:bottom w:w="15" w:type="dxa"/>
            <w:right w:w="15" w:type="dxa"/>
          </w:tblCellMar>
        </w:tblPrEx>
        <w:trPr>
          <w:trHeight w:val="454" w:hRule="atLeast"/>
          <w:jc w:val="center"/>
        </w:trPr>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总计</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2240.2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1791.5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378.0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70.7</w:t>
            </w:r>
          </w:p>
        </w:tc>
      </w:tr>
      <w:tr>
        <w:tblPrEx>
          <w:tblCellMar>
            <w:top w:w="15" w:type="dxa"/>
            <w:left w:w="15" w:type="dxa"/>
            <w:bottom w:w="15" w:type="dxa"/>
            <w:right w:w="15" w:type="dxa"/>
          </w:tblCellMar>
        </w:tblPrEx>
        <w:trPr>
          <w:trHeight w:val="454" w:hRule="atLeast"/>
          <w:jc w:val="center"/>
        </w:trPr>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沟渠</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54.7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27.0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27.7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0</w:t>
            </w:r>
          </w:p>
        </w:tc>
      </w:tr>
      <w:tr>
        <w:tblPrEx>
          <w:tblCellMar>
            <w:top w:w="15" w:type="dxa"/>
            <w:left w:w="15" w:type="dxa"/>
            <w:bottom w:w="15" w:type="dxa"/>
            <w:right w:w="15" w:type="dxa"/>
          </w:tblCellMar>
        </w:tblPrEx>
        <w:trPr>
          <w:trHeight w:val="454" w:hRule="atLeast"/>
          <w:jc w:val="center"/>
        </w:trPr>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河流水面</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800.8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800.8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0.0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0</w:t>
            </w:r>
          </w:p>
        </w:tc>
      </w:tr>
      <w:tr>
        <w:tblPrEx>
          <w:tblCellMar>
            <w:top w:w="15" w:type="dxa"/>
            <w:left w:w="15" w:type="dxa"/>
            <w:bottom w:w="15" w:type="dxa"/>
            <w:right w:w="15" w:type="dxa"/>
          </w:tblCellMar>
        </w:tblPrEx>
        <w:trPr>
          <w:trHeight w:val="454" w:hRule="atLeast"/>
          <w:jc w:val="center"/>
        </w:trPr>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湖泊水面</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24.3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18.3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5.9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0</w:t>
            </w:r>
          </w:p>
        </w:tc>
      </w:tr>
      <w:tr>
        <w:tblPrEx>
          <w:tblCellMar>
            <w:top w:w="15" w:type="dxa"/>
            <w:left w:w="15" w:type="dxa"/>
            <w:bottom w:w="15" w:type="dxa"/>
            <w:right w:w="15" w:type="dxa"/>
          </w:tblCellMar>
        </w:tblPrEx>
        <w:trPr>
          <w:trHeight w:val="454" w:hRule="atLeast"/>
          <w:jc w:val="center"/>
        </w:trPr>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坑塘水面</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448.4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117.2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260.5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70.7</w:t>
            </w:r>
          </w:p>
        </w:tc>
      </w:tr>
      <w:tr>
        <w:tblPrEx>
          <w:tblCellMar>
            <w:top w:w="15" w:type="dxa"/>
            <w:left w:w="15" w:type="dxa"/>
            <w:bottom w:w="15" w:type="dxa"/>
            <w:right w:w="15" w:type="dxa"/>
          </w:tblCellMar>
        </w:tblPrEx>
        <w:trPr>
          <w:trHeight w:val="454" w:hRule="atLeast"/>
          <w:jc w:val="center"/>
        </w:trPr>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内陆滩涂</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288.5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288.2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0.4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0</w:t>
            </w:r>
          </w:p>
        </w:tc>
      </w:tr>
      <w:tr>
        <w:tblPrEx>
          <w:tblCellMar>
            <w:top w:w="15" w:type="dxa"/>
            <w:left w:w="15" w:type="dxa"/>
            <w:bottom w:w="15" w:type="dxa"/>
            <w:right w:w="15" w:type="dxa"/>
          </w:tblCellMar>
        </w:tblPrEx>
        <w:trPr>
          <w:trHeight w:val="454" w:hRule="atLeast"/>
          <w:jc w:val="center"/>
        </w:trPr>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水库水面</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623.5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540.0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83.5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4"/>
                <w:highlight w:val="none"/>
              </w:rPr>
            </w:pPr>
            <w:r>
              <w:rPr>
                <w:color w:val="auto"/>
                <w:sz w:val="24"/>
                <w:highlight w:val="none"/>
              </w:rPr>
              <w:t>0</w:t>
            </w:r>
          </w:p>
        </w:tc>
      </w:tr>
    </w:tbl>
    <w:p>
      <w:pPr>
        <w:spacing w:line="360" w:lineRule="auto"/>
        <w:rPr>
          <w:rFonts w:ascii="宋体" w:hAnsi="宋体" w:cs="宋体"/>
          <w:color w:val="auto"/>
          <w:sz w:val="24"/>
          <w:highlight w:val="none"/>
        </w:rPr>
        <w:sectPr>
          <w:pgSz w:w="11906" w:h="16838"/>
          <w:pgMar w:top="1440" w:right="1797" w:bottom="1440" w:left="1797" w:header="851" w:footer="992" w:gutter="0"/>
          <w:cols w:space="720" w:num="1"/>
          <w:docGrid w:type="lines" w:linePitch="312" w:charSpace="0"/>
        </w:sectPr>
      </w:pPr>
    </w:p>
    <w:p>
      <w:pPr>
        <w:pStyle w:val="5"/>
        <w:spacing w:line="360" w:lineRule="auto"/>
        <w:rPr>
          <w:rFonts w:ascii="仿宋" w:hAnsi="仿宋" w:eastAsia="仿宋" w:cs="仿宋"/>
          <w:b/>
          <w:bCs/>
          <w:color w:val="auto"/>
          <w:szCs w:val="24"/>
          <w:highlight w:val="none"/>
        </w:rPr>
      </w:pPr>
      <w:r>
        <w:rPr>
          <w:rFonts w:hint="eastAsia" w:ascii="仿宋" w:hAnsi="仿宋" w:eastAsia="仿宋" w:cs="仿宋"/>
          <w:b/>
          <w:bCs/>
          <w:color w:val="auto"/>
          <w:szCs w:val="24"/>
          <w:highlight w:val="none"/>
        </w:rPr>
        <w:t>附表2 河源市源城区自然保护区名录</w:t>
      </w:r>
    </w:p>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面积单位：公顷</w:t>
      </w:r>
    </w:p>
    <w:tbl>
      <w:tblPr>
        <w:tblStyle w:val="17"/>
        <w:tblW w:w="13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2551"/>
        <w:gridCol w:w="1701"/>
        <w:gridCol w:w="1701"/>
        <w:gridCol w:w="1276"/>
        <w:gridCol w:w="2592"/>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709"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级别</w:t>
            </w:r>
          </w:p>
        </w:tc>
        <w:tc>
          <w:tcPr>
            <w:tcW w:w="2551"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保护区名称</w:t>
            </w:r>
          </w:p>
        </w:tc>
        <w:tc>
          <w:tcPr>
            <w:tcW w:w="1701"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地址</w:t>
            </w:r>
          </w:p>
        </w:tc>
        <w:tc>
          <w:tcPr>
            <w:tcW w:w="1701"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面积</w:t>
            </w:r>
          </w:p>
        </w:tc>
        <w:tc>
          <w:tcPr>
            <w:tcW w:w="1276"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批建时间</w:t>
            </w:r>
          </w:p>
        </w:tc>
        <w:tc>
          <w:tcPr>
            <w:tcW w:w="2592"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批准文字</w:t>
            </w:r>
          </w:p>
        </w:tc>
        <w:tc>
          <w:tcPr>
            <w:tcW w:w="2228"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709"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省级</w:t>
            </w:r>
          </w:p>
        </w:tc>
        <w:tc>
          <w:tcPr>
            <w:tcW w:w="255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大桂山自然保护区</w:t>
            </w:r>
          </w:p>
        </w:tc>
        <w:tc>
          <w:tcPr>
            <w:tcW w:w="170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70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7505.2</w:t>
            </w:r>
          </w:p>
        </w:tc>
        <w:tc>
          <w:tcPr>
            <w:tcW w:w="1276"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2006</w:t>
            </w:r>
          </w:p>
        </w:tc>
        <w:tc>
          <w:tcPr>
            <w:tcW w:w="2592"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粤府函[2006]27号</w:t>
            </w:r>
          </w:p>
        </w:tc>
        <w:tc>
          <w:tcPr>
            <w:tcW w:w="222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森林生态系统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709"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省级</w:t>
            </w:r>
          </w:p>
        </w:tc>
        <w:tc>
          <w:tcPr>
            <w:tcW w:w="255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河源恐龙化石自然保护区</w:t>
            </w:r>
          </w:p>
        </w:tc>
        <w:tc>
          <w:tcPr>
            <w:tcW w:w="170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70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1002</w:t>
            </w:r>
          </w:p>
        </w:tc>
        <w:tc>
          <w:tcPr>
            <w:tcW w:w="1276"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2001</w:t>
            </w:r>
          </w:p>
        </w:tc>
        <w:tc>
          <w:tcPr>
            <w:tcW w:w="2592"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粤办函﹝2001﹞740号</w:t>
            </w:r>
          </w:p>
        </w:tc>
        <w:tc>
          <w:tcPr>
            <w:tcW w:w="222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古生物遗迹</w:t>
            </w:r>
          </w:p>
        </w:tc>
      </w:tr>
    </w:tbl>
    <w:p>
      <w:pPr>
        <w:rPr>
          <w:rFonts w:ascii="仿宋" w:hAnsi="仿宋" w:eastAsia="仿宋" w:cs="仿宋"/>
          <w:color w:val="auto"/>
          <w:sz w:val="24"/>
          <w:highlight w:val="none"/>
        </w:rPr>
      </w:pPr>
    </w:p>
    <w:p>
      <w:pPr>
        <w:rPr>
          <w:rFonts w:ascii="仿宋" w:hAnsi="仿宋" w:eastAsia="仿宋" w:cs="仿宋"/>
          <w:color w:val="auto"/>
          <w:sz w:val="24"/>
          <w:highlight w:val="none"/>
        </w:rPr>
      </w:pPr>
    </w:p>
    <w:p>
      <w:pPr>
        <w:pStyle w:val="5"/>
        <w:spacing w:line="360" w:lineRule="auto"/>
        <w:rPr>
          <w:rFonts w:ascii="仿宋" w:hAnsi="仿宋" w:eastAsia="仿宋" w:cs="仿宋"/>
          <w:b/>
          <w:bCs/>
          <w:color w:val="auto"/>
          <w:szCs w:val="24"/>
          <w:highlight w:val="none"/>
        </w:rPr>
      </w:pPr>
      <w:r>
        <w:rPr>
          <w:rFonts w:hint="eastAsia" w:ascii="仿宋" w:hAnsi="仿宋" w:eastAsia="仿宋" w:cs="仿宋"/>
          <w:b/>
          <w:bCs/>
          <w:color w:val="auto"/>
          <w:szCs w:val="24"/>
          <w:highlight w:val="none"/>
        </w:rPr>
        <w:t>附表3：河源市源城区森林公园和湿地公园名单</w:t>
      </w:r>
    </w:p>
    <w:p>
      <w:pPr>
        <w:jc w:val="right"/>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r>
        <w:rPr>
          <w:rFonts w:hint="eastAsia" w:ascii="仿宋" w:hAnsi="仿宋" w:eastAsia="仿宋" w:cs="仿宋"/>
          <w:color w:val="auto"/>
          <w:sz w:val="24"/>
          <w:highlight w:val="none"/>
        </w:rPr>
        <w:t>面积单位：公顷</w:t>
      </w:r>
    </w:p>
    <w:tbl>
      <w:tblPr>
        <w:tblStyle w:val="17"/>
        <w:tblW w:w="13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835"/>
        <w:gridCol w:w="1418"/>
        <w:gridCol w:w="1275"/>
        <w:gridCol w:w="1276"/>
        <w:gridCol w:w="1701"/>
        <w:gridCol w:w="2126"/>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35"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18"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所在地</w:t>
            </w:r>
          </w:p>
        </w:tc>
        <w:tc>
          <w:tcPr>
            <w:tcW w:w="1275"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面积</w:t>
            </w:r>
          </w:p>
        </w:tc>
        <w:tc>
          <w:tcPr>
            <w:tcW w:w="1276"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级别</w:t>
            </w:r>
          </w:p>
        </w:tc>
        <w:tc>
          <w:tcPr>
            <w:tcW w:w="1701"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资源类型</w:t>
            </w:r>
          </w:p>
        </w:tc>
        <w:tc>
          <w:tcPr>
            <w:tcW w:w="2126"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批准部门</w:t>
            </w:r>
          </w:p>
        </w:tc>
        <w:tc>
          <w:tcPr>
            <w:tcW w:w="2343"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批准文号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83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源城区桂山森林公园</w:t>
            </w:r>
          </w:p>
        </w:tc>
        <w:tc>
          <w:tcPr>
            <w:tcW w:w="141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源城源南</w:t>
            </w:r>
          </w:p>
        </w:tc>
        <w:tc>
          <w:tcPr>
            <w:tcW w:w="12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2517</w:t>
            </w:r>
          </w:p>
        </w:tc>
        <w:tc>
          <w:tcPr>
            <w:tcW w:w="1276"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县级</w:t>
            </w:r>
          </w:p>
        </w:tc>
        <w:tc>
          <w:tcPr>
            <w:tcW w:w="170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山岳森林型</w:t>
            </w:r>
          </w:p>
        </w:tc>
        <w:tc>
          <w:tcPr>
            <w:tcW w:w="2126"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源城区人民政府</w:t>
            </w:r>
          </w:p>
        </w:tc>
        <w:tc>
          <w:tcPr>
            <w:tcW w:w="2343"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源府复[2003]7号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83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望郎回森林公园</w:t>
            </w:r>
          </w:p>
        </w:tc>
        <w:tc>
          <w:tcPr>
            <w:tcW w:w="141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源城源西</w:t>
            </w:r>
          </w:p>
        </w:tc>
        <w:tc>
          <w:tcPr>
            <w:tcW w:w="12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878</w:t>
            </w:r>
          </w:p>
        </w:tc>
        <w:tc>
          <w:tcPr>
            <w:tcW w:w="1276"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县级</w:t>
            </w:r>
          </w:p>
        </w:tc>
        <w:tc>
          <w:tcPr>
            <w:tcW w:w="170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山岳森林型</w:t>
            </w:r>
          </w:p>
        </w:tc>
        <w:tc>
          <w:tcPr>
            <w:tcW w:w="2126"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源城区人民政府</w:t>
            </w:r>
          </w:p>
        </w:tc>
        <w:tc>
          <w:tcPr>
            <w:tcW w:w="2343"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源府复[2003]7号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57" w:type="dxa"/>
            <w:gridSpan w:val="3"/>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合计</w:t>
            </w:r>
          </w:p>
        </w:tc>
        <w:tc>
          <w:tcPr>
            <w:tcW w:w="12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3395</w:t>
            </w:r>
          </w:p>
        </w:tc>
        <w:tc>
          <w:tcPr>
            <w:tcW w:w="1276" w:type="dxa"/>
            <w:vAlign w:val="center"/>
          </w:tcPr>
          <w:p>
            <w:pPr>
              <w:jc w:val="center"/>
              <w:rPr>
                <w:rFonts w:ascii="仿宋" w:hAnsi="仿宋" w:eastAsia="仿宋" w:cs="仿宋"/>
                <w:color w:val="auto"/>
                <w:sz w:val="24"/>
                <w:highlight w:val="none"/>
              </w:rPr>
            </w:pPr>
          </w:p>
        </w:tc>
        <w:tc>
          <w:tcPr>
            <w:tcW w:w="1701" w:type="dxa"/>
            <w:vAlign w:val="center"/>
          </w:tcPr>
          <w:p>
            <w:pPr>
              <w:jc w:val="center"/>
              <w:rPr>
                <w:rFonts w:ascii="仿宋" w:hAnsi="仿宋" w:eastAsia="仿宋" w:cs="仿宋"/>
                <w:color w:val="auto"/>
                <w:sz w:val="24"/>
                <w:highlight w:val="none"/>
              </w:rPr>
            </w:pPr>
          </w:p>
        </w:tc>
        <w:tc>
          <w:tcPr>
            <w:tcW w:w="2126" w:type="dxa"/>
            <w:vAlign w:val="center"/>
          </w:tcPr>
          <w:p>
            <w:pPr>
              <w:jc w:val="center"/>
              <w:rPr>
                <w:rFonts w:ascii="仿宋" w:hAnsi="仿宋" w:eastAsia="仿宋" w:cs="仿宋"/>
                <w:color w:val="auto"/>
                <w:sz w:val="24"/>
                <w:highlight w:val="none"/>
              </w:rPr>
            </w:pPr>
          </w:p>
        </w:tc>
        <w:tc>
          <w:tcPr>
            <w:tcW w:w="2343" w:type="dxa"/>
            <w:vAlign w:val="center"/>
          </w:tcPr>
          <w:p>
            <w:pPr>
              <w:jc w:val="center"/>
              <w:rPr>
                <w:rFonts w:ascii="仿宋" w:hAnsi="仿宋" w:eastAsia="仿宋" w:cs="仿宋"/>
                <w:color w:val="auto"/>
                <w:sz w:val="24"/>
                <w:highlight w:val="none"/>
              </w:rPr>
            </w:pPr>
          </w:p>
        </w:tc>
      </w:tr>
    </w:tbl>
    <w:p>
      <w:pPr>
        <w:rPr>
          <w:rFonts w:ascii="仿宋" w:hAnsi="仿宋" w:eastAsia="仿宋" w:cs="仿宋"/>
          <w:color w:val="auto"/>
          <w:sz w:val="24"/>
          <w:highlight w:val="none"/>
        </w:rPr>
      </w:pPr>
    </w:p>
    <w:p>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24"/>
          <w:highlight w:val="none"/>
        </w:rPr>
        <w:t>附表4 河源市源城区景区景点名录</w:t>
      </w:r>
    </w:p>
    <w:tbl>
      <w:tblPr>
        <w:tblStyle w:val="16"/>
        <w:tblW w:w="126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75"/>
        <w:gridCol w:w="1712"/>
        <w:gridCol w:w="3938"/>
        <w:gridCol w:w="1025"/>
        <w:gridCol w:w="1712"/>
        <w:gridCol w:w="3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5" w:type="dxa"/>
            <w:vAlign w:val="center"/>
          </w:tcPr>
          <w:p>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序号</w:t>
            </w:r>
          </w:p>
        </w:tc>
        <w:tc>
          <w:tcPr>
            <w:tcW w:w="1712" w:type="dxa"/>
            <w:vAlign w:val="center"/>
          </w:tcPr>
          <w:p>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属地</w:t>
            </w:r>
          </w:p>
        </w:tc>
        <w:tc>
          <w:tcPr>
            <w:tcW w:w="3938" w:type="dxa"/>
            <w:vAlign w:val="center"/>
          </w:tcPr>
          <w:p>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景区景点名称</w:t>
            </w:r>
          </w:p>
        </w:tc>
        <w:tc>
          <w:tcPr>
            <w:tcW w:w="1025" w:type="dxa"/>
            <w:vAlign w:val="center"/>
          </w:tcPr>
          <w:p>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A级</w:t>
            </w:r>
          </w:p>
        </w:tc>
        <w:tc>
          <w:tcPr>
            <w:tcW w:w="1712" w:type="dxa"/>
            <w:vAlign w:val="center"/>
          </w:tcPr>
          <w:p>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开业时间</w:t>
            </w:r>
          </w:p>
        </w:tc>
        <w:tc>
          <w:tcPr>
            <w:tcW w:w="3447" w:type="dxa"/>
            <w:vAlign w:val="center"/>
          </w:tcPr>
          <w:p>
            <w:pPr>
              <w:widowControl/>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1</w:t>
            </w:r>
          </w:p>
        </w:tc>
        <w:tc>
          <w:tcPr>
            <w:tcW w:w="1712" w:type="dxa"/>
            <w:vMerge w:val="restart"/>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市直（2个）</w:t>
            </w:r>
          </w:p>
        </w:tc>
        <w:tc>
          <w:tcPr>
            <w:tcW w:w="3938"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新丰江大坝旅游区</w:t>
            </w:r>
          </w:p>
        </w:tc>
        <w:tc>
          <w:tcPr>
            <w:tcW w:w="102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2A</w:t>
            </w:r>
          </w:p>
        </w:tc>
        <w:tc>
          <w:tcPr>
            <w:tcW w:w="1712"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1994年5月</w:t>
            </w:r>
          </w:p>
        </w:tc>
        <w:tc>
          <w:tcPr>
            <w:tcW w:w="3447"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源城区新江三路298号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2</w:t>
            </w:r>
          </w:p>
        </w:tc>
        <w:tc>
          <w:tcPr>
            <w:tcW w:w="1712" w:type="dxa"/>
            <w:vMerge w:val="continue"/>
            <w:vAlign w:val="center"/>
          </w:tcPr>
          <w:p>
            <w:pPr>
              <w:jc w:val="center"/>
              <w:rPr>
                <w:rFonts w:ascii="仿宋" w:hAnsi="仿宋" w:eastAsia="仿宋" w:cs="仿宋"/>
                <w:color w:val="auto"/>
                <w:sz w:val="24"/>
                <w:highlight w:val="none"/>
              </w:rPr>
            </w:pPr>
          </w:p>
        </w:tc>
        <w:tc>
          <w:tcPr>
            <w:tcW w:w="3938"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河源恐龙博物馆</w:t>
            </w:r>
          </w:p>
        </w:tc>
        <w:tc>
          <w:tcPr>
            <w:tcW w:w="102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712"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2010年11月</w:t>
            </w:r>
          </w:p>
        </w:tc>
        <w:tc>
          <w:tcPr>
            <w:tcW w:w="3447"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源城区滨江大道龟峰塔下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3</w:t>
            </w:r>
          </w:p>
        </w:tc>
        <w:tc>
          <w:tcPr>
            <w:tcW w:w="1712" w:type="dxa"/>
            <w:vMerge w:val="restart"/>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源城区（6个）</w:t>
            </w:r>
          </w:p>
        </w:tc>
        <w:tc>
          <w:tcPr>
            <w:tcW w:w="3938"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河源巴伐利亚庄园</w:t>
            </w:r>
          </w:p>
        </w:tc>
        <w:tc>
          <w:tcPr>
            <w:tcW w:w="102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4A</w:t>
            </w:r>
          </w:p>
        </w:tc>
        <w:tc>
          <w:tcPr>
            <w:tcW w:w="1712"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2014年11月</w:t>
            </w:r>
          </w:p>
        </w:tc>
        <w:tc>
          <w:tcPr>
            <w:tcW w:w="3447"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源城区巴伐利亚庄园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4</w:t>
            </w:r>
          </w:p>
        </w:tc>
        <w:tc>
          <w:tcPr>
            <w:tcW w:w="1712" w:type="dxa"/>
            <w:vMerge w:val="continue"/>
            <w:vAlign w:val="center"/>
          </w:tcPr>
          <w:p>
            <w:pPr>
              <w:jc w:val="center"/>
              <w:rPr>
                <w:rFonts w:ascii="仿宋" w:hAnsi="仿宋" w:eastAsia="仿宋" w:cs="仿宋"/>
                <w:color w:val="auto"/>
                <w:sz w:val="24"/>
                <w:highlight w:val="none"/>
              </w:rPr>
            </w:pPr>
          </w:p>
        </w:tc>
        <w:tc>
          <w:tcPr>
            <w:tcW w:w="3938"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客天下水晶温泉国际旅游度假区</w:t>
            </w:r>
          </w:p>
        </w:tc>
        <w:tc>
          <w:tcPr>
            <w:tcW w:w="102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4A</w:t>
            </w:r>
          </w:p>
        </w:tc>
        <w:tc>
          <w:tcPr>
            <w:tcW w:w="1712"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2015年10月</w:t>
            </w:r>
          </w:p>
        </w:tc>
        <w:tc>
          <w:tcPr>
            <w:tcW w:w="3447"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源城区龙源大道1号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5</w:t>
            </w:r>
          </w:p>
        </w:tc>
        <w:tc>
          <w:tcPr>
            <w:tcW w:w="1712" w:type="dxa"/>
            <w:vMerge w:val="continue"/>
            <w:vAlign w:val="center"/>
          </w:tcPr>
          <w:p>
            <w:pPr>
              <w:jc w:val="center"/>
              <w:rPr>
                <w:rFonts w:ascii="仿宋" w:hAnsi="仿宋" w:eastAsia="仿宋" w:cs="仿宋"/>
                <w:color w:val="auto"/>
                <w:sz w:val="24"/>
                <w:highlight w:val="none"/>
              </w:rPr>
            </w:pPr>
          </w:p>
        </w:tc>
        <w:tc>
          <w:tcPr>
            <w:tcW w:w="3938"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野趣沟旅游区</w:t>
            </w:r>
          </w:p>
        </w:tc>
        <w:tc>
          <w:tcPr>
            <w:tcW w:w="102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712"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2002年</w:t>
            </w:r>
          </w:p>
        </w:tc>
        <w:tc>
          <w:tcPr>
            <w:tcW w:w="3447"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桂山旅游大道8公里处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6</w:t>
            </w:r>
          </w:p>
        </w:tc>
        <w:tc>
          <w:tcPr>
            <w:tcW w:w="1712" w:type="dxa"/>
            <w:vMerge w:val="continue"/>
            <w:vAlign w:val="center"/>
          </w:tcPr>
          <w:p>
            <w:pPr>
              <w:jc w:val="center"/>
              <w:rPr>
                <w:rFonts w:ascii="仿宋" w:hAnsi="仿宋" w:eastAsia="仿宋" w:cs="仿宋"/>
                <w:color w:val="auto"/>
                <w:sz w:val="24"/>
                <w:highlight w:val="none"/>
              </w:rPr>
            </w:pPr>
          </w:p>
        </w:tc>
        <w:tc>
          <w:tcPr>
            <w:tcW w:w="3938"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福源果场</w:t>
            </w:r>
          </w:p>
        </w:tc>
        <w:tc>
          <w:tcPr>
            <w:tcW w:w="102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712"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2013年</w:t>
            </w:r>
          </w:p>
        </w:tc>
        <w:tc>
          <w:tcPr>
            <w:tcW w:w="3447"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源城区埔前镇上村凹子龙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7</w:t>
            </w:r>
          </w:p>
        </w:tc>
        <w:tc>
          <w:tcPr>
            <w:tcW w:w="1712" w:type="dxa"/>
            <w:vMerge w:val="continue"/>
            <w:vAlign w:val="center"/>
          </w:tcPr>
          <w:p>
            <w:pPr>
              <w:jc w:val="center"/>
              <w:rPr>
                <w:rFonts w:ascii="仿宋" w:hAnsi="仿宋" w:eastAsia="仿宋" w:cs="仿宋"/>
                <w:color w:val="auto"/>
                <w:sz w:val="24"/>
                <w:highlight w:val="none"/>
              </w:rPr>
            </w:pPr>
          </w:p>
        </w:tc>
        <w:tc>
          <w:tcPr>
            <w:tcW w:w="3938"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东兴旺果场</w:t>
            </w:r>
          </w:p>
        </w:tc>
        <w:tc>
          <w:tcPr>
            <w:tcW w:w="102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712"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2006年</w:t>
            </w:r>
          </w:p>
        </w:tc>
        <w:tc>
          <w:tcPr>
            <w:tcW w:w="3447"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源城区埔前镇坪围村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75"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8</w:t>
            </w:r>
          </w:p>
        </w:tc>
        <w:tc>
          <w:tcPr>
            <w:tcW w:w="1712" w:type="dxa"/>
            <w:vMerge w:val="continue"/>
            <w:vAlign w:val="center"/>
          </w:tcPr>
          <w:p>
            <w:pPr>
              <w:jc w:val="center"/>
              <w:rPr>
                <w:rFonts w:ascii="仿宋" w:hAnsi="仿宋" w:eastAsia="仿宋" w:cs="仿宋"/>
                <w:color w:val="auto"/>
                <w:sz w:val="24"/>
                <w:highlight w:val="none"/>
              </w:rPr>
            </w:pPr>
          </w:p>
        </w:tc>
        <w:tc>
          <w:tcPr>
            <w:tcW w:w="3938"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红峰旺果场</w:t>
            </w:r>
          </w:p>
        </w:tc>
        <w:tc>
          <w:tcPr>
            <w:tcW w:w="102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712"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2015年</w:t>
            </w:r>
          </w:p>
        </w:tc>
        <w:tc>
          <w:tcPr>
            <w:tcW w:w="3447" w:type="dxa"/>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源城区埔前镇坪围村</w:t>
            </w:r>
          </w:p>
        </w:tc>
      </w:tr>
    </w:tbl>
    <w:p>
      <w:pPr>
        <w:rPr>
          <w:rFonts w:ascii="仿宋" w:hAnsi="仿宋" w:eastAsia="仿宋" w:cs="仿宋"/>
          <w:color w:val="auto"/>
          <w:sz w:val="24"/>
          <w:highlight w:val="none"/>
        </w:rPr>
      </w:pPr>
    </w:p>
    <w:p>
      <w:pPr>
        <w:rPr>
          <w:rFonts w:ascii="仿宋" w:hAnsi="仿宋" w:eastAsia="仿宋" w:cs="仿宋"/>
          <w:color w:val="auto"/>
          <w:sz w:val="24"/>
          <w:highlight w:val="none"/>
        </w:rPr>
      </w:pPr>
    </w:p>
    <w:p>
      <w:pPr>
        <w:spacing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附表5 河源市源城区大中型水库名单</w:t>
      </w:r>
    </w:p>
    <w:tbl>
      <w:tblPr>
        <w:tblStyle w:val="17"/>
        <w:tblW w:w="8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470"/>
        <w:gridCol w:w="2091"/>
        <w:gridCol w:w="2091"/>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9"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编号</w:t>
            </w:r>
          </w:p>
        </w:tc>
        <w:tc>
          <w:tcPr>
            <w:tcW w:w="1470"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水库名称</w:t>
            </w:r>
          </w:p>
        </w:tc>
        <w:tc>
          <w:tcPr>
            <w:tcW w:w="2091"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类型</w:t>
            </w:r>
          </w:p>
        </w:tc>
        <w:tc>
          <w:tcPr>
            <w:tcW w:w="2091"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所在县</w:t>
            </w:r>
          </w:p>
        </w:tc>
        <w:tc>
          <w:tcPr>
            <w:tcW w:w="1608" w:type="dxa"/>
            <w:vAlign w:val="center"/>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9"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7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新丰江水库</w:t>
            </w:r>
          </w:p>
        </w:tc>
        <w:tc>
          <w:tcPr>
            <w:tcW w:w="209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大（1）型</w:t>
            </w:r>
          </w:p>
        </w:tc>
        <w:tc>
          <w:tcPr>
            <w:tcW w:w="209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60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9"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70"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七礤水库</w:t>
            </w:r>
          </w:p>
        </w:tc>
        <w:tc>
          <w:tcPr>
            <w:tcW w:w="209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中型</w:t>
            </w:r>
          </w:p>
        </w:tc>
        <w:tc>
          <w:tcPr>
            <w:tcW w:w="209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60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河源市</w:t>
            </w:r>
          </w:p>
        </w:tc>
      </w:tr>
    </w:tbl>
    <w:p>
      <w:pPr>
        <w:rPr>
          <w:rFonts w:ascii="仿宋" w:hAnsi="仿宋" w:eastAsia="仿宋" w:cs="仿宋"/>
          <w:color w:val="auto"/>
          <w:sz w:val="24"/>
          <w:highlight w:val="none"/>
        </w:rPr>
        <w:sectPr>
          <w:pgSz w:w="16838" w:h="11906" w:orient="landscape"/>
          <w:pgMar w:top="1797" w:right="1440" w:bottom="1797" w:left="1440" w:header="851" w:footer="992" w:gutter="0"/>
          <w:cols w:space="720" w:num="1"/>
          <w:docGrid w:type="lines" w:linePitch="312" w:charSpace="0"/>
        </w:sectPr>
      </w:pPr>
    </w:p>
    <w:p>
      <w:pPr>
        <w:spacing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附表6 河源市源城区饮用水源保护区名录</w:t>
      </w:r>
    </w:p>
    <w:tbl>
      <w:tblPr>
        <w:tblStyle w:val="16"/>
        <w:tblW w:w="14105" w:type="dxa"/>
        <w:jc w:val="center"/>
        <w:tblLayout w:type="fixed"/>
        <w:tblCellMar>
          <w:top w:w="0" w:type="dxa"/>
          <w:left w:w="108" w:type="dxa"/>
          <w:bottom w:w="0" w:type="dxa"/>
          <w:right w:w="108" w:type="dxa"/>
        </w:tblCellMar>
      </w:tblPr>
      <w:tblGrid>
        <w:gridCol w:w="641"/>
        <w:gridCol w:w="851"/>
        <w:gridCol w:w="850"/>
        <w:gridCol w:w="1669"/>
        <w:gridCol w:w="1087"/>
        <w:gridCol w:w="1072"/>
        <w:gridCol w:w="3685"/>
        <w:gridCol w:w="4250"/>
      </w:tblGrid>
      <w:tr>
        <w:tblPrEx>
          <w:tblCellMar>
            <w:top w:w="0" w:type="dxa"/>
            <w:left w:w="108" w:type="dxa"/>
            <w:bottom w:w="0" w:type="dxa"/>
            <w:right w:w="108" w:type="dxa"/>
          </w:tblCellMar>
        </w:tblPrEx>
        <w:trPr>
          <w:trHeight w:val="454" w:hRule="atLeast"/>
          <w:tblHeader/>
          <w:jc w:val="center"/>
        </w:trPr>
        <w:tc>
          <w:tcPr>
            <w:tcW w:w="64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51"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地市</w:t>
            </w:r>
          </w:p>
        </w:tc>
        <w:tc>
          <w:tcPr>
            <w:tcW w:w="8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县（市、区）</w:t>
            </w:r>
          </w:p>
        </w:tc>
        <w:tc>
          <w:tcPr>
            <w:tcW w:w="166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保护区名称</w:t>
            </w:r>
          </w:p>
        </w:tc>
        <w:tc>
          <w:tcPr>
            <w:tcW w:w="108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保护区级别</w:t>
            </w:r>
          </w:p>
        </w:tc>
        <w:tc>
          <w:tcPr>
            <w:tcW w:w="107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水质保护目标</w:t>
            </w:r>
          </w:p>
        </w:tc>
        <w:tc>
          <w:tcPr>
            <w:tcW w:w="36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水域保护范围</w:t>
            </w:r>
          </w:p>
        </w:tc>
        <w:tc>
          <w:tcPr>
            <w:tcW w:w="425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陆域保护范围</w:t>
            </w:r>
          </w:p>
        </w:tc>
      </w:tr>
      <w:tr>
        <w:tblPrEx>
          <w:tblCellMar>
            <w:top w:w="0" w:type="dxa"/>
            <w:left w:w="108" w:type="dxa"/>
            <w:bottom w:w="0" w:type="dxa"/>
            <w:right w:w="108" w:type="dxa"/>
          </w:tblCellMar>
        </w:tblPrEx>
        <w:trPr>
          <w:trHeight w:val="454" w:hRule="atLeast"/>
          <w:jc w:val="center"/>
        </w:trPr>
        <w:tc>
          <w:tcPr>
            <w:tcW w:w="641" w:type="dxa"/>
            <w:vMerge w:val="restart"/>
            <w:tcBorders>
              <w:left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51" w:type="dxa"/>
            <w:vMerge w:val="restart"/>
            <w:tcBorders>
              <w:left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河源市</w:t>
            </w:r>
          </w:p>
        </w:tc>
        <w:tc>
          <w:tcPr>
            <w:tcW w:w="850" w:type="dxa"/>
            <w:vMerge w:val="restart"/>
            <w:tcBorders>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669" w:type="dxa"/>
            <w:vMerge w:val="restart"/>
            <w:tcBorders>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河源市区新丰江饮用水源保护区</w:t>
            </w:r>
          </w:p>
        </w:tc>
        <w:tc>
          <w:tcPr>
            <w:tcW w:w="1087"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一级保护区</w:t>
            </w:r>
          </w:p>
        </w:tc>
        <w:tc>
          <w:tcPr>
            <w:tcW w:w="1072"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Ⅱ类</w:t>
            </w:r>
          </w:p>
        </w:tc>
        <w:tc>
          <w:tcPr>
            <w:tcW w:w="3685"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新丰江水库大坝上游3500米（牛坑航标塔）至新丰江大坝的水域。</w:t>
            </w:r>
          </w:p>
        </w:tc>
        <w:tc>
          <w:tcPr>
            <w:tcW w:w="4250"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新丰江水库116米正常水位线相应一级保护区水域向陆纵深200米的集雨区。</w:t>
            </w:r>
          </w:p>
        </w:tc>
      </w:tr>
      <w:tr>
        <w:tblPrEx>
          <w:tblCellMar>
            <w:top w:w="0" w:type="dxa"/>
            <w:left w:w="108" w:type="dxa"/>
            <w:bottom w:w="0" w:type="dxa"/>
            <w:right w:w="108" w:type="dxa"/>
          </w:tblCellMar>
        </w:tblPrEx>
        <w:trPr>
          <w:trHeight w:val="454" w:hRule="atLeast"/>
          <w:jc w:val="center"/>
        </w:trPr>
        <w:tc>
          <w:tcPr>
            <w:tcW w:w="641" w:type="dxa"/>
            <w:vMerge w:val="continue"/>
            <w:tcBorders>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p>
        </w:tc>
        <w:tc>
          <w:tcPr>
            <w:tcW w:w="851" w:type="dxa"/>
            <w:vMerge w:val="continue"/>
            <w:tcBorders>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p>
        </w:tc>
        <w:tc>
          <w:tcPr>
            <w:tcW w:w="850" w:type="dxa"/>
            <w:vMerge w:val="continue"/>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p>
        </w:tc>
        <w:tc>
          <w:tcPr>
            <w:tcW w:w="1669" w:type="dxa"/>
            <w:vMerge w:val="continue"/>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p>
        </w:tc>
        <w:tc>
          <w:tcPr>
            <w:tcW w:w="1087"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二级保护区</w:t>
            </w:r>
          </w:p>
        </w:tc>
        <w:tc>
          <w:tcPr>
            <w:tcW w:w="1072"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Ⅱ类</w:t>
            </w:r>
          </w:p>
        </w:tc>
        <w:tc>
          <w:tcPr>
            <w:tcW w:w="3685"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新丰江水库除一级保护区外的水库所有水域。</w:t>
            </w:r>
          </w:p>
        </w:tc>
        <w:tc>
          <w:tcPr>
            <w:tcW w:w="4250"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新丰江水库116米正常水位线相应二级保护区水域向陆纵深300米、一级保护区陆域界限向陆纵深200米的陆域范围。</w:t>
            </w:r>
          </w:p>
        </w:tc>
      </w:tr>
      <w:tr>
        <w:tblPrEx>
          <w:tblCellMar>
            <w:top w:w="0" w:type="dxa"/>
            <w:left w:w="108" w:type="dxa"/>
            <w:bottom w:w="0" w:type="dxa"/>
            <w:right w:w="108" w:type="dxa"/>
          </w:tblCellMar>
        </w:tblPrEx>
        <w:trPr>
          <w:trHeight w:val="665" w:hRule="atLeast"/>
          <w:jc w:val="center"/>
        </w:trPr>
        <w:tc>
          <w:tcPr>
            <w:tcW w:w="641" w:type="dxa"/>
            <w:vMerge w:val="restart"/>
            <w:tcBorders>
              <w:left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51" w:type="dxa"/>
            <w:vMerge w:val="restart"/>
            <w:tcBorders>
              <w:left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河源市</w:t>
            </w:r>
          </w:p>
        </w:tc>
        <w:tc>
          <w:tcPr>
            <w:tcW w:w="850" w:type="dxa"/>
            <w:vMerge w:val="restart"/>
            <w:tcBorders>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669" w:type="dxa"/>
            <w:vMerge w:val="restart"/>
            <w:tcBorders>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olor w:val="auto"/>
                <w:sz w:val="24"/>
                <w:highlight w:val="none"/>
              </w:rPr>
              <w:t>河源市区东江饮用水源保护区</w:t>
            </w:r>
          </w:p>
        </w:tc>
        <w:tc>
          <w:tcPr>
            <w:tcW w:w="1087" w:type="dxa"/>
            <w:tcBorders>
              <w:bottom w:val="single" w:color="auto"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s="仿宋"/>
                <w:color w:val="auto"/>
                <w:sz w:val="24"/>
                <w:highlight w:val="none"/>
              </w:rPr>
              <w:t>一级保护区</w:t>
            </w:r>
          </w:p>
        </w:tc>
        <w:tc>
          <w:tcPr>
            <w:tcW w:w="1072" w:type="dxa"/>
            <w:tcBorders>
              <w:bottom w:val="single" w:color="auto"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s="仿宋"/>
                <w:color w:val="auto"/>
                <w:sz w:val="24"/>
                <w:highlight w:val="none"/>
              </w:rPr>
              <w:t>Ⅱ类</w:t>
            </w:r>
          </w:p>
        </w:tc>
        <w:tc>
          <w:tcPr>
            <w:tcW w:w="3685" w:type="dxa"/>
            <w:tcBorders>
              <w:bottom w:val="single" w:color="auto"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olor w:val="auto"/>
                <w:sz w:val="24"/>
                <w:highlight w:val="none"/>
              </w:rPr>
              <w:t>河源市区东江自来水厂取水口上游1000米至取水口下游500米河段的水域</w:t>
            </w:r>
          </w:p>
        </w:tc>
        <w:tc>
          <w:tcPr>
            <w:tcW w:w="4250" w:type="dxa"/>
            <w:tcBorders>
              <w:bottom w:val="single" w:color="auto"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olor w:val="auto"/>
                <w:sz w:val="24"/>
                <w:highlight w:val="none"/>
              </w:rPr>
              <w:t>相应一级保护区水域两岸向陆纵深500米的陆域</w:t>
            </w:r>
          </w:p>
        </w:tc>
      </w:tr>
      <w:tr>
        <w:tblPrEx>
          <w:tblCellMar>
            <w:top w:w="0" w:type="dxa"/>
            <w:left w:w="108" w:type="dxa"/>
            <w:bottom w:w="0" w:type="dxa"/>
            <w:right w:w="108" w:type="dxa"/>
          </w:tblCellMar>
        </w:tblPrEx>
        <w:trPr>
          <w:trHeight w:val="572" w:hRule="atLeast"/>
          <w:jc w:val="center"/>
        </w:trPr>
        <w:tc>
          <w:tcPr>
            <w:tcW w:w="641" w:type="dxa"/>
            <w:vMerge w:val="continue"/>
            <w:tcBorders>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p>
        </w:tc>
        <w:tc>
          <w:tcPr>
            <w:tcW w:w="851" w:type="dxa"/>
            <w:vMerge w:val="continue"/>
            <w:tcBorders>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p>
        </w:tc>
        <w:tc>
          <w:tcPr>
            <w:tcW w:w="850" w:type="dxa"/>
            <w:vMerge w:val="continue"/>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p>
        </w:tc>
        <w:tc>
          <w:tcPr>
            <w:tcW w:w="1669" w:type="dxa"/>
            <w:vMerge w:val="continue"/>
            <w:tcBorders>
              <w:bottom w:val="single" w:color="000000" w:sz="4" w:space="0"/>
              <w:right w:val="single" w:color="000000" w:sz="4" w:space="0"/>
            </w:tcBorders>
            <w:vAlign w:val="center"/>
          </w:tcPr>
          <w:p>
            <w:pPr>
              <w:autoSpaceDN w:val="0"/>
              <w:jc w:val="center"/>
              <w:textAlignment w:val="center"/>
              <w:rPr>
                <w:rFonts w:ascii="仿宋" w:hAnsi="仿宋" w:eastAsia="仿宋"/>
                <w:color w:val="auto"/>
                <w:sz w:val="24"/>
                <w:highlight w:val="none"/>
              </w:rPr>
            </w:pPr>
          </w:p>
        </w:tc>
        <w:tc>
          <w:tcPr>
            <w:tcW w:w="1087" w:type="dxa"/>
            <w:tcBorders>
              <w:top w:val="single" w:color="auto" w:sz="4" w:space="0"/>
              <w:bottom w:val="single" w:color="000000"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s="仿宋"/>
                <w:color w:val="auto"/>
                <w:sz w:val="24"/>
                <w:highlight w:val="none"/>
              </w:rPr>
              <w:t>二级保护区</w:t>
            </w:r>
          </w:p>
        </w:tc>
        <w:tc>
          <w:tcPr>
            <w:tcW w:w="1072" w:type="dxa"/>
            <w:tcBorders>
              <w:top w:val="single" w:color="auto" w:sz="4" w:space="0"/>
              <w:bottom w:val="single" w:color="000000"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s="仿宋"/>
                <w:color w:val="auto"/>
                <w:sz w:val="24"/>
                <w:highlight w:val="none"/>
              </w:rPr>
              <w:t>Ⅱ类</w:t>
            </w:r>
          </w:p>
        </w:tc>
        <w:tc>
          <w:tcPr>
            <w:tcW w:w="3685" w:type="dxa"/>
            <w:tcBorders>
              <w:top w:val="single" w:color="auto"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olor w:val="auto"/>
                <w:sz w:val="24"/>
                <w:highlight w:val="none"/>
              </w:rPr>
              <w:t>一级保护区上游边界上溯500米河段的水域</w:t>
            </w:r>
          </w:p>
        </w:tc>
        <w:tc>
          <w:tcPr>
            <w:tcW w:w="4250" w:type="dxa"/>
            <w:tcBorders>
              <w:top w:val="single" w:color="auto" w:sz="4" w:space="0"/>
              <w:bottom w:val="single" w:color="000000"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olor w:val="auto"/>
                <w:sz w:val="24"/>
                <w:highlight w:val="none"/>
              </w:rPr>
              <w:t>相应二级保护区水域两岸向陆纵深300米的陆域</w:t>
            </w:r>
          </w:p>
        </w:tc>
      </w:tr>
      <w:tr>
        <w:tblPrEx>
          <w:tblCellMar>
            <w:top w:w="0" w:type="dxa"/>
            <w:left w:w="108" w:type="dxa"/>
            <w:bottom w:w="0" w:type="dxa"/>
            <w:right w:w="108" w:type="dxa"/>
          </w:tblCellMar>
        </w:tblPrEx>
        <w:trPr>
          <w:trHeight w:val="654" w:hRule="atLeast"/>
          <w:jc w:val="center"/>
        </w:trPr>
        <w:tc>
          <w:tcPr>
            <w:tcW w:w="641" w:type="dxa"/>
            <w:vMerge w:val="restart"/>
            <w:tcBorders>
              <w:left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51" w:type="dxa"/>
            <w:vMerge w:val="restart"/>
            <w:tcBorders>
              <w:left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河源市</w:t>
            </w:r>
          </w:p>
        </w:tc>
        <w:tc>
          <w:tcPr>
            <w:tcW w:w="850" w:type="dxa"/>
            <w:vMerge w:val="restart"/>
            <w:tcBorders>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669" w:type="dxa"/>
            <w:vMerge w:val="restart"/>
            <w:tcBorders>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olor w:val="auto"/>
                <w:sz w:val="24"/>
                <w:highlight w:val="none"/>
              </w:rPr>
              <w:t>河源华嘉工业区东江饮用水源保护区</w:t>
            </w:r>
          </w:p>
        </w:tc>
        <w:tc>
          <w:tcPr>
            <w:tcW w:w="1087" w:type="dxa"/>
            <w:tcBorders>
              <w:bottom w:val="single" w:color="auto"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s="仿宋"/>
                <w:color w:val="auto"/>
                <w:sz w:val="24"/>
                <w:highlight w:val="none"/>
              </w:rPr>
              <w:t>一级保护区</w:t>
            </w:r>
          </w:p>
        </w:tc>
        <w:tc>
          <w:tcPr>
            <w:tcW w:w="1072" w:type="dxa"/>
            <w:tcBorders>
              <w:bottom w:val="single" w:color="auto"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s="仿宋"/>
                <w:color w:val="auto"/>
                <w:sz w:val="24"/>
                <w:highlight w:val="none"/>
              </w:rPr>
              <w:t>Ⅱ类</w:t>
            </w:r>
          </w:p>
        </w:tc>
        <w:tc>
          <w:tcPr>
            <w:tcW w:w="3685" w:type="dxa"/>
            <w:tcBorders>
              <w:bottom w:val="single" w:color="auto"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olor w:val="auto"/>
                <w:sz w:val="24"/>
                <w:highlight w:val="none"/>
              </w:rPr>
              <w:t>华嘉自来水厂取水口（地名大水坝）上游1000米至取水口下游500米河段的水域</w:t>
            </w:r>
          </w:p>
        </w:tc>
        <w:tc>
          <w:tcPr>
            <w:tcW w:w="4250" w:type="dxa"/>
            <w:tcBorders>
              <w:bottom w:val="single" w:color="auto"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olor w:val="auto"/>
                <w:sz w:val="24"/>
                <w:highlight w:val="none"/>
              </w:rPr>
              <w:t>相应一级保护区水域两岸向陆纵深500米的水域</w:t>
            </w:r>
          </w:p>
        </w:tc>
      </w:tr>
      <w:tr>
        <w:tblPrEx>
          <w:tblCellMar>
            <w:top w:w="0" w:type="dxa"/>
            <w:left w:w="108" w:type="dxa"/>
            <w:bottom w:w="0" w:type="dxa"/>
            <w:right w:w="108" w:type="dxa"/>
          </w:tblCellMar>
        </w:tblPrEx>
        <w:trPr>
          <w:trHeight w:val="583" w:hRule="atLeast"/>
          <w:jc w:val="center"/>
        </w:trPr>
        <w:tc>
          <w:tcPr>
            <w:tcW w:w="641" w:type="dxa"/>
            <w:vMerge w:val="continue"/>
            <w:tcBorders>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p>
        </w:tc>
        <w:tc>
          <w:tcPr>
            <w:tcW w:w="851" w:type="dxa"/>
            <w:vMerge w:val="continue"/>
            <w:tcBorders>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p>
        </w:tc>
        <w:tc>
          <w:tcPr>
            <w:tcW w:w="850" w:type="dxa"/>
            <w:vMerge w:val="continue"/>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p>
        </w:tc>
        <w:tc>
          <w:tcPr>
            <w:tcW w:w="1669" w:type="dxa"/>
            <w:vMerge w:val="continue"/>
            <w:tcBorders>
              <w:bottom w:val="single" w:color="000000" w:sz="4" w:space="0"/>
              <w:right w:val="single" w:color="000000" w:sz="4" w:space="0"/>
            </w:tcBorders>
            <w:vAlign w:val="center"/>
          </w:tcPr>
          <w:p>
            <w:pPr>
              <w:autoSpaceDN w:val="0"/>
              <w:jc w:val="center"/>
              <w:textAlignment w:val="center"/>
              <w:rPr>
                <w:rFonts w:ascii="仿宋" w:hAnsi="仿宋" w:eastAsia="仿宋"/>
                <w:color w:val="auto"/>
                <w:sz w:val="24"/>
                <w:highlight w:val="none"/>
              </w:rPr>
            </w:pPr>
          </w:p>
        </w:tc>
        <w:tc>
          <w:tcPr>
            <w:tcW w:w="1087" w:type="dxa"/>
            <w:tcBorders>
              <w:top w:val="single" w:color="auto" w:sz="4" w:space="0"/>
              <w:bottom w:val="single" w:color="000000"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s="仿宋"/>
                <w:color w:val="auto"/>
                <w:sz w:val="24"/>
                <w:highlight w:val="none"/>
              </w:rPr>
              <w:t>二级保护区</w:t>
            </w:r>
          </w:p>
        </w:tc>
        <w:tc>
          <w:tcPr>
            <w:tcW w:w="1072" w:type="dxa"/>
            <w:tcBorders>
              <w:top w:val="single" w:color="auto" w:sz="4" w:space="0"/>
              <w:bottom w:val="single" w:color="000000"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s="仿宋"/>
                <w:color w:val="auto"/>
                <w:sz w:val="24"/>
                <w:highlight w:val="none"/>
              </w:rPr>
              <w:t>Ⅱ类</w:t>
            </w:r>
          </w:p>
        </w:tc>
        <w:tc>
          <w:tcPr>
            <w:tcW w:w="3685" w:type="dxa"/>
            <w:tcBorders>
              <w:top w:val="single" w:color="auto"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olor w:val="auto"/>
                <w:sz w:val="24"/>
                <w:highlight w:val="none"/>
              </w:rPr>
              <w:t>一级保护区上游边界上溯500米河段的水域</w:t>
            </w:r>
          </w:p>
        </w:tc>
        <w:tc>
          <w:tcPr>
            <w:tcW w:w="4250" w:type="dxa"/>
            <w:tcBorders>
              <w:top w:val="single" w:color="auto" w:sz="4" w:space="0"/>
              <w:bottom w:val="single" w:color="000000" w:sz="4" w:space="0"/>
              <w:right w:val="single" w:color="000000" w:sz="4" w:space="0"/>
            </w:tcBorders>
            <w:vAlign w:val="center"/>
          </w:tcPr>
          <w:p>
            <w:pPr>
              <w:autoSpaceDN w:val="0"/>
              <w:jc w:val="center"/>
              <w:textAlignment w:val="center"/>
              <w:rPr>
                <w:rFonts w:ascii="仿宋" w:hAnsi="仿宋" w:eastAsia="仿宋"/>
                <w:color w:val="auto"/>
                <w:sz w:val="24"/>
                <w:highlight w:val="none"/>
              </w:rPr>
            </w:pPr>
            <w:r>
              <w:rPr>
                <w:rFonts w:hint="eastAsia" w:ascii="仿宋" w:hAnsi="仿宋" w:eastAsia="仿宋"/>
                <w:color w:val="auto"/>
                <w:sz w:val="24"/>
                <w:highlight w:val="none"/>
              </w:rPr>
              <w:t>相应二级保护区水域两岸向陆纵深300米的水域</w:t>
            </w:r>
          </w:p>
        </w:tc>
      </w:tr>
      <w:tr>
        <w:tblPrEx>
          <w:tblCellMar>
            <w:top w:w="0" w:type="dxa"/>
            <w:left w:w="108" w:type="dxa"/>
            <w:bottom w:w="0" w:type="dxa"/>
            <w:right w:w="108" w:type="dxa"/>
          </w:tblCellMar>
        </w:tblPrEx>
        <w:trPr>
          <w:trHeight w:val="454" w:hRule="atLeast"/>
          <w:jc w:val="center"/>
        </w:trPr>
        <w:tc>
          <w:tcPr>
            <w:tcW w:w="641" w:type="dxa"/>
            <w:tcBorders>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851" w:type="dxa"/>
            <w:tcBorders>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河源市</w:t>
            </w:r>
          </w:p>
        </w:tc>
        <w:tc>
          <w:tcPr>
            <w:tcW w:w="850"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669"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olor w:val="auto"/>
                <w:sz w:val="24"/>
                <w:highlight w:val="none"/>
              </w:rPr>
              <w:t>七礤水库饮用水源保护区</w:t>
            </w:r>
          </w:p>
        </w:tc>
        <w:tc>
          <w:tcPr>
            <w:tcW w:w="1087"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olor w:val="auto"/>
                <w:sz w:val="24"/>
                <w:highlight w:val="none"/>
              </w:rPr>
              <w:t>一级保护区</w:t>
            </w:r>
          </w:p>
        </w:tc>
        <w:tc>
          <w:tcPr>
            <w:tcW w:w="1072"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ascii="仿宋" w:hAnsi="仿宋" w:eastAsia="仿宋"/>
                <w:color w:val="auto"/>
                <w:sz w:val="24"/>
                <w:highlight w:val="none"/>
              </w:rPr>
              <w:t>Ⅱ类</w:t>
            </w:r>
          </w:p>
        </w:tc>
        <w:tc>
          <w:tcPr>
            <w:tcW w:w="3685"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七礤水库全部水域</w:t>
            </w:r>
          </w:p>
        </w:tc>
        <w:tc>
          <w:tcPr>
            <w:tcW w:w="4250"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olor w:val="auto"/>
                <w:sz w:val="24"/>
                <w:highlight w:val="none"/>
              </w:rPr>
              <w:t>七礤水库设计正常水位线向陆纵深500米集雨区</w:t>
            </w:r>
          </w:p>
        </w:tc>
      </w:tr>
      <w:tr>
        <w:tblPrEx>
          <w:tblCellMar>
            <w:top w:w="0" w:type="dxa"/>
            <w:left w:w="108" w:type="dxa"/>
            <w:bottom w:w="0" w:type="dxa"/>
            <w:right w:w="108" w:type="dxa"/>
          </w:tblCellMar>
        </w:tblPrEx>
        <w:trPr>
          <w:trHeight w:val="454" w:hRule="atLeast"/>
          <w:jc w:val="center"/>
        </w:trPr>
        <w:tc>
          <w:tcPr>
            <w:tcW w:w="641" w:type="dxa"/>
            <w:tcBorders>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851" w:type="dxa"/>
            <w:tcBorders>
              <w:left w:val="single" w:color="000000" w:sz="4" w:space="0"/>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河源市</w:t>
            </w:r>
          </w:p>
        </w:tc>
        <w:tc>
          <w:tcPr>
            <w:tcW w:w="850"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669"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olor w:val="auto"/>
                <w:sz w:val="24"/>
                <w:highlight w:val="none"/>
              </w:rPr>
              <w:t>香车水库饮用水源保护区</w:t>
            </w:r>
          </w:p>
        </w:tc>
        <w:tc>
          <w:tcPr>
            <w:tcW w:w="1087"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olor w:val="auto"/>
                <w:sz w:val="24"/>
                <w:highlight w:val="none"/>
              </w:rPr>
              <w:t>一级保护区</w:t>
            </w:r>
          </w:p>
        </w:tc>
        <w:tc>
          <w:tcPr>
            <w:tcW w:w="1072"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olor w:val="auto"/>
                <w:sz w:val="24"/>
                <w:highlight w:val="none"/>
              </w:rPr>
              <w:t>Ⅰ-</w:t>
            </w:r>
            <w:r>
              <w:rPr>
                <w:rFonts w:ascii="仿宋" w:hAnsi="仿宋" w:eastAsia="仿宋"/>
                <w:color w:val="auto"/>
                <w:sz w:val="24"/>
                <w:highlight w:val="none"/>
              </w:rPr>
              <w:t>Ⅱ类</w:t>
            </w:r>
          </w:p>
        </w:tc>
        <w:tc>
          <w:tcPr>
            <w:tcW w:w="3685"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香车水库全部水域</w:t>
            </w:r>
          </w:p>
        </w:tc>
        <w:tc>
          <w:tcPr>
            <w:tcW w:w="4250" w:type="dxa"/>
            <w:tcBorders>
              <w:bottom w:val="single" w:color="000000" w:sz="4" w:space="0"/>
              <w:right w:val="single" w:color="000000" w:sz="4" w:space="0"/>
            </w:tcBorders>
            <w:vAlign w:val="center"/>
          </w:tcPr>
          <w:p>
            <w:pPr>
              <w:autoSpaceDN w:val="0"/>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香车水库1</w:t>
            </w:r>
            <w:r>
              <w:rPr>
                <w:rFonts w:ascii="仿宋" w:hAnsi="仿宋" w:eastAsia="仿宋" w:cs="仿宋"/>
                <w:color w:val="auto"/>
                <w:sz w:val="24"/>
                <w:highlight w:val="none"/>
              </w:rPr>
              <w:t>16</w:t>
            </w:r>
            <w:r>
              <w:rPr>
                <w:rFonts w:hint="eastAsia" w:ascii="仿宋" w:hAnsi="仿宋" w:eastAsia="仿宋" w:cs="仿宋"/>
                <w:color w:val="auto"/>
                <w:sz w:val="24"/>
                <w:highlight w:val="none"/>
              </w:rPr>
              <w:t>米正常水位线相应一级保护区水域向陆纵深2</w:t>
            </w:r>
            <w:r>
              <w:rPr>
                <w:rFonts w:ascii="仿宋" w:hAnsi="仿宋" w:eastAsia="仿宋" w:cs="仿宋"/>
                <w:color w:val="auto"/>
                <w:sz w:val="24"/>
                <w:highlight w:val="none"/>
              </w:rPr>
              <w:t>00</w:t>
            </w:r>
            <w:r>
              <w:rPr>
                <w:rFonts w:hint="eastAsia" w:ascii="仿宋" w:hAnsi="仿宋" w:eastAsia="仿宋" w:cs="仿宋"/>
                <w:color w:val="auto"/>
                <w:sz w:val="24"/>
                <w:highlight w:val="none"/>
              </w:rPr>
              <w:t>米的集雨区；香车水库相应一级保护区水域两岸向陆纵深2</w:t>
            </w:r>
            <w:r>
              <w:rPr>
                <w:rFonts w:ascii="仿宋" w:hAnsi="仿宋" w:eastAsia="仿宋" w:cs="仿宋"/>
                <w:color w:val="auto"/>
                <w:sz w:val="24"/>
                <w:highlight w:val="none"/>
              </w:rPr>
              <w:t>00</w:t>
            </w:r>
            <w:r>
              <w:rPr>
                <w:rFonts w:hint="eastAsia" w:ascii="仿宋" w:hAnsi="仿宋" w:eastAsia="仿宋" w:cs="仿宋"/>
                <w:color w:val="auto"/>
                <w:sz w:val="24"/>
                <w:highlight w:val="none"/>
              </w:rPr>
              <w:t>米的陆域区域</w:t>
            </w:r>
          </w:p>
        </w:tc>
      </w:tr>
      <w:tr>
        <w:tblPrEx>
          <w:tblCellMar>
            <w:top w:w="0" w:type="dxa"/>
            <w:left w:w="108" w:type="dxa"/>
            <w:bottom w:w="0" w:type="dxa"/>
            <w:right w:w="108" w:type="dxa"/>
          </w:tblCellMar>
        </w:tblPrEx>
        <w:trPr>
          <w:trHeight w:val="454" w:hRule="atLeast"/>
          <w:jc w:val="center"/>
        </w:trPr>
        <w:tc>
          <w:tcPr>
            <w:tcW w:w="14105" w:type="dxa"/>
            <w:gridSpan w:val="8"/>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备注：饮用水源为地表水源的，水质保护目标执行现行的地表水环境质量标准；饮用水源为地下水源的，水质保护目标执行现行的地下水质量标准。</w:t>
            </w:r>
          </w:p>
        </w:tc>
      </w:tr>
    </w:tbl>
    <w:p>
      <w:pPr>
        <w:spacing w:beforeLines="200"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表7 河源市源城区湿地公园名单</w:t>
      </w:r>
    </w:p>
    <w:p>
      <w:pPr>
        <w:jc w:val="right"/>
        <w:rPr>
          <w:rFonts w:ascii="仿宋" w:hAnsi="仿宋" w:eastAsia="仿宋" w:cs="仿宋"/>
          <w:color w:val="auto"/>
          <w:sz w:val="24"/>
          <w:highlight w:val="none"/>
        </w:rPr>
      </w:pPr>
      <w:r>
        <w:rPr>
          <w:rFonts w:hint="eastAsia" w:ascii="仿宋" w:hAnsi="仿宋" w:eastAsia="仿宋" w:cs="仿宋"/>
          <w:color w:val="auto"/>
          <w:sz w:val="24"/>
          <w:highlight w:val="none"/>
        </w:rPr>
        <w:t>面积：公顷</w:t>
      </w:r>
    </w:p>
    <w:tbl>
      <w:tblPr>
        <w:tblStyle w:val="17"/>
        <w:tblW w:w="14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875"/>
        <w:gridCol w:w="3171"/>
        <w:gridCol w:w="1418"/>
        <w:gridCol w:w="1275"/>
        <w:gridCol w:w="1276"/>
        <w:gridCol w:w="2126"/>
        <w:gridCol w:w="1947"/>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75"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级别</w:t>
            </w:r>
          </w:p>
        </w:tc>
        <w:tc>
          <w:tcPr>
            <w:tcW w:w="3171"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18"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所在地</w:t>
            </w:r>
          </w:p>
        </w:tc>
        <w:tc>
          <w:tcPr>
            <w:tcW w:w="1275"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面积</w:t>
            </w:r>
          </w:p>
        </w:tc>
        <w:tc>
          <w:tcPr>
            <w:tcW w:w="1276"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批建时间</w:t>
            </w:r>
          </w:p>
        </w:tc>
        <w:tc>
          <w:tcPr>
            <w:tcW w:w="2126"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批准文号</w:t>
            </w:r>
          </w:p>
        </w:tc>
        <w:tc>
          <w:tcPr>
            <w:tcW w:w="1947"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资源类型</w:t>
            </w:r>
          </w:p>
        </w:tc>
        <w:tc>
          <w:tcPr>
            <w:tcW w:w="1137" w:type="dxa"/>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县级</w:t>
            </w:r>
          </w:p>
        </w:tc>
        <w:tc>
          <w:tcPr>
            <w:tcW w:w="3171"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双下县级湿地公园</w:t>
            </w:r>
          </w:p>
        </w:tc>
        <w:tc>
          <w:tcPr>
            <w:tcW w:w="1418"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源城区</w:t>
            </w:r>
          </w:p>
        </w:tc>
        <w:tc>
          <w:tcPr>
            <w:tcW w:w="127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21.04</w:t>
            </w:r>
          </w:p>
        </w:tc>
        <w:tc>
          <w:tcPr>
            <w:tcW w:w="1276"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2014年</w:t>
            </w:r>
          </w:p>
        </w:tc>
        <w:tc>
          <w:tcPr>
            <w:tcW w:w="2126"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源府复[2014]43号</w:t>
            </w:r>
          </w:p>
        </w:tc>
        <w:tc>
          <w:tcPr>
            <w:tcW w:w="1947"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人工湿地</w:t>
            </w:r>
          </w:p>
        </w:tc>
        <w:tc>
          <w:tcPr>
            <w:tcW w:w="1137" w:type="dxa"/>
            <w:vAlign w:val="center"/>
          </w:tcPr>
          <w:p>
            <w:pPr>
              <w:jc w:val="center"/>
              <w:rPr>
                <w:rFonts w:ascii="仿宋" w:hAnsi="仿宋" w:eastAsia="仿宋" w:cs="仿宋"/>
                <w:color w:val="auto"/>
                <w:sz w:val="24"/>
                <w:highlight w:val="none"/>
              </w:rPr>
            </w:pPr>
          </w:p>
        </w:tc>
      </w:tr>
    </w:tbl>
    <w:p>
      <w:pPr>
        <w:rPr>
          <w:color w:val="auto"/>
          <w:highlight w:val="none"/>
        </w:rPr>
      </w:pPr>
    </w:p>
    <w:sectPr>
      <w:footerReference r:id="rId6"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 new roam">
    <w:altName w:val="Times New Roman"/>
    <w:panose1 w:val="00000000000000000000"/>
    <w:charset w:val="00"/>
    <w:family w:val="roma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21"/>
      </w:rPr>
    </w:pPr>
    <w:r>
      <w:fldChar w:fldCharType="begin"/>
    </w:r>
    <w:r>
      <w:rPr>
        <w:rStyle w:val="21"/>
      </w:rPr>
      <w:instrText xml:space="preserve">PAGE  </w:instrText>
    </w:r>
    <w:r>
      <w:fldChar w:fldCharType="end"/>
    </w:r>
  </w:p>
  <w:p>
    <w:pPr>
      <w:pStyle w:val="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C7657E"/>
    <w:multiLevelType w:val="multilevel"/>
    <w:tmpl w:val="17C7657E"/>
    <w:lvl w:ilvl="0" w:tentative="0">
      <w:start w:val="1"/>
      <w:numFmt w:val="chineseCountingThousand"/>
      <w:pStyle w:val="26"/>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3E7C6858"/>
    <w:multiLevelType w:val="multilevel"/>
    <w:tmpl w:val="3E7C6858"/>
    <w:lvl w:ilvl="0" w:tentative="0">
      <w:start w:val="1"/>
      <w:numFmt w:val="chineseCountingThousand"/>
      <w:pStyle w:val="2"/>
      <w:lvlText w:val="第%1章"/>
      <w:lvlJc w:val="left"/>
      <w:pPr>
        <w:ind w:left="420" w:hanging="420"/>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6AF037DA"/>
    <w:multiLevelType w:val="multilevel"/>
    <w:tmpl w:val="6AF037DA"/>
    <w:lvl w:ilvl="0" w:tentative="0">
      <w:start w:val="1"/>
      <w:numFmt w:val="chineseCountingThousand"/>
      <w:pStyle w:val="3"/>
      <w:lvlText w:val="第%1节"/>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8871ACB"/>
    <w:multiLevelType w:val="multilevel"/>
    <w:tmpl w:val="78871ACB"/>
    <w:lvl w:ilvl="0" w:tentative="0">
      <w:start w:val="1"/>
      <w:numFmt w:val="chineseCountingThousand"/>
      <w:pStyle w:val="4"/>
      <w:lvlText w:val="第%1条"/>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wZDhmZGNmNmRhODA0YjYyZmE4YjQwYmRiYjNhOGEifQ=="/>
  </w:docVars>
  <w:rsids>
    <w:rsidRoot w:val="00B35164"/>
    <w:rsid w:val="000017E8"/>
    <w:rsid w:val="00010CC1"/>
    <w:rsid w:val="00011995"/>
    <w:rsid w:val="000162D5"/>
    <w:rsid w:val="000212EC"/>
    <w:rsid w:val="00021C75"/>
    <w:rsid w:val="00025B50"/>
    <w:rsid w:val="00042361"/>
    <w:rsid w:val="00042D1B"/>
    <w:rsid w:val="00043AD4"/>
    <w:rsid w:val="00055099"/>
    <w:rsid w:val="00056E2A"/>
    <w:rsid w:val="00060921"/>
    <w:rsid w:val="00062E18"/>
    <w:rsid w:val="000647B9"/>
    <w:rsid w:val="000657EC"/>
    <w:rsid w:val="0007525B"/>
    <w:rsid w:val="00076D53"/>
    <w:rsid w:val="00081CA0"/>
    <w:rsid w:val="00085361"/>
    <w:rsid w:val="00090C21"/>
    <w:rsid w:val="00096AA0"/>
    <w:rsid w:val="000A0DB5"/>
    <w:rsid w:val="000A17D4"/>
    <w:rsid w:val="000A2212"/>
    <w:rsid w:val="000A644C"/>
    <w:rsid w:val="000B0027"/>
    <w:rsid w:val="000B0708"/>
    <w:rsid w:val="000B478D"/>
    <w:rsid w:val="000B61DD"/>
    <w:rsid w:val="000C0047"/>
    <w:rsid w:val="000D133E"/>
    <w:rsid w:val="000D28E0"/>
    <w:rsid w:val="000D3E2A"/>
    <w:rsid w:val="000D5712"/>
    <w:rsid w:val="000D67E0"/>
    <w:rsid w:val="000E5B49"/>
    <w:rsid w:val="000E6096"/>
    <w:rsid w:val="000E6A88"/>
    <w:rsid w:val="000E72A8"/>
    <w:rsid w:val="000F0867"/>
    <w:rsid w:val="000F3FBF"/>
    <w:rsid w:val="000F42CD"/>
    <w:rsid w:val="000F7AC9"/>
    <w:rsid w:val="00111096"/>
    <w:rsid w:val="0011151D"/>
    <w:rsid w:val="00113DEE"/>
    <w:rsid w:val="00120BA3"/>
    <w:rsid w:val="001267DE"/>
    <w:rsid w:val="00131A11"/>
    <w:rsid w:val="001357C4"/>
    <w:rsid w:val="00145950"/>
    <w:rsid w:val="00151F11"/>
    <w:rsid w:val="00156153"/>
    <w:rsid w:val="001720A6"/>
    <w:rsid w:val="00172A82"/>
    <w:rsid w:val="00173172"/>
    <w:rsid w:val="001755FE"/>
    <w:rsid w:val="001762B7"/>
    <w:rsid w:val="001764CF"/>
    <w:rsid w:val="001826B2"/>
    <w:rsid w:val="00187F2A"/>
    <w:rsid w:val="001A2338"/>
    <w:rsid w:val="001A38B1"/>
    <w:rsid w:val="001A539C"/>
    <w:rsid w:val="001A6795"/>
    <w:rsid w:val="001B3110"/>
    <w:rsid w:val="001B6AC4"/>
    <w:rsid w:val="001C1623"/>
    <w:rsid w:val="001C3310"/>
    <w:rsid w:val="001C455E"/>
    <w:rsid w:val="001C5BC4"/>
    <w:rsid w:val="001D09AB"/>
    <w:rsid w:val="001D14E0"/>
    <w:rsid w:val="001D2D7E"/>
    <w:rsid w:val="001D4B0D"/>
    <w:rsid w:val="001D7BFE"/>
    <w:rsid w:val="001E01CB"/>
    <w:rsid w:val="001E4294"/>
    <w:rsid w:val="001F211B"/>
    <w:rsid w:val="002008EB"/>
    <w:rsid w:val="002047C7"/>
    <w:rsid w:val="00212A7A"/>
    <w:rsid w:val="00215D85"/>
    <w:rsid w:val="00220A1A"/>
    <w:rsid w:val="00222051"/>
    <w:rsid w:val="00222F58"/>
    <w:rsid w:val="002338DA"/>
    <w:rsid w:val="00236358"/>
    <w:rsid w:val="00237425"/>
    <w:rsid w:val="002423CA"/>
    <w:rsid w:val="002501D0"/>
    <w:rsid w:val="002569C0"/>
    <w:rsid w:val="002576F3"/>
    <w:rsid w:val="002661E3"/>
    <w:rsid w:val="00267597"/>
    <w:rsid w:val="00273EEC"/>
    <w:rsid w:val="00277EF1"/>
    <w:rsid w:val="00283501"/>
    <w:rsid w:val="00283DCA"/>
    <w:rsid w:val="002854C0"/>
    <w:rsid w:val="0028552E"/>
    <w:rsid w:val="002905E9"/>
    <w:rsid w:val="00291709"/>
    <w:rsid w:val="00292E13"/>
    <w:rsid w:val="002A1A3C"/>
    <w:rsid w:val="002A4ACE"/>
    <w:rsid w:val="002B230F"/>
    <w:rsid w:val="002B38B8"/>
    <w:rsid w:val="002B427E"/>
    <w:rsid w:val="002B4CD5"/>
    <w:rsid w:val="002B7FEE"/>
    <w:rsid w:val="002D08DC"/>
    <w:rsid w:val="002D1081"/>
    <w:rsid w:val="002D2E03"/>
    <w:rsid w:val="002D42B2"/>
    <w:rsid w:val="002D5085"/>
    <w:rsid w:val="002E0C94"/>
    <w:rsid w:val="002E2822"/>
    <w:rsid w:val="002E3D09"/>
    <w:rsid w:val="002E59BD"/>
    <w:rsid w:val="002F29B1"/>
    <w:rsid w:val="002F6E1D"/>
    <w:rsid w:val="002F7514"/>
    <w:rsid w:val="00302DE1"/>
    <w:rsid w:val="00306F1B"/>
    <w:rsid w:val="00315D5F"/>
    <w:rsid w:val="00322037"/>
    <w:rsid w:val="003267FC"/>
    <w:rsid w:val="0033169F"/>
    <w:rsid w:val="00331B99"/>
    <w:rsid w:val="003403C1"/>
    <w:rsid w:val="00341976"/>
    <w:rsid w:val="00347397"/>
    <w:rsid w:val="00355F08"/>
    <w:rsid w:val="00370DBD"/>
    <w:rsid w:val="0037492B"/>
    <w:rsid w:val="003772C3"/>
    <w:rsid w:val="00384B73"/>
    <w:rsid w:val="00390F48"/>
    <w:rsid w:val="0039231C"/>
    <w:rsid w:val="00393988"/>
    <w:rsid w:val="00395A59"/>
    <w:rsid w:val="00396112"/>
    <w:rsid w:val="003B27F0"/>
    <w:rsid w:val="003C1C49"/>
    <w:rsid w:val="003C50C6"/>
    <w:rsid w:val="003C70BD"/>
    <w:rsid w:val="003E65AD"/>
    <w:rsid w:val="003F185A"/>
    <w:rsid w:val="00404029"/>
    <w:rsid w:val="004040DB"/>
    <w:rsid w:val="00405173"/>
    <w:rsid w:val="00412DFC"/>
    <w:rsid w:val="00415DD3"/>
    <w:rsid w:val="00415F7A"/>
    <w:rsid w:val="00431068"/>
    <w:rsid w:val="00442054"/>
    <w:rsid w:val="00443B29"/>
    <w:rsid w:val="00447E53"/>
    <w:rsid w:val="00452A47"/>
    <w:rsid w:val="00456864"/>
    <w:rsid w:val="00457434"/>
    <w:rsid w:val="00457E46"/>
    <w:rsid w:val="00464FC7"/>
    <w:rsid w:val="00466506"/>
    <w:rsid w:val="0048194E"/>
    <w:rsid w:val="00482687"/>
    <w:rsid w:val="00482ED8"/>
    <w:rsid w:val="004901EA"/>
    <w:rsid w:val="0049049E"/>
    <w:rsid w:val="004A011A"/>
    <w:rsid w:val="004A3EBC"/>
    <w:rsid w:val="004A7EB3"/>
    <w:rsid w:val="004E321E"/>
    <w:rsid w:val="004E7661"/>
    <w:rsid w:val="004E79BE"/>
    <w:rsid w:val="004F17C0"/>
    <w:rsid w:val="005130DE"/>
    <w:rsid w:val="005178B7"/>
    <w:rsid w:val="005207F0"/>
    <w:rsid w:val="00522022"/>
    <w:rsid w:val="0052518F"/>
    <w:rsid w:val="00532311"/>
    <w:rsid w:val="005326AD"/>
    <w:rsid w:val="00537B78"/>
    <w:rsid w:val="00540A7D"/>
    <w:rsid w:val="00552CE9"/>
    <w:rsid w:val="00556EFF"/>
    <w:rsid w:val="0056009B"/>
    <w:rsid w:val="00560367"/>
    <w:rsid w:val="00560933"/>
    <w:rsid w:val="00562C9F"/>
    <w:rsid w:val="0057266F"/>
    <w:rsid w:val="0057493A"/>
    <w:rsid w:val="00581D46"/>
    <w:rsid w:val="00582FF8"/>
    <w:rsid w:val="00583615"/>
    <w:rsid w:val="005844C6"/>
    <w:rsid w:val="0058458C"/>
    <w:rsid w:val="00587AE8"/>
    <w:rsid w:val="005929E1"/>
    <w:rsid w:val="00595254"/>
    <w:rsid w:val="00595460"/>
    <w:rsid w:val="00596287"/>
    <w:rsid w:val="00596362"/>
    <w:rsid w:val="005A455E"/>
    <w:rsid w:val="005A5FE9"/>
    <w:rsid w:val="005B0D6B"/>
    <w:rsid w:val="005C03DC"/>
    <w:rsid w:val="005C380E"/>
    <w:rsid w:val="005D1F37"/>
    <w:rsid w:val="005E3DF6"/>
    <w:rsid w:val="005F09A6"/>
    <w:rsid w:val="005F38B5"/>
    <w:rsid w:val="005F3F29"/>
    <w:rsid w:val="006103F8"/>
    <w:rsid w:val="006127E7"/>
    <w:rsid w:val="00620A64"/>
    <w:rsid w:val="00621849"/>
    <w:rsid w:val="00623DCE"/>
    <w:rsid w:val="0062444F"/>
    <w:rsid w:val="006322E9"/>
    <w:rsid w:val="00655EC3"/>
    <w:rsid w:val="00663934"/>
    <w:rsid w:val="006758E6"/>
    <w:rsid w:val="0068345E"/>
    <w:rsid w:val="00685321"/>
    <w:rsid w:val="00686F51"/>
    <w:rsid w:val="00687A82"/>
    <w:rsid w:val="00692BF7"/>
    <w:rsid w:val="00696A8F"/>
    <w:rsid w:val="00697836"/>
    <w:rsid w:val="006A05C8"/>
    <w:rsid w:val="006A0996"/>
    <w:rsid w:val="006A19E3"/>
    <w:rsid w:val="006A1B7F"/>
    <w:rsid w:val="006A35BD"/>
    <w:rsid w:val="006A611E"/>
    <w:rsid w:val="006A6A84"/>
    <w:rsid w:val="006D55D8"/>
    <w:rsid w:val="006D5DD9"/>
    <w:rsid w:val="006D683C"/>
    <w:rsid w:val="006D69AC"/>
    <w:rsid w:val="006D7988"/>
    <w:rsid w:val="006E23F1"/>
    <w:rsid w:val="006F2D02"/>
    <w:rsid w:val="006F3559"/>
    <w:rsid w:val="00700272"/>
    <w:rsid w:val="00704853"/>
    <w:rsid w:val="00705AA3"/>
    <w:rsid w:val="00710485"/>
    <w:rsid w:val="00712553"/>
    <w:rsid w:val="0071350E"/>
    <w:rsid w:val="007137BA"/>
    <w:rsid w:val="00722605"/>
    <w:rsid w:val="0072670A"/>
    <w:rsid w:val="00732CB4"/>
    <w:rsid w:val="007341BA"/>
    <w:rsid w:val="00737FD2"/>
    <w:rsid w:val="0074003B"/>
    <w:rsid w:val="0074194E"/>
    <w:rsid w:val="007451FC"/>
    <w:rsid w:val="007504D5"/>
    <w:rsid w:val="00751105"/>
    <w:rsid w:val="00763447"/>
    <w:rsid w:val="00764B6F"/>
    <w:rsid w:val="00770E1A"/>
    <w:rsid w:val="007717CB"/>
    <w:rsid w:val="00774A71"/>
    <w:rsid w:val="00786309"/>
    <w:rsid w:val="00791497"/>
    <w:rsid w:val="007A25CD"/>
    <w:rsid w:val="007A6538"/>
    <w:rsid w:val="007B3C00"/>
    <w:rsid w:val="007B3F07"/>
    <w:rsid w:val="007B3FD9"/>
    <w:rsid w:val="007B7E79"/>
    <w:rsid w:val="007C1142"/>
    <w:rsid w:val="007C2DF8"/>
    <w:rsid w:val="007C394B"/>
    <w:rsid w:val="007C3CBE"/>
    <w:rsid w:val="007C428B"/>
    <w:rsid w:val="007C7516"/>
    <w:rsid w:val="007C7C3B"/>
    <w:rsid w:val="007C7DD0"/>
    <w:rsid w:val="007D7DD7"/>
    <w:rsid w:val="007E1FB5"/>
    <w:rsid w:val="007E4EF3"/>
    <w:rsid w:val="007E512A"/>
    <w:rsid w:val="007E6056"/>
    <w:rsid w:val="007E6840"/>
    <w:rsid w:val="007E7B3E"/>
    <w:rsid w:val="007F0491"/>
    <w:rsid w:val="007F09F3"/>
    <w:rsid w:val="007F30B8"/>
    <w:rsid w:val="007F4E98"/>
    <w:rsid w:val="008028D7"/>
    <w:rsid w:val="00806CF1"/>
    <w:rsid w:val="008168EB"/>
    <w:rsid w:val="008209A5"/>
    <w:rsid w:val="00823267"/>
    <w:rsid w:val="0082388C"/>
    <w:rsid w:val="00824A30"/>
    <w:rsid w:val="00824DEA"/>
    <w:rsid w:val="008333CC"/>
    <w:rsid w:val="00835EC8"/>
    <w:rsid w:val="00842BAE"/>
    <w:rsid w:val="008446A4"/>
    <w:rsid w:val="00851754"/>
    <w:rsid w:val="008565E1"/>
    <w:rsid w:val="008602F2"/>
    <w:rsid w:val="008635E0"/>
    <w:rsid w:val="00863621"/>
    <w:rsid w:val="00871B1D"/>
    <w:rsid w:val="00876FFE"/>
    <w:rsid w:val="00877B13"/>
    <w:rsid w:val="00880A9A"/>
    <w:rsid w:val="00882230"/>
    <w:rsid w:val="00887113"/>
    <w:rsid w:val="00895277"/>
    <w:rsid w:val="0089637F"/>
    <w:rsid w:val="00896948"/>
    <w:rsid w:val="008A042F"/>
    <w:rsid w:val="008A2A24"/>
    <w:rsid w:val="008A6FDD"/>
    <w:rsid w:val="008B2D13"/>
    <w:rsid w:val="008C50B2"/>
    <w:rsid w:val="008D37A7"/>
    <w:rsid w:val="008D4E79"/>
    <w:rsid w:val="008D662F"/>
    <w:rsid w:val="008E4CC0"/>
    <w:rsid w:val="008F1598"/>
    <w:rsid w:val="00900998"/>
    <w:rsid w:val="00907148"/>
    <w:rsid w:val="009102A2"/>
    <w:rsid w:val="0091123A"/>
    <w:rsid w:val="009134D6"/>
    <w:rsid w:val="00916DF7"/>
    <w:rsid w:val="009205D1"/>
    <w:rsid w:val="00922B0A"/>
    <w:rsid w:val="00930780"/>
    <w:rsid w:val="00933010"/>
    <w:rsid w:val="009356A0"/>
    <w:rsid w:val="00944F44"/>
    <w:rsid w:val="00956E77"/>
    <w:rsid w:val="00963D44"/>
    <w:rsid w:val="00964748"/>
    <w:rsid w:val="00966A1B"/>
    <w:rsid w:val="0097206F"/>
    <w:rsid w:val="009756E6"/>
    <w:rsid w:val="009760D1"/>
    <w:rsid w:val="00983A3E"/>
    <w:rsid w:val="00983D2D"/>
    <w:rsid w:val="009845E7"/>
    <w:rsid w:val="00991FA8"/>
    <w:rsid w:val="009925B9"/>
    <w:rsid w:val="009960E4"/>
    <w:rsid w:val="009A0F30"/>
    <w:rsid w:val="009A1AE3"/>
    <w:rsid w:val="009A74FB"/>
    <w:rsid w:val="009B7CAB"/>
    <w:rsid w:val="009C7623"/>
    <w:rsid w:val="009D0541"/>
    <w:rsid w:val="009F044B"/>
    <w:rsid w:val="00A00B0D"/>
    <w:rsid w:val="00A07963"/>
    <w:rsid w:val="00A203FF"/>
    <w:rsid w:val="00A261EA"/>
    <w:rsid w:val="00A34135"/>
    <w:rsid w:val="00A35298"/>
    <w:rsid w:val="00A425F8"/>
    <w:rsid w:val="00A528F4"/>
    <w:rsid w:val="00A53F1F"/>
    <w:rsid w:val="00A67B95"/>
    <w:rsid w:val="00A70DFD"/>
    <w:rsid w:val="00A82503"/>
    <w:rsid w:val="00A867E0"/>
    <w:rsid w:val="00A868E6"/>
    <w:rsid w:val="00A91D1E"/>
    <w:rsid w:val="00A9397E"/>
    <w:rsid w:val="00A95D03"/>
    <w:rsid w:val="00AA44AD"/>
    <w:rsid w:val="00AA4F73"/>
    <w:rsid w:val="00AA5967"/>
    <w:rsid w:val="00AA5A3E"/>
    <w:rsid w:val="00AB0375"/>
    <w:rsid w:val="00AB5204"/>
    <w:rsid w:val="00AC1130"/>
    <w:rsid w:val="00AD292D"/>
    <w:rsid w:val="00AD5894"/>
    <w:rsid w:val="00AD5DB9"/>
    <w:rsid w:val="00AE0455"/>
    <w:rsid w:val="00AF09D2"/>
    <w:rsid w:val="00AF1FDD"/>
    <w:rsid w:val="00AF2249"/>
    <w:rsid w:val="00AF5609"/>
    <w:rsid w:val="00AF70D3"/>
    <w:rsid w:val="00B0073D"/>
    <w:rsid w:val="00B00AA3"/>
    <w:rsid w:val="00B01983"/>
    <w:rsid w:val="00B02F64"/>
    <w:rsid w:val="00B10614"/>
    <w:rsid w:val="00B12AD2"/>
    <w:rsid w:val="00B3140A"/>
    <w:rsid w:val="00B35164"/>
    <w:rsid w:val="00B40550"/>
    <w:rsid w:val="00B40D79"/>
    <w:rsid w:val="00B51A36"/>
    <w:rsid w:val="00B52F65"/>
    <w:rsid w:val="00B540E9"/>
    <w:rsid w:val="00B56AA4"/>
    <w:rsid w:val="00B62251"/>
    <w:rsid w:val="00B63BFD"/>
    <w:rsid w:val="00B71E98"/>
    <w:rsid w:val="00B71F56"/>
    <w:rsid w:val="00B720D1"/>
    <w:rsid w:val="00B9039C"/>
    <w:rsid w:val="00B931DC"/>
    <w:rsid w:val="00BA63B4"/>
    <w:rsid w:val="00BA729B"/>
    <w:rsid w:val="00BB0A12"/>
    <w:rsid w:val="00BB1D07"/>
    <w:rsid w:val="00BB338C"/>
    <w:rsid w:val="00BB7D30"/>
    <w:rsid w:val="00BC0EA8"/>
    <w:rsid w:val="00BC2133"/>
    <w:rsid w:val="00BC6777"/>
    <w:rsid w:val="00BD392C"/>
    <w:rsid w:val="00BD542F"/>
    <w:rsid w:val="00BE5704"/>
    <w:rsid w:val="00BF631A"/>
    <w:rsid w:val="00BF7CCF"/>
    <w:rsid w:val="00C00F30"/>
    <w:rsid w:val="00C03955"/>
    <w:rsid w:val="00C05081"/>
    <w:rsid w:val="00C06390"/>
    <w:rsid w:val="00C17496"/>
    <w:rsid w:val="00C20BD0"/>
    <w:rsid w:val="00C20D0C"/>
    <w:rsid w:val="00C3012A"/>
    <w:rsid w:val="00C356A0"/>
    <w:rsid w:val="00C4118C"/>
    <w:rsid w:val="00C4562E"/>
    <w:rsid w:val="00C45DD6"/>
    <w:rsid w:val="00C62ABE"/>
    <w:rsid w:val="00C657FA"/>
    <w:rsid w:val="00C661B2"/>
    <w:rsid w:val="00C70BEF"/>
    <w:rsid w:val="00C732DC"/>
    <w:rsid w:val="00C77414"/>
    <w:rsid w:val="00C80A4F"/>
    <w:rsid w:val="00C87A12"/>
    <w:rsid w:val="00C91851"/>
    <w:rsid w:val="00C93C5D"/>
    <w:rsid w:val="00C96FA3"/>
    <w:rsid w:val="00C97C2E"/>
    <w:rsid w:val="00CB546B"/>
    <w:rsid w:val="00CB5BE2"/>
    <w:rsid w:val="00CB7E94"/>
    <w:rsid w:val="00CC0EF2"/>
    <w:rsid w:val="00CC57D0"/>
    <w:rsid w:val="00CD205A"/>
    <w:rsid w:val="00CD3D1C"/>
    <w:rsid w:val="00CD422B"/>
    <w:rsid w:val="00CE2415"/>
    <w:rsid w:val="00CE2F98"/>
    <w:rsid w:val="00CE4C8E"/>
    <w:rsid w:val="00CE7ADD"/>
    <w:rsid w:val="00CE7EC4"/>
    <w:rsid w:val="00CF0ED1"/>
    <w:rsid w:val="00CF4F3D"/>
    <w:rsid w:val="00D14EB6"/>
    <w:rsid w:val="00D30726"/>
    <w:rsid w:val="00D321F7"/>
    <w:rsid w:val="00D33403"/>
    <w:rsid w:val="00D379A8"/>
    <w:rsid w:val="00D46CB1"/>
    <w:rsid w:val="00D505B2"/>
    <w:rsid w:val="00D5355A"/>
    <w:rsid w:val="00D54497"/>
    <w:rsid w:val="00D56E1F"/>
    <w:rsid w:val="00D5713A"/>
    <w:rsid w:val="00D60D94"/>
    <w:rsid w:val="00D62826"/>
    <w:rsid w:val="00D7006E"/>
    <w:rsid w:val="00D71A57"/>
    <w:rsid w:val="00D74DF2"/>
    <w:rsid w:val="00D7556F"/>
    <w:rsid w:val="00D77D38"/>
    <w:rsid w:val="00D8054B"/>
    <w:rsid w:val="00D812F3"/>
    <w:rsid w:val="00D852E3"/>
    <w:rsid w:val="00DA0579"/>
    <w:rsid w:val="00DA404C"/>
    <w:rsid w:val="00DA56E4"/>
    <w:rsid w:val="00DB3499"/>
    <w:rsid w:val="00DB6319"/>
    <w:rsid w:val="00DB7975"/>
    <w:rsid w:val="00DC008C"/>
    <w:rsid w:val="00DC0512"/>
    <w:rsid w:val="00DC35C3"/>
    <w:rsid w:val="00DD0AA4"/>
    <w:rsid w:val="00DD3B66"/>
    <w:rsid w:val="00DD4B4B"/>
    <w:rsid w:val="00DD4DF8"/>
    <w:rsid w:val="00DD681C"/>
    <w:rsid w:val="00DE3CA2"/>
    <w:rsid w:val="00DF0493"/>
    <w:rsid w:val="00DF05F4"/>
    <w:rsid w:val="00E030DF"/>
    <w:rsid w:val="00E10AD8"/>
    <w:rsid w:val="00E121B4"/>
    <w:rsid w:val="00E17045"/>
    <w:rsid w:val="00E24849"/>
    <w:rsid w:val="00E24AE9"/>
    <w:rsid w:val="00E3643B"/>
    <w:rsid w:val="00E36AE1"/>
    <w:rsid w:val="00E403EF"/>
    <w:rsid w:val="00E4330E"/>
    <w:rsid w:val="00E445F9"/>
    <w:rsid w:val="00E71B1D"/>
    <w:rsid w:val="00E76699"/>
    <w:rsid w:val="00E80499"/>
    <w:rsid w:val="00E80622"/>
    <w:rsid w:val="00E8662D"/>
    <w:rsid w:val="00E90088"/>
    <w:rsid w:val="00E91984"/>
    <w:rsid w:val="00E93391"/>
    <w:rsid w:val="00E95EE4"/>
    <w:rsid w:val="00E979AF"/>
    <w:rsid w:val="00EA13C0"/>
    <w:rsid w:val="00EA32B1"/>
    <w:rsid w:val="00EA533B"/>
    <w:rsid w:val="00EA5B24"/>
    <w:rsid w:val="00EA6A50"/>
    <w:rsid w:val="00EA7AA9"/>
    <w:rsid w:val="00EB39E2"/>
    <w:rsid w:val="00EB4A3D"/>
    <w:rsid w:val="00EB6170"/>
    <w:rsid w:val="00EB73E4"/>
    <w:rsid w:val="00EC5658"/>
    <w:rsid w:val="00EC7AE6"/>
    <w:rsid w:val="00EC7F4F"/>
    <w:rsid w:val="00ED0508"/>
    <w:rsid w:val="00ED1C38"/>
    <w:rsid w:val="00ED7D8A"/>
    <w:rsid w:val="00EE2E8F"/>
    <w:rsid w:val="00EF291E"/>
    <w:rsid w:val="00EF3B05"/>
    <w:rsid w:val="00EF6DEA"/>
    <w:rsid w:val="00F27C08"/>
    <w:rsid w:val="00F31456"/>
    <w:rsid w:val="00F35A73"/>
    <w:rsid w:val="00F367B9"/>
    <w:rsid w:val="00F370C0"/>
    <w:rsid w:val="00F37376"/>
    <w:rsid w:val="00F37EF4"/>
    <w:rsid w:val="00F440FC"/>
    <w:rsid w:val="00F50EAF"/>
    <w:rsid w:val="00F54351"/>
    <w:rsid w:val="00F5598A"/>
    <w:rsid w:val="00F61105"/>
    <w:rsid w:val="00F6185F"/>
    <w:rsid w:val="00F64934"/>
    <w:rsid w:val="00F65DBE"/>
    <w:rsid w:val="00F71682"/>
    <w:rsid w:val="00F7485A"/>
    <w:rsid w:val="00F765D2"/>
    <w:rsid w:val="00FA45C7"/>
    <w:rsid w:val="00FA5429"/>
    <w:rsid w:val="00FA5D35"/>
    <w:rsid w:val="00FB182A"/>
    <w:rsid w:val="00FB2980"/>
    <w:rsid w:val="00FB38B8"/>
    <w:rsid w:val="00FB7CD3"/>
    <w:rsid w:val="00FC4C9F"/>
    <w:rsid w:val="00FC5990"/>
    <w:rsid w:val="00FC6756"/>
    <w:rsid w:val="00FD2C65"/>
    <w:rsid w:val="00FD3674"/>
    <w:rsid w:val="00FE41F8"/>
    <w:rsid w:val="01481FFB"/>
    <w:rsid w:val="014D7EBB"/>
    <w:rsid w:val="019659DA"/>
    <w:rsid w:val="01B55613"/>
    <w:rsid w:val="01D61BAE"/>
    <w:rsid w:val="02402DD1"/>
    <w:rsid w:val="026958EC"/>
    <w:rsid w:val="027D0E84"/>
    <w:rsid w:val="03AE7D7E"/>
    <w:rsid w:val="03C3491A"/>
    <w:rsid w:val="03F54D54"/>
    <w:rsid w:val="03FB7A05"/>
    <w:rsid w:val="046D2E0F"/>
    <w:rsid w:val="049C06D1"/>
    <w:rsid w:val="05096B76"/>
    <w:rsid w:val="05676D45"/>
    <w:rsid w:val="05B278B5"/>
    <w:rsid w:val="05DE1F8C"/>
    <w:rsid w:val="062F7096"/>
    <w:rsid w:val="06FB6CA7"/>
    <w:rsid w:val="07D117A8"/>
    <w:rsid w:val="08320358"/>
    <w:rsid w:val="085E69B8"/>
    <w:rsid w:val="086D196F"/>
    <w:rsid w:val="0926755B"/>
    <w:rsid w:val="09900249"/>
    <w:rsid w:val="099B47DD"/>
    <w:rsid w:val="09B05733"/>
    <w:rsid w:val="0ADC484B"/>
    <w:rsid w:val="0B44171A"/>
    <w:rsid w:val="0B70448E"/>
    <w:rsid w:val="0B934F80"/>
    <w:rsid w:val="0BF57016"/>
    <w:rsid w:val="0C967A01"/>
    <w:rsid w:val="0D681C76"/>
    <w:rsid w:val="0D7A1DBA"/>
    <w:rsid w:val="0DB77D92"/>
    <w:rsid w:val="0DE67A0F"/>
    <w:rsid w:val="0E613962"/>
    <w:rsid w:val="0E980907"/>
    <w:rsid w:val="0F074B77"/>
    <w:rsid w:val="0F257D1D"/>
    <w:rsid w:val="0F7021A2"/>
    <w:rsid w:val="0F8E2D75"/>
    <w:rsid w:val="1023444E"/>
    <w:rsid w:val="10F11825"/>
    <w:rsid w:val="11061766"/>
    <w:rsid w:val="111919E1"/>
    <w:rsid w:val="114E583F"/>
    <w:rsid w:val="116949EC"/>
    <w:rsid w:val="11700914"/>
    <w:rsid w:val="11D27BC3"/>
    <w:rsid w:val="1249733A"/>
    <w:rsid w:val="124B5961"/>
    <w:rsid w:val="12730670"/>
    <w:rsid w:val="12DC4B9D"/>
    <w:rsid w:val="132F23D4"/>
    <w:rsid w:val="139A7831"/>
    <w:rsid w:val="14543309"/>
    <w:rsid w:val="149A6105"/>
    <w:rsid w:val="153A6AD7"/>
    <w:rsid w:val="157D6498"/>
    <w:rsid w:val="160518C8"/>
    <w:rsid w:val="16655E35"/>
    <w:rsid w:val="168451A5"/>
    <w:rsid w:val="1691018B"/>
    <w:rsid w:val="16B17D08"/>
    <w:rsid w:val="172D56F2"/>
    <w:rsid w:val="17A775F7"/>
    <w:rsid w:val="183F67DB"/>
    <w:rsid w:val="188B5C17"/>
    <w:rsid w:val="19040FC0"/>
    <w:rsid w:val="196F65B0"/>
    <w:rsid w:val="19E3311E"/>
    <w:rsid w:val="19F739E5"/>
    <w:rsid w:val="1A877A79"/>
    <w:rsid w:val="1ABB3261"/>
    <w:rsid w:val="1ADB2C26"/>
    <w:rsid w:val="1B5A2B34"/>
    <w:rsid w:val="1C4C4B87"/>
    <w:rsid w:val="1C614C53"/>
    <w:rsid w:val="1D1F0FA9"/>
    <w:rsid w:val="1D2C6515"/>
    <w:rsid w:val="1D367881"/>
    <w:rsid w:val="1D6B0B95"/>
    <w:rsid w:val="1D8E3D74"/>
    <w:rsid w:val="1DEA3090"/>
    <w:rsid w:val="1DF25910"/>
    <w:rsid w:val="1DF70A0B"/>
    <w:rsid w:val="1E0C1EDC"/>
    <w:rsid w:val="1E7D4602"/>
    <w:rsid w:val="1EFF10C3"/>
    <w:rsid w:val="1F6C4F93"/>
    <w:rsid w:val="1F7A6B11"/>
    <w:rsid w:val="1FB75DA0"/>
    <w:rsid w:val="203B42E1"/>
    <w:rsid w:val="205B0773"/>
    <w:rsid w:val="2074002B"/>
    <w:rsid w:val="20957AC0"/>
    <w:rsid w:val="20A75D38"/>
    <w:rsid w:val="20AF7FBF"/>
    <w:rsid w:val="20E903E0"/>
    <w:rsid w:val="20F00EF5"/>
    <w:rsid w:val="21267AF2"/>
    <w:rsid w:val="212C6717"/>
    <w:rsid w:val="2139132A"/>
    <w:rsid w:val="21634375"/>
    <w:rsid w:val="21A560FC"/>
    <w:rsid w:val="21C53FEE"/>
    <w:rsid w:val="22443362"/>
    <w:rsid w:val="22961203"/>
    <w:rsid w:val="22CF0F38"/>
    <w:rsid w:val="22E56D5A"/>
    <w:rsid w:val="22EB339F"/>
    <w:rsid w:val="22F34723"/>
    <w:rsid w:val="238C2AE9"/>
    <w:rsid w:val="239674D8"/>
    <w:rsid w:val="23C656E2"/>
    <w:rsid w:val="24047BD2"/>
    <w:rsid w:val="246F0E67"/>
    <w:rsid w:val="24805D02"/>
    <w:rsid w:val="251B14A7"/>
    <w:rsid w:val="252D6BA5"/>
    <w:rsid w:val="25AE7C82"/>
    <w:rsid w:val="262453F7"/>
    <w:rsid w:val="2626037A"/>
    <w:rsid w:val="267B25DC"/>
    <w:rsid w:val="26817BCC"/>
    <w:rsid w:val="27071E9D"/>
    <w:rsid w:val="273D501B"/>
    <w:rsid w:val="27431A93"/>
    <w:rsid w:val="276B3356"/>
    <w:rsid w:val="276B3F48"/>
    <w:rsid w:val="2799258F"/>
    <w:rsid w:val="27F616FD"/>
    <w:rsid w:val="289405E4"/>
    <w:rsid w:val="289572F8"/>
    <w:rsid w:val="28F90C30"/>
    <w:rsid w:val="291B5052"/>
    <w:rsid w:val="292A0D79"/>
    <w:rsid w:val="296328F2"/>
    <w:rsid w:val="29954E5C"/>
    <w:rsid w:val="299F54F6"/>
    <w:rsid w:val="29CC7A80"/>
    <w:rsid w:val="29E27B7E"/>
    <w:rsid w:val="2B057F4A"/>
    <w:rsid w:val="2BAB7A28"/>
    <w:rsid w:val="2BC65C3E"/>
    <w:rsid w:val="2BCD2EA8"/>
    <w:rsid w:val="2BE85D51"/>
    <w:rsid w:val="2C02797E"/>
    <w:rsid w:val="2C1B79E6"/>
    <w:rsid w:val="2C497218"/>
    <w:rsid w:val="2CAA51C0"/>
    <w:rsid w:val="2D361897"/>
    <w:rsid w:val="2D3C12A7"/>
    <w:rsid w:val="2D4F2313"/>
    <w:rsid w:val="2D986FBD"/>
    <w:rsid w:val="2DB056DC"/>
    <w:rsid w:val="2DB25FAC"/>
    <w:rsid w:val="2E086DA5"/>
    <w:rsid w:val="2E1643D3"/>
    <w:rsid w:val="2E194231"/>
    <w:rsid w:val="2EAA0D9D"/>
    <w:rsid w:val="2EEA1F81"/>
    <w:rsid w:val="2F090F35"/>
    <w:rsid w:val="2F2E263A"/>
    <w:rsid w:val="2F973E11"/>
    <w:rsid w:val="2FCB7C52"/>
    <w:rsid w:val="2FFF6BB8"/>
    <w:rsid w:val="31A97E80"/>
    <w:rsid w:val="31E2231F"/>
    <w:rsid w:val="325E3AB7"/>
    <w:rsid w:val="330D45C3"/>
    <w:rsid w:val="333A4054"/>
    <w:rsid w:val="339C541B"/>
    <w:rsid w:val="33A13792"/>
    <w:rsid w:val="33CB09CA"/>
    <w:rsid w:val="33CE0863"/>
    <w:rsid w:val="342E3F66"/>
    <w:rsid w:val="34E91B0A"/>
    <w:rsid w:val="35013491"/>
    <w:rsid w:val="35A527A1"/>
    <w:rsid w:val="35C35F6D"/>
    <w:rsid w:val="35E972B6"/>
    <w:rsid w:val="36B20709"/>
    <w:rsid w:val="36CB0709"/>
    <w:rsid w:val="36DB0501"/>
    <w:rsid w:val="36F41D43"/>
    <w:rsid w:val="36FA606B"/>
    <w:rsid w:val="37E50E3A"/>
    <w:rsid w:val="38093602"/>
    <w:rsid w:val="387D6D83"/>
    <w:rsid w:val="38E05997"/>
    <w:rsid w:val="39A85D29"/>
    <w:rsid w:val="39F33E31"/>
    <w:rsid w:val="3A5F3830"/>
    <w:rsid w:val="3AE06DD0"/>
    <w:rsid w:val="3AFA2796"/>
    <w:rsid w:val="3BD54B66"/>
    <w:rsid w:val="3C1F4FAF"/>
    <w:rsid w:val="3C216DF8"/>
    <w:rsid w:val="3C363941"/>
    <w:rsid w:val="3C402568"/>
    <w:rsid w:val="3CA922B5"/>
    <w:rsid w:val="3CB06AFF"/>
    <w:rsid w:val="3CEB401F"/>
    <w:rsid w:val="3E025F7F"/>
    <w:rsid w:val="3F520ACF"/>
    <w:rsid w:val="3F5251DE"/>
    <w:rsid w:val="3FE94491"/>
    <w:rsid w:val="4028751F"/>
    <w:rsid w:val="407471B2"/>
    <w:rsid w:val="40A66849"/>
    <w:rsid w:val="415A365F"/>
    <w:rsid w:val="417A65BD"/>
    <w:rsid w:val="417D4941"/>
    <w:rsid w:val="419C7FC5"/>
    <w:rsid w:val="421764CD"/>
    <w:rsid w:val="423348BC"/>
    <w:rsid w:val="428962B5"/>
    <w:rsid w:val="42B90921"/>
    <w:rsid w:val="42CF3035"/>
    <w:rsid w:val="42E90D4E"/>
    <w:rsid w:val="430F273A"/>
    <w:rsid w:val="4356654B"/>
    <w:rsid w:val="447134A3"/>
    <w:rsid w:val="451D1B42"/>
    <w:rsid w:val="45252671"/>
    <w:rsid w:val="456832DE"/>
    <w:rsid w:val="459229A3"/>
    <w:rsid w:val="45A73592"/>
    <w:rsid w:val="45AF6435"/>
    <w:rsid w:val="45D9663C"/>
    <w:rsid w:val="45DE233E"/>
    <w:rsid w:val="462E1AE5"/>
    <w:rsid w:val="473254A1"/>
    <w:rsid w:val="47994A1D"/>
    <w:rsid w:val="48290281"/>
    <w:rsid w:val="482D06DA"/>
    <w:rsid w:val="484B40FE"/>
    <w:rsid w:val="48515360"/>
    <w:rsid w:val="491343D7"/>
    <w:rsid w:val="491A279D"/>
    <w:rsid w:val="498C06FB"/>
    <w:rsid w:val="49B23113"/>
    <w:rsid w:val="49D65863"/>
    <w:rsid w:val="49DC2F29"/>
    <w:rsid w:val="49E51472"/>
    <w:rsid w:val="4B351572"/>
    <w:rsid w:val="4B8F7AC8"/>
    <w:rsid w:val="4BE23A12"/>
    <w:rsid w:val="4C2D28D2"/>
    <w:rsid w:val="4C933418"/>
    <w:rsid w:val="4CEC3A66"/>
    <w:rsid w:val="4CF21956"/>
    <w:rsid w:val="4D0B6F4D"/>
    <w:rsid w:val="4D7B7DE9"/>
    <w:rsid w:val="4E17678B"/>
    <w:rsid w:val="4F47713E"/>
    <w:rsid w:val="4F59348C"/>
    <w:rsid w:val="4F5D0DB2"/>
    <w:rsid w:val="4FBD57BF"/>
    <w:rsid w:val="4FE20FC9"/>
    <w:rsid w:val="50366985"/>
    <w:rsid w:val="50632BBE"/>
    <w:rsid w:val="511273AC"/>
    <w:rsid w:val="512D6BAA"/>
    <w:rsid w:val="5178650D"/>
    <w:rsid w:val="51FE2B52"/>
    <w:rsid w:val="522E3EFE"/>
    <w:rsid w:val="52543F40"/>
    <w:rsid w:val="52A253A5"/>
    <w:rsid w:val="52CB1BD5"/>
    <w:rsid w:val="52F919AB"/>
    <w:rsid w:val="531B1442"/>
    <w:rsid w:val="53363D14"/>
    <w:rsid w:val="538850D7"/>
    <w:rsid w:val="53C0141E"/>
    <w:rsid w:val="53C3204E"/>
    <w:rsid w:val="53C8363F"/>
    <w:rsid w:val="5406299D"/>
    <w:rsid w:val="54342F5F"/>
    <w:rsid w:val="54404987"/>
    <w:rsid w:val="54475B0F"/>
    <w:rsid w:val="545E179F"/>
    <w:rsid w:val="54A909B4"/>
    <w:rsid w:val="54C21984"/>
    <w:rsid w:val="55845F96"/>
    <w:rsid w:val="55A74C2C"/>
    <w:rsid w:val="55FB7206"/>
    <w:rsid w:val="561254C4"/>
    <w:rsid w:val="56736FC4"/>
    <w:rsid w:val="567C73E2"/>
    <w:rsid w:val="5697070F"/>
    <w:rsid w:val="56C44AD8"/>
    <w:rsid w:val="56F11AD6"/>
    <w:rsid w:val="57946649"/>
    <w:rsid w:val="57E66855"/>
    <w:rsid w:val="58052546"/>
    <w:rsid w:val="582B4779"/>
    <w:rsid w:val="58596397"/>
    <w:rsid w:val="585A2A46"/>
    <w:rsid w:val="585B124F"/>
    <w:rsid w:val="58661940"/>
    <w:rsid w:val="587C1AD6"/>
    <w:rsid w:val="58DE6EB1"/>
    <w:rsid w:val="59051222"/>
    <w:rsid w:val="598D0545"/>
    <w:rsid w:val="59AF17C6"/>
    <w:rsid w:val="59FC1DAF"/>
    <w:rsid w:val="5A3B0D2F"/>
    <w:rsid w:val="5A42187B"/>
    <w:rsid w:val="5A7428FD"/>
    <w:rsid w:val="5A8C30C7"/>
    <w:rsid w:val="5AA62C82"/>
    <w:rsid w:val="5AE72DB4"/>
    <w:rsid w:val="5B8E6806"/>
    <w:rsid w:val="5BF231D7"/>
    <w:rsid w:val="5C3D1840"/>
    <w:rsid w:val="5D043933"/>
    <w:rsid w:val="5D2A7D65"/>
    <w:rsid w:val="5D566210"/>
    <w:rsid w:val="5DCC095E"/>
    <w:rsid w:val="5DD16A8B"/>
    <w:rsid w:val="5E0374DB"/>
    <w:rsid w:val="5E272E9B"/>
    <w:rsid w:val="5E793B5E"/>
    <w:rsid w:val="5E7A1B83"/>
    <w:rsid w:val="5F675B08"/>
    <w:rsid w:val="5FE02025"/>
    <w:rsid w:val="60CB5BFB"/>
    <w:rsid w:val="61030403"/>
    <w:rsid w:val="61363B57"/>
    <w:rsid w:val="61C2121B"/>
    <w:rsid w:val="61C32AC5"/>
    <w:rsid w:val="61CF4420"/>
    <w:rsid w:val="623F5F05"/>
    <w:rsid w:val="628F4EA0"/>
    <w:rsid w:val="62FA1251"/>
    <w:rsid w:val="6303637E"/>
    <w:rsid w:val="631E6F2F"/>
    <w:rsid w:val="632B4856"/>
    <w:rsid w:val="6357350C"/>
    <w:rsid w:val="63A2070B"/>
    <w:rsid w:val="6411072D"/>
    <w:rsid w:val="648A7730"/>
    <w:rsid w:val="649527D5"/>
    <w:rsid w:val="64A43312"/>
    <w:rsid w:val="64FA551B"/>
    <w:rsid w:val="65BD0721"/>
    <w:rsid w:val="65D83260"/>
    <w:rsid w:val="6606721E"/>
    <w:rsid w:val="67047901"/>
    <w:rsid w:val="67833C9E"/>
    <w:rsid w:val="67C624A9"/>
    <w:rsid w:val="67E844EA"/>
    <w:rsid w:val="67FD6568"/>
    <w:rsid w:val="689B4F9A"/>
    <w:rsid w:val="68AE1297"/>
    <w:rsid w:val="68FC334A"/>
    <w:rsid w:val="69011247"/>
    <w:rsid w:val="69846CC3"/>
    <w:rsid w:val="69B778EC"/>
    <w:rsid w:val="69C67CB4"/>
    <w:rsid w:val="6A207E6A"/>
    <w:rsid w:val="6A3D2489"/>
    <w:rsid w:val="6AAA106B"/>
    <w:rsid w:val="6ACB20FD"/>
    <w:rsid w:val="6B021B84"/>
    <w:rsid w:val="6B32735C"/>
    <w:rsid w:val="6B98688B"/>
    <w:rsid w:val="6CB761F7"/>
    <w:rsid w:val="6CCF7F68"/>
    <w:rsid w:val="6D8908E3"/>
    <w:rsid w:val="6E396A29"/>
    <w:rsid w:val="6E9A07C7"/>
    <w:rsid w:val="6EA53A0E"/>
    <w:rsid w:val="6ECA67AF"/>
    <w:rsid w:val="6EDD513F"/>
    <w:rsid w:val="6F211ED2"/>
    <w:rsid w:val="6F2E1FE3"/>
    <w:rsid w:val="6F383396"/>
    <w:rsid w:val="6F692FDA"/>
    <w:rsid w:val="6FCA4DD6"/>
    <w:rsid w:val="6FCE68A8"/>
    <w:rsid w:val="6FF30EEF"/>
    <w:rsid w:val="701171A8"/>
    <w:rsid w:val="70136C69"/>
    <w:rsid w:val="70577473"/>
    <w:rsid w:val="7078523E"/>
    <w:rsid w:val="70857287"/>
    <w:rsid w:val="713E640F"/>
    <w:rsid w:val="71D535B4"/>
    <w:rsid w:val="72651444"/>
    <w:rsid w:val="726601AA"/>
    <w:rsid w:val="727B00EC"/>
    <w:rsid w:val="72D84E4D"/>
    <w:rsid w:val="72DA2E57"/>
    <w:rsid w:val="741F0821"/>
    <w:rsid w:val="75A77E4E"/>
    <w:rsid w:val="75C755AE"/>
    <w:rsid w:val="762F281E"/>
    <w:rsid w:val="76880A9D"/>
    <w:rsid w:val="76F15DD8"/>
    <w:rsid w:val="771E476F"/>
    <w:rsid w:val="7778472E"/>
    <w:rsid w:val="778A3FAB"/>
    <w:rsid w:val="786E18C4"/>
    <w:rsid w:val="78D254D6"/>
    <w:rsid w:val="794925D5"/>
    <w:rsid w:val="79CD6826"/>
    <w:rsid w:val="7A956E47"/>
    <w:rsid w:val="7AC31D42"/>
    <w:rsid w:val="7B1904D6"/>
    <w:rsid w:val="7B4640A0"/>
    <w:rsid w:val="7B8C1584"/>
    <w:rsid w:val="7BB75293"/>
    <w:rsid w:val="7BF36964"/>
    <w:rsid w:val="7C0852DA"/>
    <w:rsid w:val="7C8D6788"/>
    <w:rsid w:val="7CF10133"/>
    <w:rsid w:val="7DF002E1"/>
    <w:rsid w:val="7EAB7E10"/>
    <w:rsid w:val="7F4025E6"/>
    <w:rsid w:val="7F8E01A6"/>
    <w:rsid w:val="7FCB4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numPr>
        <w:ilvl w:val="0"/>
        <w:numId w:val="1"/>
      </w:numPr>
      <w:ind w:left="0" w:firstLine="0"/>
      <w:outlineLvl w:val="0"/>
    </w:pPr>
    <w:rPr>
      <w:bCs/>
      <w:color w:val="2E75B6" w:themeColor="accent1" w:themeShade="BF"/>
      <w:kern w:val="44"/>
      <w:sz w:val="28"/>
      <w:szCs w:val="44"/>
    </w:rPr>
  </w:style>
  <w:style w:type="paragraph" w:styleId="3">
    <w:name w:val="heading 2"/>
    <w:basedOn w:val="1"/>
    <w:next w:val="1"/>
    <w:unhideWhenUsed/>
    <w:qFormat/>
    <w:uiPriority w:val="9"/>
    <w:pPr>
      <w:keepNext/>
      <w:keepLines/>
      <w:numPr>
        <w:ilvl w:val="0"/>
        <w:numId w:val="2"/>
      </w:numPr>
      <w:outlineLvl w:val="1"/>
    </w:pPr>
    <w:rPr>
      <w:rFonts w:cstheme="majorBidi"/>
      <w:bCs/>
      <w:color w:val="0070C0"/>
      <w:szCs w:val="32"/>
    </w:rPr>
  </w:style>
  <w:style w:type="paragraph" w:styleId="4">
    <w:name w:val="heading 3"/>
    <w:basedOn w:val="1"/>
    <w:next w:val="1"/>
    <w:unhideWhenUsed/>
    <w:qFormat/>
    <w:uiPriority w:val="9"/>
    <w:pPr>
      <w:keepNext/>
      <w:keepLines/>
      <w:numPr>
        <w:ilvl w:val="0"/>
        <w:numId w:val="3"/>
      </w:numPr>
      <w:outlineLvl w:val="2"/>
    </w:pPr>
    <w:rPr>
      <w:b/>
      <w:bCs/>
      <w:szCs w:val="32"/>
    </w:rPr>
  </w:style>
  <w:style w:type="character" w:default="1" w:styleId="19">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pPr>
      <w:jc w:val="center"/>
    </w:pPr>
    <w:rPr>
      <w:rFonts w:eastAsia="黑体" w:asciiTheme="majorHAnsi" w:hAnsiTheme="majorHAnsi" w:cstheme="majorBidi"/>
      <w:sz w:val="24"/>
      <w:szCs w:val="20"/>
    </w:rPr>
  </w:style>
  <w:style w:type="paragraph" w:styleId="6">
    <w:name w:val="annotation text"/>
    <w:basedOn w:val="1"/>
    <w:link w:val="36"/>
    <w:qFormat/>
    <w:uiPriority w:val="0"/>
    <w:pPr>
      <w:jc w:val="left"/>
    </w:pPr>
  </w:style>
  <w:style w:type="paragraph" w:styleId="7">
    <w:name w:val="toc 3"/>
    <w:basedOn w:val="1"/>
    <w:next w:val="1"/>
    <w:unhideWhenUsed/>
    <w:qFormat/>
    <w:uiPriority w:val="39"/>
    <w:pPr>
      <w:ind w:left="840" w:leftChars="400"/>
    </w:pPr>
  </w:style>
  <w:style w:type="paragraph" w:styleId="8">
    <w:name w:val="Balloon Text"/>
    <w:basedOn w:val="1"/>
    <w:link w:val="3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unhideWhenUsed/>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5">
    <w:name w:val="annotation subject"/>
    <w:basedOn w:val="6"/>
    <w:next w:val="6"/>
    <w:link w:val="37"/>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8">
    <w:name w:val="Table Elegant"/>
    <w:basedOn w:val="1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20">
    <w:name w:val="Strong"/>
    <w:basedOn w:val="19"/>
    <w:qFormat/>
    <w:uiPriority w:val="0"/>
    <w:rPr>
      <w:b/>
    </w:rPr>
  </w:style>
  <w:style w:type="character" w:styleId="21">
    <w:name w:val="page number"/>
    <w:basedOn w:val="19"/>
    <w:qFormat/>
    <w:uiPriority w:val="0"/>
  </w:style>
  <w:style w:type="character" w:styleId="22">
    <w:name w:val="FollowedHyperlink"/>
    <w:basedOn w:val="19"/>
    <w:qFormat/>
    <w:uiPriority w:val="0"/>
    <w:rPr>
      <w:color w:val="000000"/>
      <w:sz w:val="24"/>
      <w:szCs w:val="24"/>
      <w:u w:val="none"/>
    </w:rPr>
  </w:style>
  <w:style w:type="character" w:styleId="23">
    <w:name w:val="Emphasis"/>
    <w:basedOn w:val="19"/>
    <w:qFormat/>
    <w:uiPriority w:val="0"/>
  </w:style>
  <w:style w:type="character" w:styleId="24">
    <w:name w:val="Hyperlink"/>
    <w:basedOn w:val="19"/>
    <w:qFormat/>
    <w:uiPriority w:val="99"/>
    <w:rPr>
      <w:color w:val="000000"/>
      <w:sz w:val="24"/>
      <w:szCs w:val="24"/>
      <w:u w:val="none"/>
    </w:rPr>
  </w:style>
  <w:style w:type="character" w:styleId="25">
    <w:name w:val="annotation reference"/>
    <w:basedOn w:val="19"/>
    <w:qFormat/>
    <w:uiPriority w:val="0"/>
    <w:rPr>
      <w:sz w:val="21"/>
      <w:szCs w:val="21"/>
    </w:rPr>
  </w:style>
  <w:style w:type="paragraph" w:styleId="26">
    <w:name w:val="List Paragraph"/>
    <w:basedOn w:val="1"/>
    <w:qFormat/>
    <w:uiPriority w:val="34"/>
    <w:pPr>
      <w:numPr>
        <w:ilvl w:val="0"/>
        <w:numId w:val="4"/>
      </w:numPr>
    </w:pPr>
  </w:style>
  <w:style w:type="character" w:customStyle="1" w:styleId="27">
    <w:name w:val="on6"/>
    <w:basedOn w:val="19"/>
    <w:qFormat/>
    <w:uiPriority w:val="0"/>
    <w:rPr>
      <w:shd w:val="clear" w:color="auto" w:fill="FFFFFF"/>
    </w:rPr>
  </w:style>
  <w:style w:type="character" w:customStyle="1" w:styleId="28">
    <w:name w:val="time"/>
    <w:basedOn w:val="19"/>
    <w:qFormat/>
    <w:uiPriority w:val="0"/>
  </w:style>
  <w:style w:type="character" w:customStyle="1" w:styleId="29">
    <w:name w:val="time1"/>
    <w:basedOn w:val="19"/>
    <w:qFormat/>
    <w:uiPriority w:val="0"/>
    <w:rPr>
      <w:color w:val="BBBBBB"/>
    </w:rPr>
  </w:style>
  <w:style w:type="character" w:customStyle="1" w:styleId="30">
    <w:name w:val="hits"/>
    <w:basedOn w:val="19"/>
    <w:qFormat/>
    <w:uiPriority w:val="0"/>
  </w:style>
  <w:style w:type="character" w:customStyle="1" w:styleId="31">
    <w:name w:val="class"/>
    <w:basedOn w:val="19"/>
    <w:qFormat/>
    <w:uiPriority w:val="0"/>
  </w:style>
  <w:style w:type="character" w:customStyle="1" w:styleId="32">
    <w:name w:val="uname"/>
    <w:basedOn w:val="19"/>
    <w:qFormat/>
    <w:uiPriority w:val="0"/>
    <w:rPr>
      <w:rFonts w:ascii="Verdana" w:hAnsi="Verdana" w:cs="Verdana"/>
      <w:b/>
      <w:color w:val="DD3322"/>
    </w:rPr>
  </w:style>
  <w:style w:type="paragraph" w:customStyle="1" w:styleId="33">
    <w:name w:val="TOC 标题1"/>
    <w:basedOn w:val="2"/>
    <w:next w:val="1"/>
    <w:unhideWhenUsed/>
    <w:qFormat/>
    <w:uiPriority w:val="39"/>
    <w:pPr>
      <w:widowControl/>
      <w:numPr>
        <w:numId w:val="0"/>
      </w:numPr>
      <w:spacing w:before="240" w:line="259" w:lineRule="auto"/>
      <w:outlineLvl w:val="9"/>
    </w:pPr>
    <w:rPr>
      <w:rFonts w:asciiTheme="majorHAnsi" w:hAnsiTheme="majorHAnsi" w:eastAsiaTheme="majorEastAsia" w:cstheme="majorBidi"/>
      <w:bCs w:val="0"/>
      <w:kern w:val="0"/>
      <w:sz w:val="32"/>
      <w:szCs w:val="32"/>
    </w:rPr>
  </w:style>
  <w:style w:type="character" w:customStyle="1" w:styleId="34">
    <w:name w:val="批注框文本 Char"/>
    <w:basedOn w:val="19"/>
    <w:link w:val="8"/>
    <w:qFormat/>
    <w:uiPriority w:val="0"/>
    <w:rPr>
      <w:rFonts w:ascii="Times New Roman" w:hAnsi="Times New Roman" w:eastAsia="宋体" w:cs="Times New Roman"/>
      <w:kern w:val="2"/>
      <w:sz w:val="18"/>
      <w:szCs w:val="18"/>
    </w:rPr>
  </w:style>
  <w:style w:type="paragraph" w:customStyle="1" w:styleId="35">
    <w:name w:val="Default"/>
    <w:qFormat/>
    <w:uiPriority w:val="0"/>
    <w:pPr>
      <w:widowControl w:val="0"/>
      <w:autoSpaceDE w:val="0"/>
      <w:autoSpaceDN w:val="0"/>
      <w:adjustRightInd w:val="0"/>
    </w:pPr>
    <w:rPr>
      <w:rFonts w:ascii="仿宋" w:hAnsi="仿宋" w:cs="仿宋" w:eastAsiaTheme="minorEastAsia"/>
      <w:color w:val="000000"/>
      <w:sz w:val="24"/>
      <w:szCs w:val="24"/>
      <w:lang w:val="en-US" w:eastAsia="zh-CN" w:bidi="ar-SA"/>
    </w:rPr>
  </w:style>
  <w:style w:type="character" w:customStyle="1" w:styleId="36">
    <w:name w:val="批注文字 Char"/>
    <w:basedOn w:val="19"/>
    <w:link w:val="6"/>
    <w:qFormat/>
    <w:uiPriority w:val="0"/>
    <w:rPr>
      <w:kern w:val="2"/>
      <w:sz w:val="21"/>
      <w:szCs w:val="24"/>
    </w:rPr>
  </w:style>
  <w:style w:type="character" w:customStyle="1" w:styleId="37">
    <w:name w:val="批注主题 Char"/>
    <w:basedOn w:val="36"/>
    <w:link w:val="15"/>
    <w:qFormat/>
    <w:uiPriority w:val="0"/>
    <w:rPr>
      <w:b/>
      <w:bCs/>
      <w:kern w:val="2"/>
      <w:sz w:val="21"/>
      <w:szCs w:val="24"/>
    </w:rPr>
  </w:style>
  <w:style w:type="paragraph" w:customStyle="1" w:styleId="38">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39">
    <w:name w:val="fontstyle01"/>
    <w:basedOn w:val="19"/>
    <w:qFormat/>
    <w:uiPriority w:val="0"/>
    <w:rPr>
      <w:rFonts w:hint="eastAsia" w:ascii="华文仿宋" w:hAnsi="华文仿宋" w:eastAsia="华文仿宋"/>
      <w:color w:val="000000"/>
      <w:sz w:val="24"/>
      <w:szCs w:val="24"/>
    </w:rPr>
  </w:style>
  <w:style w:type="character" w:customStyle="1" w:styleId="40">
    <w:name w:val="fontstyle21"/>
    <w:basedOn w:val="19"/>
    <w:qFormat/>
    <w:uiPriority w:val="0"/>
    <w:rPr>
      <w:rFonts w:hint="default" w:ascii="TimesNewRomanPSMT" w:hAnsi="TimesNewRomanPSMT"/>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yulingyun\Desktop\&#28304;&#22478;&#21306;&#20859;&#27542;&#27700;&#22495;&#28393;&#28034;&#35268;&#21010;&#32534;&#21046;&#25152;&#38656;&#26448;&#26009;&#28165;&#21333;\&#28304;&#22478;&#21306;&#20859;&#27542;&#27700;&#22495;&#28393;&#28034;&#35268;&#21010;&#32534;&#21046;&#25152;&#38656;&#26448;&#26009;&#28165;&#21333;\&#30044;&#29287;&#23616;\13-17&#24180;&#28180;&#19994;&#24180;&#25253;&#21450;&#24635;&#32467;\13-17&#24180;&#28180;&#19994;&#24180;&#25253;&#21450;&#24635;&#32467;\13-17&#24180;&#28180;&#19994;&#24180;&#25253;&#34920;\2017&#28304;&#22478;&#21306;&#28180;&#19994;&#24180;&#2525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ulingyun\Desktop\&#28304;&#22478;&#21306;&#20859;&#27542;&#27700;&#22495;&#28393;&#28034;&#35268;&#21010;&#32534;&#21046;&#25152;&#38656;&#26448;&#26009;&#28165;&#21333;\&#28304;&#22478;&#21306;&#20859;&#27542;&#27700;&#22495;&#28393;&#28034;&#35268;&#21010;&#32534;&#21046;&#25152;&#38656;&#26448;&#26009;&#28165;&#21333;\&#25968;&#25454;&#32479;&#35745;&#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0553170705"/>
          <c:y val="0.0158188415719568"/>
          <c:w val="0.677604256049426"/>
          <c:h val="0.597636815920398"/>
        </c:manualLayout>
      </c:layout>
      <c:barChart>
        <c:barDir val="col"/>
        <c:grouping val="clustered"/>
        <c:varyColors val="0"/>
        <c:ser>
          <c:idx val="0"/>
          <c:order val="0"/>
          <c:spPr>
            <a:gradFill>
              <a:gsLst>
                <a:gs pos="0">
                  <a:srgbClr val="FE4444"/>
                </a:gs>
                <a:gs pos="100000">
                  <a:srgbClr val="832B2B"/>
                </a:gs>
              </a:gsLst>
              <a:lin ang="5400000" scaled="0"/>
            </a:gradFill>
            <a:ln>
              <a:noFill/>
            </a:ln>
            <a:effectLst/>
          </c:spPr>
          <c:invertIfNegative val="0"/>
          <c:dLbls>
            <c:delete val="1"/>
          </c:dLbls>
          <c:cat>
            <c:strRef>
              <c:f>'[2017源城区渔业年报.xls]8'!$C$13:$F$13</c:f>
              <c:strCache>
                <c:ptCount val="4"/>
                <c:pt idx="0">
                  <c:v>鱼类（吨）</c:v>
                </c:pt>
                <c:pt idx="1">
                  <c:v>甲壳类（吨）</c:v>
                </c:pt>
                <c:pt idx="2">
                  <c:v>贝类（吨）</c:v>
                </c:pt>
                <c:pt idx="3">
                  <c:v>其它类（吨）</c:v>
                </c:pt>
              </c:strCache>
            </c:strRef>
          </c:cat>
          <c:val>
            <c:numRef>
              <c:f>'[2017源城区渔业年报.xls]8'!$C$14:$F$14</c:f>
              <c:numCache>
                <c:formatCode>General</c:formatCode>
                <c:ptCount val="4"/>
                <c:pt idx="0">
                  <c:v>50</c:v>
                </c:pt>
                <c:pt idx="1">
                  <c:v>11</c:v>
                </c:pt>
                <c:pt idx="2">
                  <c:v>4</c:v>
                </c:pt>
                <c:pt idx="3">
                  <c:v>1</c:v>
                </c:pt>
              </c:numCache>
            </c:numRef>
          </c:val>
        </c:ser>
        <c:dLbls>
          <c:showLegendKey val="0"/>
          <c:showVal val="0"/>
          <c:showCatName val="0"/>
          <c:showSerName val="0"/>
          <c:showPercent val="0"/>
          <c:showBubbleSize val="0"/>
        </c:dLbls>
        <c:gapWidth val="219"/>
        <c:overlap val="-27"/>
        <c:axId val="391544192"/>
        <c:axId val="391556480"/>
      </c:barChart>
      <c:catAx>
        <c:axId val="391544192"/>
        <c:scaling>
          <c:orientation val="minMax"/>
        </c:scaling>
        <c:delete val="0"/>
        <c:axPos val="b"/>
        <c:numFmt formatCode="General" sourceLinked="0"/>
        <c:majorTickMark val="in"/>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1050" b="0" i="0" u="none" strike="noStrike" kern="1200" cap="none" spc="0" normalizeH="0" baseline="0">
                <a:solidFill>
                  <a:schemeClr val="tx1">
                    <a:lumMod val="65000"/>
                    <a:lumOff val="35000"/>
                  </a:schemeClr>
                </a:solidFill>
                <a:uFill>
                  <a:solidFill>
                    <a:schemeClr val="tx1">
                      <a:lumMod val="65000"/>
                      <a:lumOff val="35000"/>
                    </a:schemeClr>
                  </a:solidFill>
                </a:u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391556480"/>
        <c:crosses val="autoZero"/>
        <c:auto val="1"/>
        <c:lblAlgn val="ctr"/>
        <c:lblOffset val="100"/>
        <c:noMultiLvlLbl val="0"/>
      </c:catAx>
      <c:valAx>
        <c:axId val="391556480"/>
        <c:scaling>
          <c:orientation val="minMax"/>
        </c:scaling>
        <c:delete val="0"/>
        <c:axPos val="l"/>
        <c:majorGridlines>
          <c:spPr>
            <a:ln w="9525" cap="flat" cmpd="sng" algn="ctr">
              <a:noFill/>
              <a:prstDash val="solid"/>
              <a:round/>
            </a:ln>
            <a:effectLst/>
          </c:spPr>
        </c:majorGridlines>
        <c:numFmt formatCode="General" sourceLinked="1"/>
        <c:majorTickMark val="in"/>
        <c:minorTickMark val="none"/>
        <c:tickLblPos val="nextTo"/>
        <c:spPr>
          <a:noFill/>
          <a:ln w="6350" cap="flat" cmpd="sng" algn="ctr">
            <a:solidFill>
              <a:schemeClr val="tx1"/>
            </a:solidFill>
            <a:prstDash val="solid"/>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39154419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manualLayout>
          <c:layoutTarget val="inner"/>
          <c:xMode val="edge"/>
          <c:yMode val="edge"/>
          <c:x val="0.0748055555555556"/>
          <c:y val="0.0625"/>
          <c:w val="0.894638888888889"/>
          <c:h val="0.826018518518519"/>
        </c:manualLayout>
      </c:layout>
      <c:barChart>
        <c:barDir val="col"/>
        <c:grouping val="clustered"/>
        <c:varyColors val="0"/>
        <c:ser>
          <c:idx val="0"/>
          <c:order val="0"/>
          <c:spPr>
            <a:gradFill>
              <a:gsLst>
                <a:gs pos="0">
                  <a:srgbClr val="14CD68"/>
                </a:gs>
                <a:gs pos="100000">
                  <a:srgbClr val="035C7D"/>
                </a:gs>
              </a:gsLst>
              <a:lin ang="5400000" scaled="0"/>
            </a:gradFill>
            <a:ln>
              <a:noFill/>
            </a:ln>
            <a:effectLst/>
          </c:spPr>
          <c:invertIfNegative val="0"/>
          <c:dLbls>
            <c:delete val="1"/>
          </c:dLbls>
          <c:cat>
            <c:strRef>
              <c:f>[数据统计表.xls]Sheet1!$B$40:$K$40</c:f>
              <c:strCache>
                <c:ptCount val="10"/>
                <c:pt idx="0">
                  <c:v>草鱼</c:v>
                </c:pt>
                <c:pt idx="1">
                  <c:v>鲢鱼</c:v>
                </c:pt>
                <c:pt idx="2">
                  <c:v>鳙鱼</c:v>
                </c:pt>
                <c:pt idx="3">
                  <c:v>鲤鱼</c:v>
                </c:pt>
                <c:pt idx="4">
                  <c:v>鲫鱼</c:v>
                </c:pt>
                <c:pt idx="5">
                  <c:v>鳊鱼</c:v>
                </c:pt>
                <c:pt idx="6">
                  <c:v>鲶鱼</c:v>
                </c:pt>
                <c:pt idx="7">
                  <c:v>鲈鱼</c:v>
                </c:pt>
                <c:pt idx="8">
                  <c:v>罗非鱼</c:v>
                </c:pt>
                <c:pt idx="9">
                  <c:v>其他</c:v>
                </c:pt>
              </c:strCache>
            </c:strRef>
          </c:cat>
          <c:val>
            <c:numRef>
              <c:f>[数据统计表.xls]Sheet1!$B$41:$K$41</c:f>
              <c:numCache>
                <c:formatCode>General</c:formatCode>
                <c:ptCount val="10"/>
                <c:pt idx="0">
                  <c:v>410</c:v>
                </c:pt>
                <c:pt idx="1">
                  <c:v>166</c:v>
                </c:pt>
                <c:pt idx="2">
                  <c:v>167</c:v>
                </c:pt>
                <c:pt idx="3">
                  <c:v>72</c:v>
                </c:pt>
                <c:pt idx="4">
                  <c:v>86</c:v>
                </c:pt>
                <c:pt idx="5">
                  <c:v>34</c:v>
                </c:pt>
                <c:pt idx="6">
                  <c:v>40</c:v>
                </c:pt>
                <c:pt idx="7">
                  <c:v>28</c:v>
                </c:pt>
                <c:pt idx="8">
                  <c:v>89</c:v>
                </c:pt>
                <c:pt idx="9">
                  <c:v>18</c:v>
                </c:pt>
              </c:numCache>
            </c:numRef>
          </c:val>
        </c:ser>
        <c:dLbls>
          <c:showLegendKey val="0"/>
          <c:showVal val="0"/>
          <c:showCatName val="0"/>
          <c:showSerName val="0"/>
          <c:showPercent val="0"/>
          <c:showBubbleSize val="0"/>
        </c:dLbls>
        <c:gapWidth val="219"/>
        <c:overlap val="-27"/>
        <c:axId val="120980608"/>
        <c:axId val="120982144"/>
      </c:barChart>
      <c:catAx>
        <c:axId val="120980608"/>
        <c:scaling>
          <c:orientation val="minMax"/>
        </c:scaling>
        <c:delete val="0"/>
        <c:axPos val="b"/>
        <c:numFmt formatCode="General" sourceLinked="0"/>
        <c:majorTickMark val="in"/>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120982144"/>
        <c:crosses val="autoZero"/>
        <c:auto val="1"/>
        <c:lblAlgn val="ctr"/>
        <c:lblOffset val="100"/>
        <c:noMultiLvlLbl val="0"/>
      </c:catAx>
      <c:valAx>
        <c:axId val="120982144"/>
        <c:scaling>
          <c:orientation val="minMax"/>
        </c:scaling>
        <c:delete val="0"/>
        <c:axPos val="l"/>
        <c:numFmt formatCode="General" sourceLinked="1"/>
        <c:majorTickMark val="in"/>
        <c:minorTickMark val="none"/>
        <c:tickLblPos val="nextTo"/>
        <c:spPr>
          <a:noFill/>
          <a:ln w="6350" cap="flat" cmpd="sng" algn="ctr">
            <a:solidFill>
              <a:schemeClr val="tx1"/>
            </a:solidFill>
            <a:prstDash val="solid"/>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120980608"/>
        <c:crosses val="autoZero"/>
        <c:crossBetween val="between"/>
      </c:valAx>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7EDC7"/>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0A9091-2BDE-40AB-B642-9E3E11D4BC3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51</Pages>
  <Words>3702</Words>
  <Characters>21107</Characters>
  <Lines>175</Lines>
  <Paragraphs>49</Paragraphs>
  <TotalTime>7</TotalTime>
  <ScaleCrop>false</ScaleCrop>
  <LinksUpToDate>false</LinksUpToDate>
  <CharactersWithSpaces>24760</CharactersWithSpaces>
  <Application>WPS Office_11.8.2.10989_F1E327BC-269C-435d-A152-05C5408002CA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2023-12-05T01:02:00Z</dcterms:created>
  <dc:creator>yulingyun</dc:creator>
  <cp:lastModifiedBy>黄艳</cp:lastModifiedBy>
  <cp:lastPrinted>2018-12-10T03:10:00Z</cp:lastPrinted>
  <dcterms:modified xsi:type="dcterms:W3CDTF">2023-12-12T03:19:12Z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2052-11.8.2.10989</vt:lpwstr>
  </property>
  <property fmtid="{D5CDD505-2E9C-101B-9397-08002B2CF9AE}" pid="3" name="KSORubyTemplateID" linkTarget="0">
    <vt:lpwstr>6</vt:lpwstr>
  </property>
  <property fmtid="{D5CDD505-2E9C-101B-9397-08002B2CF9AE}" pid="4" name="ICV">
    <vt:lpwstr>F41819D54E1948DB8020077697C158D0</vt:lpwstr>
  </property>
</Properties>
</file>