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870C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源城区工业用地“标准地”控制指标</w:t>
      </w:r>
    </w:p>
    <w:p w14:paraId="5A82F94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w:t>
      </w:r>
    </w:p>
    <w:p w14:paraId="762797F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w:t>
      </w:r>
      <w:bookmarkStart w:id="0" w:name="_GoBack"/>
      <w:bookmarkEnd w:id="0"/>
      <w:r>
        <w:rPr>
          <w:rFonts w:hint="eastAsia" w:ascii="方正楷体_GBK" w:hAnsi="方正楷体_GBK" w:eastAsia="方正楷体_GBK" w:cs="方正楷体_GBK"/>
          <w:sz w:val="32"/>
          <w:szCs w:val="32"/>
          <w:lang w:val="en-US" w:eastAsia="zh-CN"/>
        </w:rPr>
        <w:t>征求意见稿）</w:t>
      </w:r>
    </w:p>
    <w:p w14:paraId="5AA349B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仿宋_GBK" w:hAnsi="方正仿宋_GBK" w:eastAsia="方正仿宋_GBK" w:cs="方正仿宋_GBK"/>
          <w:sz w:val="32"/>
          <w:szCs w:val="32"/>
          <w:lang w:val="en-US" w:eastAsia="zh-CN"/>
        </w:rPr>
      </w:pPr>
    </w:p>
    <w:p w14:paraId="54DD543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为进一步加强工业项目建设用地管理，促进工业节约集约用地，</w:t>
      </w:r>
      <w:r>
        <w:rPr>
          <w:rFonts w:hint="eastAsia" w:ascii="方正仿宋_GBK" w:hAnsi="方正仿宋_GBK" w:cs="方正仿宋_GBK"/>
          <w:sz w:val="32"/>
          <w:szCs w:val="32"/>
          <w:lang w:val="en-US" w:eastAsia="zh-CN"/>
        </w:rPr>
        <w:t>根据《河源市工业和信息化局、河源市自然资源局关于实施工业用地“标准地”供应的通知》要求，结合源城区发展实际，特制定《源城区工业用地“标准地”控制指标实施方案》。</w:t>
      </w:r>
    </w:p>
    <w:p w14:paraId="48CCB6C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一、适用范围</w:t>
      </w:r>
    </w:p>
    <w:p w14:paraId="4779D3D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本控制指标是对工业项目及其配套工程在土地利用上进行控制的标准，适用于辖区内国有土地上的新建工业项目，集体土地上的工业项目应参照执行。</w:t>
      </w:r>
    </w:p>
    <w:p w14:paraId="5F38EFE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二、主要指标计算</w:t>
      </w:r>
    </w:p>
    <w:p w14:paraId="5F2090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b w:val="0"/>
          <w:bCs w:val="0"/>
          <w:sz w:val="32"/>
          <w:szCs w:val="32"/>
          <w:vertAlign w:val="baseline"/>
          <w:lang w:val="en-US" w:eastAsia="zh-CN"/>
        </w:rPr>
      </w:pPr>
      <w:r>
        <w:rPr>
          <w:rFonts w:hint="eastAsia" w:ascii="方正楷体_GBK" w:hAnsi="方正楷体_GBK" w:eastAsia="方正楷体_GBK" w:cs="方正楷体_GBK"/>
          <w:b w:val="0"/>
          <w:bCs w:val="0"/>
          <w:sz w:val="32"/>
          <w:szCs w:val="32"/>
          <w:vertAlign w:val="baseline"/>
          <w:lang w:val="en-US" w:eastAsia="zh-CN"/>
        </w:rPr>
        <w:t>（一）产出强度：</w:t>
      </w:r>
      <w:r>
        <w:rPr>
          <w:rFonts w:hint="eastAsia"/>
          <w:sz w:val="32"/>
          <w:szCs w:val="32"/>
          <w:vertAlign w:val="baseline"/>
          <w:lang w:val="en-US" w:eastAsia="zh-CN"/>
        </w:rPr>
        <w:t>单位工业用地面积产生的年度工业总产值。反映单</w:t>
      </w:r>
      <w:r>
        <w:rPr>
          <w:rFonts w:hint="eastAsia"/>
          <w:b w:val="0"/>
          <w:bCs w:val="0"/>
          <w:sz w:val="32"/>
          <w:szCs w:val="32"/>
          <w:vertAlign w:val="baseline"/>
          <w:lang w:val="en-US" w:eastAsia="zh-CN"/>
        </w:rPr>
        <w:t>位土地上项目的产出情况，是衡量土地产出水平的重要指标。</w:t>
      </w:r>
    </w:p>
    <w:p w14:paraId="479578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vertAlign w:val="baseline"/>
          <w:lang w:val="en-US" w:eastAsia="zh-CN"/>
        </w:rPr>
      </w:pPr>
      <w:r>
        <w:rPr>
          <w:rFonts w:hint="eastAsia"/>
          <w:b w:val="0"/>
          <w:bCs w:val="0"/>
          <w:sz w:val="32"/>
          <w:szCs w:val="32"/>
          <w:vertAlign w:val="baseline"/>
          <w:lang w:val="en-US" w:eastAsia="zh-CN"/>
        </w:rPr>
        <w:t>计算公式：</w:t>
      </w:r>
      <w:r>
        <w:rPr>
          <w:rFonts w:hint="eastAsia"/>
          <w:sz w:val="32"/>
          <w:szCs w:val="32"/>
          <w:vertAlign w:val="baseline"/>
          <w:lang w:val="en-US" w:eastAsia="zh-CN"/>
        </w:rPr>
        <w:t>产出强度＝项目工业总产值÷项目总用地面积。</w:t>
      </w:r>
    </w:p>
    <w:p w14:paraId="4D6CFB5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b w:val="0"/>
          <w:bCs w:val="0"/>
          <w:sz w:val="32"/>
          <w:szCs w:val="32"/>
          <w:vertAlign w:val="baseline"/>
          <w:lang w:val="en-US" w:eastAsia="zh-CN"/>
        </w:rPr>
      </w:pPr>
      <w:r>
        <w:rPr>
          <w:rFonts w:hint="eastAsia" w:ascii="方正楷体_GBK" w:hAnsi="方正楷体_GBK" w:eastAsia="方正楷体_GBK" w:cs="方正楷体_GBK"/>
          <w:b w:val="0"/>
          <w:bCs w:val="0"/>
          <w:sz w:val="32"/>
          <w:szCs w:val="32"/>
          <w:vertAlign w:val="baseline"/>
          <w:lang w:val="en-US" w:eastAsia="zh-CN"/>
        </w:rPr>
        <w:t>（二）投资强度：</w:t>
      </w:r>
      <w:r>
        <w:rPr>
          <w:rFonts w:hint="eastAsia"/>
          <w:sz w:val="32"/>
          <w:szCs w:val="32"/>
          <w:vertAlign w:val="baseline"/>
          <w:lang w:val="en-US" w:eastAsia="zh-CN"/>
        </w:rPr>
        <w:t>项目用地范围内单位土地面积上的固定资产投资额。反映单位土地项目固定资产投资情况，是衡量工业用</w:t>
      </w:r>
      <w:r>
        <w:rPr>
          <w:rFonts w:hint="eastAsia"/>
          <w:b w:val="0"/>
          <w:bCs w:val="0"/>
          <w:sz w:val="32"/>
          <w:szCs w:val="32"/>
          <w:vertAlign w:val="baseline"/>
          <w:lang w:val="en-US" w:eastAsia="zh-CN"/>
        </w:rPr>
        <w:t>地投入水平的重要尺度。</w:t>
      </w:r>
    </w:p>
    <w:p w14:paraId="4161992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sz w:val="32"/>
          <w:szCs w:val="32"/>
          <w:vertAlign w:val="baseline"/>
          <w:lang w:val="en-US" w:eastAsia="zh-CN"/>
        </w:rPr>
      </w:pPr>
      <w:r>
        <w:rPr>
          <w:rFonts w:hint="eastAsia"/>
          <w:b w:val="0"/>
          <w:bCs w:val="0"/>
          <w:sz w:val="32"/>
          <w:szCs w:val="32"/>
          <w:vertAlign w:val="baseline"/>
          <w:lang w:val="en-US" w:eastAsia="zh-CN"/>
        </w:rPr>
        <w:t>计算公式：</w:t>
      </w:r>
      <w:r>
        <w:rPr>
          <w:rFonts w:hint="eastAsia"/>
          <w:sz w:val="32"/>
          <w:szCs w:val="32"/>
          <w:vertAlign w:val="baseline"/>
          <w:lang w:val="en-US" w:eastAsia="zh-CN"/>
        </w:rPr>
        <w:t>投资强度＝项目固定资产总投资÷项目用地总面积。其中，项目固定资产总投资包括厂房、设备和地价款。</w:t>
      </w:r>
    </w:p>
    <w:p w14:paraId="5732D3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vertAlign w:val="baseline"/>
          <w:lang w:val="en-US" w:eastAsia="zh-CN"/>
        </w:rPr>
      </w:pPr>
      <w:r>
        <w:rPr>
          <w:rFonts w:hint="eastAsia" w:ascii="方正楷体_GBK" w:hAnsi="方正楷体_GBK" w:eastAsia="方正楷体_GBK" w:cs="方正楷体_GBK"/>
          <w:b w:val="0"/>
          <w:bCs w:val="0"/>
          <w:sz w:val="32"/>
          <w:szCs w:val="32"/>
          <w:vertAlign w:val="baseline"/>
          <w:lang w:val="en-US" w:eastAsia="zh-CN"/>
        </w:rPr>
        <w:t>（三）亩均税收：</w:t>
      </w:r>
      <w:r>
        <w:rPr>
          <w:rFonts w:hint="eastAsia"/>
          <w:sz w:val="32"/>
          <w:szCs w:val="32"/>
          <w:vertAlign w:val="baseline"/>
          <w:lang w:val="en-US" w:eastAsia="zh-CN"/>
        </w:rPr>
        <w:t>每亩土地产生的应缴税收。反映单位土地上项目的创税情况，是衡量土地产出水平的重要指标。</w:t>
      </w:r>
    </w:p>
    <w:p w14:paraId="7664D3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vertAlign w:val="baseline"/>
          <w:lang w:val="en-US" w:eastAsia="zh-CN"/>
        </w:rPr>
      </w:pPr>
      <w:r>
        <w:rPr>
          <w:rFonts w:hint="eastAsia"/>
          <w:b w:val="0"/>
          <w:bCs w:val="0"/>
          <w:sz w:val="32"/>
          <w:szCs w:val="32"/>
          <w:vertAlign w:val="baseline"/>
          <w:lang w:val="en-US" w:eastAsia="zh-CN"/>
        </w:rPr>
        <w:t>计算公式：</w:t>
      </w:r>
      <w:r>
        <w:rPr>
          <w:rFonts w:hint="eastAsia"/>
          <w:sz w:val="32"/>
          <w:szCs w:val="32"/>
          <w:vertAlign w:val="baseline"/>
          <w:lang w:val="en-US" w:eastAsia="zh-CN"/>
        </w:rPr>
        <w:t>亩均税收＝项目缴交税金÷项目总用地面积。</w:t>
      </w:r>
    </w:p>
    <w:p w14:paraId="679E0D7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b w:val="0"/>
          <w:bCs w:val="0"/>
          <w:sz w:val="32"/>
          <w:szCs w:val="32"/>
          <w:vertAlign w:val="baseline"/>
          <w:lang w:val="en-US" w:eastAsia="zh-CN"/>
        </w:rPr>
      </w:pPr>
      <w:r>
        <w:rPr>
          <w:rFonts w:hint="eastAsia" w:ascii="方正楷体_GBK" w:hAnsi="方正楷体_GBK" w:eastAsia="方正楷体_GBK" w:cs="方正楷体_GBK"/>
          <w:b w:val="0"/>
          <w:bCs w:val="0"/>
          <w:sz w:val="32"/>
          <w:szCs w:val="32"/>
          <w:vertAlign w:val="baseline"/>
          <w:lang w:val="en-US" w:eastAsia="zh-CN"/>
        </w:rPr>
        <w:t>（四）容积率：</w:t>
      </w:r>
      <w:r>
        <w:rPr>
          <w:rFonts w:hint="eastAsia"/>
          <w:sz w:val="32"/>
          <w:szCs w:val="32"/>
          <w:vertAlign w:val="baseline"/>
          <w:lang w:val="en-US" w:eastAsia="zh-CN"/>
        </w:rPr>
        <w:t>项目用地范围内总建筑面积与项目总用地面积的比值。反映项目对土地的空间利用情况，是衡量土地利用强度</w:t>
      </w:r>
      <w:r>
        <w:rPr>
          <w:rFonts w:hint="eastAsia"/>
          <w:b w:val="0"/>
          <w:bCs w:val="0"/>
          <w:sz w:val="32"/>
          <w:szCs w:val="32"/>
          <w:vertAlign w:val="baseline"/>
          <w:lang w:val="en-US" w:eastAsia="zh-CN"/>
        </w:rPr>
        <w:t>的重要尺度之一。</w:t>
      </w:r>
    </w:p>
    <w:p w14:paraId="48C04B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sz w:val="32"/>
          <w:szCs w:val="32"/>
          <w:vertAlign w:val="baseline"/>
          <w:lang w:val="en-US" w:eastAsia="zh-CN"/>
        </w:rPr>
      </w:pPr>
      <w:r>
        <w:rPr>
          <w:rFonts w:hint="eastAsia"/>
          <w:b w:val="0"/>
          <w:bCs w:val="0"/>
          <w:sz w:val="32"/>
          <w:szCs w:val="32"/>
          <w:vertAlign w:val="baseline"/>
          <w:lang w:val="en-US" w:eastAsia="zh-CN"/>
        </w:rPr>
        <w:t>计算公式：容</w:t>
      </w:r>
      <w:r>
        <w:rPr>
          <w:rFonts w:hint="eastAsia"/>
          <w:sz w:val="32"/>
          <w:szCs w:val="32"/>
          <w:vertAlign w:val="baseline"/>
          <w:lang w:val="en-US" w:eastAsia="zh-CN"/>
        </w:rPr>
        <w:t>积率＝总建筑面积÷项目总用地面积。</w:t>
      </w:r>
    </w:p>
    <w:p w14:paraId="586539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sz w:val="32"/>
          <w:szCs w:val="32"/>
          <w:vertAlign w:val="baseline"/>
          <w:lang w:val="en-US" w:eastAsia="zh-CN"/>
        </w:rPr>
      </w:pPr>
      <w:r>
        <w:rPr>
          <w:rFonts w:hint="eastAsia" w:ascii="方正楷体_GBK" w:hAnsi="方正楷体_GBK" w:eastAsia="方正楷体_GBK" w:cs="方正楷体_GBK"/>
          <w:b w:val="0"/>
          <w:bCs w:val="0"/>
          <w:sz w:val="32"/>
          <w:szCs w:val="32"/>
          <w:vertAlign w:val="baseline"/>
          <w:lang w:val="en-US" w:eastAsia="zh-CN"/>
        </w:rPr>
        <w:t>（五）研发经费投入强度：</w:t>
      </w:r>
      <w:r>
        <w:rPr>
          <w:rFonts w:hint="eastAsia"/>
          <w:sz w:val="32"/>
          <w:szCs w:val="32"/>
          <w:vertAlign w:val="baseline"/>
          <w:lang w:val="en-US" w:eastAsia="zh-CN"/>
        </w:rPr>
        <w:t>研发投入占总营业收入的比例，该指标作为指导性指标。</w:t>
      </w:r>
    </w:p>
    <w:p w14:paraId="6EB892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vertAlign w:val="baseline"/>
          <w:lang w:val="en-US" w:eastAsia="zh-CN"/>
        </w:rPr>
      </w:pPr>
      <w:r>
        <w:rPr>
          <w:rFonts w:hint="eastAsia"/>
          <w:b w:val="0"/>
          <w:bCs w:val="0"/>
          <w:sz w:val="32"/>
          <w:szCs w:val="32"/>
          <w:vertAlign w:val="baseline"/>
          <w:lang w:val="en-US" w:eastAsia="zh-CN"/>
        </w:rPr>
        <w:t>计算公式：</w:t>
      </w:r>
      <w:r>
        <w:rPr>
          <w:rFonts w:hint="eastAsia"/>
          <w:sz w:val="32"/>
          <w:szCs w:val="32"/>
          <w:vertAlign w:val="baseline"/>
          <w:lang w:val="en-US" w:eastAsia="zh-CN"/>
        </w:rPr>
        <w:t>研发经费投入强度＝研发经费支出÷营业收入。</w:t>
      </w:r>
    </w:p>
    <w:p w14:paraId="5BDBD8A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三、控制指标应用要求</w:t>
      </w:r>
    </w:p>
    <w:p w14:paraId="359C76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vertAlign w:val="baseline"/>
          <w:lang w:val="en-US" w:eastAsia="zh-CN"/>
        </w:rPr>
      </w:pPr>
      <w:r>
        <w:rPr>
          <w:rFonts w:hint="default"/>
          <w:sz w:val="32"/>
          <w:szCs w:val="32"/>
          <w:vertAlign w:val="baseline"/>
          <w:lang w:val="en-US" w:eastAsia="zh-CN"/>
        </w:rPr>
        <w:t>（一）为了达到集约用地、布局集中、产业集聚的目的，新建工业项目除对资源、环境、地质等条件有特殊要求外，原则上安排进入各类产业园区。本控制指标是招商引资、工业项目准入、核定项目用地规模、工业项目强制退出和加强工业项目后续管理的重要依据</w:t>
      </w:r>
      <w:r>
        <w:rPr>
          <w:rFonts w:hint="eastAsia"/>
          <w:sz w:val="32"/>
          <w:szCs w:val="32"/>
          <w:vertAlign w:val="baseline"/>
          <w:lang w:val="en-US" w:eastAsia="zh-CN"/>
        </w:rPr>
        <w:t>。</w:t>
      </w:r>
    </w:p>
    <w:p w14:paraId="108C15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（二）新引进的工业项目产出强度、投资强度、亩均税收、容积率必须同时符合源城区工业用地“标准地”控制指标（详见附件）。</w:t>
      </w:r>
    </w:p>
    <w:p w14:paraId="3A3D56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（三）各镇（街道）政府（办事处）、区工业园管理委员会、区工业商务和信息化局、市自然资源局源城分局、区招商局要按照本控制指标要求，对工业项目进行认真审查，从严控制供地。</w:t>
      </w:r>
    </w:p>
    <w:p w14:paraId="1BD22B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sz w:val="32"/>
          <w:szCs w:val="32"/>
          <w:vertAlign w:val="baseline"/>
          <w:lang w:val="en-US" w:eastAsia="zh-CN"/>
        </w:rPr>
      </w:pPr>
      <w:r>
        <w:rPr>
          <w:rFonts w:hint="eastAsia"/>
          <w:sz w:val="32"/>
          <w:szCs w:val="32"/>
          <w:vertAlign w:val="baseline"/>
          <w:lang w:val="en-US" w:eastAsia="zh-CN"/>
        </w:rPr>
        <w:t>（四）各镇（街道）政府（办事处）、区工业园管理委员会在签订工业项目“标准地”投资项目协议时，必须在协议中明确约定产出强度、投资强度、亩均税收、容积率控制指标和违约责任，并负责会同区有关单位对项目履约情况的监管。</w:t>
      </w:r>
    </w:p>
    <w:p w14:paraId="5F986D0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sz w:val="28"/>
          <w:szCs w:val="28"/>
          <w:vertAlign w:val="baseline"/>
          <w:lang w:val="en-US" w:eastAsia="zh-CN"/>
        </w:rPr>
      </w:pPr>
    </w:p>
    <w:p w14:paraId="07B290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sz w:val="32"/>
          <w:szCs w:val="32"/>
          <w:vertAlign w:val="baseline"/>
          <w:lang w:val="en-US" w:eastAsia="zh-CN"/>
        </w:rPr>
      </w:pPr>
      <w:r>
        <w:rPr>
          <w:rFonts w:hint="eastAsia"/>
          <w:sz w:val="32"/>
          <w:szCs w:val="32"/>
          <w:vertAlign w:val="baseline"/>
          <w:lang w:val="en-US" w:eastAsia="zh-CN"/>
        </w:rPr>
        <w:t>附件：</w:t>
      </w:r>
      <w:r>
        <w:rPr>
          <w:rFonts w:hint="default"/>
          <w:sz w:val="32"/>
          <w:szCs w:val="32"/>
          <w:vertAlign w:val="baseline"/>
          <w:lang w:val="en-US" w:eastAsia="zh-CN"/>
        </w:rPr>
        <w:t>源城区工业用地“标准地”控制指标</w:t>
      </w:r>
    </w:p>
    <w:p w14:paraId="1C27B33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仿宋_GBK" w:hAnsi="方正仿宋_GBK" w:cs="方正仿宋_GBK"/>
          <w:sz w:val="32"/>
          <w:szCs w:val="32"/>
          <w:lang w:val="en-US" w:eastAsia="zh-CN"/>
        </w:rPr>
        <w:sectPr>
          <w:pgSz w:w="11906" w:h="16838"/>
          <w:pgMar w:top="1984" w:right="1474" w:bottom="1474" w:left="1474" w:header="851" w:footer="992" w:gutter="0"/>
          <w:cols w:space="0" w:num="1"/>
          <w:rtlGutter w:val="0"/>
          <w:docGrid w:type="lines" w:linePitch="447" w:charSpace="0"/>
        </w:sectPr>
      </w:pPr>
    </w:p>
    <w:p w14:paraId="7DCCB96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14:paraId="319B9231">
      <w:pPr>
        <w:keepNext w:val="0"/>
        <w:keepLines w:val="0"/>
        <w:pageBreakBefore w:val="0"/>
        <w:widowControl w:val="0"/>
        <w:kinsoku/>
        <w:wordWrap/>
        <w:overflowPunct/>
        <w:topLinePunct w:val="0"/>
        <w:autoSpaceDE/>
        <w:autoSpaceDN/>
        <w:bidi w:val="0"/>
        <w:adjustRightInd/>
        <w:snapToGrid/>
        <w:spacing w:after="225" w:afterLines="5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源城区工业用地“标准地”控制指标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2778"/>
        <w:gridCol w:w="1927"/>
        <w:gridCol w:w="1927"/>
        <w:gridCol w:w="1927"/>
        <w:gridCol w:w="1927"/>
        <w:gridCol w:w="1929"/>
      </w:tblGrid>
      <w:tr w14:paraId="259C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42" w:type="dxa"/>
            <w:vAlign w:val="center"/>
          </w:tcPr>
          <w:p w14:paraId="2B115B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778" w:type="dxa"/>
            <w:vAlign w:val="center"/>
          </w:tcPr>
          <w:p w14:paraId="62AC3F0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产业类别</w:t>
            </w:r>
          </w:p>
        </w:tc>
        <w:tc>
          <w:tcPr>
            <w:tcW w:w="1927" w:type="dxa"/>
            <w:vAlign w:val="center"/>
          </w:tcPr>
          <w:p w14:paraId="1B36FD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产出强度</w:t>
            </w:r>
          </w:p>
          <w:p w14:paraId="421E8B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（万元/亩）</w:t>
            </w:r>
          </w:p>
        </w:tc>
        <w:tc>
          <w:tcPr>
            <w:tcW w:w="1927" w:type="dxa"/>
            <w:vAlign w:val="center"/>
          </w:tcPr>
          <w:p w14:paraId="06A3AC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投资强度</w:t>
            </w:r>
          </w:p>
          <w:p w14:paraId="755C9C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（万元/亩）</w:t>
            </w:r>
          </w:p>
        </w:tc>
        <w:tc>
          <w:tcPr>
            <w:tcW w:w="1927" w:type="dxa"/>
            <w:vAlign w:val="center"/>
          </w:tcPr>
          <w:p w14:paraId="2B0F5F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亩均税收</w:t>
            </w:r>
          </w:p>
          <w:p w14:paraId="5FD42A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（万元/亩）</w:t>
            </w:r>
          </w:p>
        </w:tc>
        <w:tc>
          <w:tcPr>
            <w:tcW w:w="1927" w:type="dxa"/>
            <w:vAlign w:val="center"/>
          </w:tcPr>
          <w:p w14:paraId="30FE655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容积率</w:t>
            </w:r>
          </w:p>
        </w:tc>
        <w:tc>
          <w:tcPr>
            <w:tcW w:w="1929" w:type="dxa"/>
            <w:vAlign w:val="center"/>
          </w:tcPr>
          <w:p w14:paraId="5A9650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研发经费投入</w:t>
            </w:r>
          </w:p>
          <w:p w14:paraId="59F5E51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强度（%）</w:t>
            </w:r>
          </w:p>
        </w:tc>
      </w:tr>
      <w:tr w14:paraId="6E03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42" w:type="dxa"/>
            <w:vAlign w:val="center"/>
          </w:tcPr>
          <w:p w14:paraId="12BBD0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olor w:val="auto"/>
                <w:sz w:val="28"/>
                <w:szCs w:val="28"/>
                <w:highlight w:val="none"/>
                <w:vertAlign w:val="baseline"/>
                <w:lang w:val="en-US" w:eastAsia="zh-CN"/>
              </w:rPr>
              <w:t>1</w:t>
            </w:r>
          </w:p>
        </w:tc>
        <w:tc>
          <w:tcPr>
            <w:tcW w:w="2778" w:type="dxa"/>
            <w:vAlign w:val="center"/>
          </w:tcPr>
          <w:p w14:paraId="4601C6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olor w:val="auto"/>
                <w:sz w:val="28"/>
                <w:szCs w:val="28"/>
                <w:highlight w:val="none"/>
                <w:vertAlign w:val="baseline"/>
                <w:lang w:val="en-US" w:eastAsia="zh-CN"/>
              </w:rPr>
            </w:pPr>
            <w:r>
              <w:rPr>
                <w:rFonts w:hint="eastAsia" w:ascii="宋体" w:hAnsi="宋体" w:eastAsia="方正仿宋_GBK"/>
                <w:color w:val="auto"/>
                <w:sz w:val="28"/>
                <w:szCs w:val="28"/>
                <w:highlight w:val="none"/>
                <w:vertAlign w:val="baseline"/>
                <w:lang w:val="en-US" w:eastAsia="zh-CN"/>
              </w:rPr>
              <w:t>新一代电子信息产业</w:t>
            </w:r>
          </w:p>
        </w:tc>
        <w:tc>
          <w:tcPr>
            <w:tcW w:w="1927" w:type="dxa"/>
            <w:vAlign w:val="center"/>
          </w:tcPr>
          <w:p w14:paraId="619562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s="微软雅黑"/>
                <w:color w:val="auto"/>
                <w:kern w:val="2"/>
                <w:sz w:val="28"/>
                <w:szCs w:val="28"/>
                <w:highlight w:val="none"/>
                <w:vertAlign w:val="baseline"/>
                <w:lang w:val="en-US" w:eastAsia="zh-CN" w:bidi="ar-SA"/>
              </w:rPr>
            </w:pPr>
            <w:r>
              <w:rPr>
                <w:rFonts w:hint="eastAsia" w:ascii="宋体" w:hAnsi="宋体" w:eastAsia="方正仿宋_GBK" w:cs="微软雅黑"/>
                <w:color w:val="auto"/>
                <w:sz w:val="28"/>
                <w:szCs w:val="28"/>
                <w:highlight w:val="none"/>
                <w:vertAlign w:val="baseline"/>
                <w:lang w:val="en-US" w:eastAsia="zh-CN"/>
              </w:rPr>
              <w:t>≥400</w:t>
            </w:r>
          </w:p>
        </w:tc>
        <w:tc>
          <w:tcPr>
            <w:tcW w:w="1927" w:type="dxa"/>
            <w:vAlign w:val="center"/>
          </w:tcPr>
          <w:p w14:paraId="3FC4CF6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≥300</w:t>
            </w:r>
          </w:p>
        </w:tc>
        <w:tc>
          <w:tcPr>
            <w:tcW w:w="1927" w:type="dxa"/>
            <w:vAlign w:val="center"/>
          </w:tcPr>
          <w:p w14:paraId="2535142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stheme="minorBidi"/>
                <w:color w:val="auto"/>
                <w:kern w:val="2"/>
                <w:sz w:val="28"/>
                <w:szCs w:val="28"/>
                <w:highlight w:val="none"/>
                <w:vertAlign w:val="baseline"/>
                <w:lang w:val="en-US" w:eastAsia="zh-CN" w:bidi="ar-SA"/>
              </w:rPr>
            </w:pPr>
            <w:r>
              <w:rPr>
                <w:rFonts w:hint="eastAsia" w:ascii="宋体" w:hAnsi="宋体" w:eastAsia="方正仿宋_GBK" w:cs="微软雅黑"/>
                <w:color w:val="auto"/>
                <w:sz w:val="28"/>
                <w:szCs w:val="28"/>
                <w:highlight w:val="none"/>
                <w:vertAlign w:val="baseline"/>
                <w:lang w:val="en-US" w:eastAsia="zh-CN"/>
              </w:rPr>
              <w:t>≥21</w:t>
            </w:r>
          </w:p>
        </w:tc>
        <w:tc>
          <w:tcPr>
            <w:tcW w:w="1927" w:type="dxa"/>
            <w:vAlign w:val="center"/>
          </w:tcPr>
          <w:p w14:paraId="6BEE06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≥1.5</w:t>
            </w:r>
          </w:p>
        </w:tc>
        <w:tc>
          <w:tcPr>
            <w:tcW w:w="1929" w:type="dxa"/>
            <w:vAlign w:val="center"/>
          </w:tcPr>
          <w:p w14:paraId="0D2C95A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≥2.5</w:t>
            </w:r>
          </w:p>
        </w:tc>
      </w:tr>
      <w:tr w14:paraId="1C21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42" w:type="dxa"/>
            <w:vAlign w:val="center"/>
          </w:tcPr>
          <w:p w14:paraId="44195D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olor w:val="auto"/>
                <w:sz w:val="28"/>
                <w:szCs w:val="28"/>
                <w:highlight w:val="none"/>
                <w:vertAlign w:val="baseline"/>
                <w:lang w:val="en-US" w:eastAsia="zh-CN"/>
              </w:rPr>
              <w:t>2</w:t>
            </w:r>
          </w:p>
        </w:tc>
        <w:tc>
          <w:tcPr>
            <w:tcW w:w="2778" w:type="dxa"/>
            <w:vAlign w:val="center"/>
          </w:tcPr>
          <w:p w14:paraId="2DAFC7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olor w:val="auto"/>
                <w:sz w:val="28"/>
                <w:szCs w:val="28"/>
                <w:highlight w:val="none"/>
                <w:vertAlign w:val="baseline"/>
                <w:lang w:val="en-US" w:eastAsia="zh-CN"/>
              </w:rPr>
            </w:pPr>
            <w:r>
              <w:rPr>
                <w:rFonts w:hint="eastAsia" w:ascii="宋体" w:hAnsi="宋体" w:eastAsia="方正仿宋_GBK"/>
                <w:color w:val="auto"/>
                <w:sz w:val="28"/>
                <w:szCs w:val="28"/>
                <w:highlight w:val="none"/>
                <w:vertAlign w:val="baseline"/>
                <w:lang w:val="en-US" w:eastAsia="zh-CN"/>
              </w:rPr>
              <w:t>先进材料产业</w:t>
            </w:r>
          </w:p>
        </w:tc>
        <w:tc>
          <w:tcPr>
            <w:tcW w:w="1927" w:type="dxa"/>
            <w:vAlign w:val="center"/>
          </w:tcPr>
          <w:p w14:paraId="0D46612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s="微软雅黑"/>
                <w:color w:val="auto"/>
                <w:kern w:val="2"/>
                <w:sz w:val="28"/>
                <w:szCs w:val="28"/>
                <w:highlight w:val="none"/>
                <w:vertAlign w:val="baseline"/>
                <w:lang w:val="en-US" w:eastAsia="zh-CN" w:bidi="ar-SA"/>
              </w:rPr>
            </w:pPr>
            <w:r>
              <w:rPr>
                <w:rFonts w:hint="eastAsia" w:ascii="宋体" w:hAnsi="宋体" w:eastAsia="方正仿宋_GBK" w:cs="微软雅黑"/>
                <w:color w:val="auto"/>
                <w:sz w:val="28"/>
                <w:szCs w:val="28"/>
                <w:highlight w:val="none"/>
                <w:vertAlign w:val="baseline"/>
                <w:lang w:val="en-US" w:eastAsia="zh-CN"/>
              </w:rPr>
              <w:t>≥400</w:t>
            </w:r>
          </w:p>
        </w:tc>
        <w:tc>
          <w:tcPr>
            <w:tcW w:w="1927" w:type="dxa"/>
            <w:vAlign w:val="center"/>
          </w:tcPr>
          <w:p w14:paraId="6FEE95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≥300</w:t>
            </w:r>
          </w:p>
        </w:tc>
        <w:tc>
          <w:tcPr>
            <w:tcW w:w="1927" w:type="dxa"/>
            <w:vAlign w:val="center"/>
          </w:tcPr>
          <w:p w14:paraId="57278D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stheme="minorBidi"/>
                <w:color w:val="auto"/>
                <w:kern w:val="2"/>
                <w:sz w:val="28"/>
                <w:szCs w:val="28"/>
                <w:highlight w:val="none"/>
                <w:vertAlign w:val="baseline"/>
                <w:lang w:val="en-US" w:eastAsia="zh-CN" w:bidi="ar-SA"/>
              </w:rPr>
            </w:pPr>
            <w:r>
              <w:rPr>
                <w:rFonts w:hint="eastAsia" w:ascii="宋体" w:hAnsi="宋体" w:eastAsia="方正仿宋_GBK" w:cs="微软雅黑"/>
                <w:color w:val="auto"/>
                <w:sz w:val="28"/>
                <w:szCs w:val="28"/>
                <w:highlight w:val="none"/>
                <w:vertAlign w:val="baseline"/>
                <w:lang w:val="en-US" w:eastAsia="zh-CN"/>
              </w:rPr>
              <w:t>≥20</w:t>
            </w:r>
          </w:p>
        </w:tc>
        <w:tc>
          <w:tcPr>
            <w:tcW w:w="1927" w:type="dxa"/>
            <w:vAlign w:val="center"/>
          </w:tcPr>
          <w:p w14:paraId="15C06B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≥1.5</w:t>
            </w:r>
          </w:p>
        </w:tc>
        <w:tc>
          <w:tcPr>
            <w:tcW w:w="1929" w:type="dxa"/>
            <w:vAlign w:val="center"/>
          </w:tcPr>
          <w:p w14:paraId="317DF2A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≥2.5</w:t>
            </w:r>
          </w:p>
        </w:tc>
      </w:tr>
      <w:tr w14:paraId="2C3E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42" w:type="dxa"/>
            <w:vAlign w:val="center"/>
          </w:tcPr>
          <w:p w14:paraId="0B90CF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olor w:val="auto"/>
                <w:sz w:val="28"/>
                <w:szCs w:val="28"/>
                <w:highlight w:val="none"/>
                <w:vertAlign w:val="baseline"/>
                <w:lang w:val="en-US" w:eastAsia="zh-CN"/>
              </w:rPr>
              <w:t>3</w:t>
            </w:r>
          </w:p>
        </w:tc>
        <w:tc>
          <w:tcPr>
            <w:tcW w:w="2778" w:type="dxa"/>
            <w:vAlign w:val="center"/>
          </w:tcPr>
          <w:p w14:paraId="2C9C27D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olor w:val="auto"/>
                <w:sz w:val="28"/>
                <w:szCs w:val="28"/>
                <w:highlight w:val="none"/>
                <w:vertAlign w:val="baseline"/>
                <w:lang w:val="en-US" w:eastAsia="zh-CN"/>
              </w:rPr>
            </w:pPr>
            <w:r>
              <w:rPr>
                <w:rFonts w:hint="eastAsia" w:ascii="宋体" w:hAnsi="宋体" w:eastAsia="方正仿宋_GBK"/>
                <w:color w:val="auto"/>
                <w:sz w:val="28"/>
                <w:szCs w:val="28"/>
                <w:highlight w:val="none"/>
                <w:vertAlign w:val="baseline"/>
                <w:lang w:val="en-US" w:eastAsia="zh-CN"/>
              </w:rPr>
              <w:t>水饮料及食品产业</w:t>
            </w:r>
          </w:p>
        </w:tc>
        <w:tc>
          <w:tcPr>
            <w:tcW w:w="1927" w:type="dxa"/>
            <w:vAlign w:val="center"/>
          </w:tcPr>
          <w:p w14:paraId="622859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s="微软雅黑"/>
                <w:color w:val="auto"/>
                <w:kern w:val="2"/>
                <w:sz w:val="28"/>
                <w:szCs w:val="28"/>
                <w:highlight w:val="none"/>
                <w:vertAlign w:val="baseline"/>
                <w:lang w:val="en-US" w:eastAsia="zh-CN" w:bidi="ar-SA"/>
              </w:rPr>
            </w:pPr>
            <w:r>
              <w:rPr>
                <w:rFonts w:hint="eastAsia" w:ascii="宋体" w:hAnsi="宋体" w:eastAsia="方正仿宋_GBK" w:cs="微软雅黑"/>
                <w:color w:val="auto"/>
                <w:sz w:val="28"/>
                <w:szCs w:val="28"/>
                <w:highlight w:val="none"/>
                <w:vertAlign w:val="baseline"/>
                <w:lang w:val="en-US" w:eastAsia="zh-CN"/>
              </w:rPr>
              <w:t>≥400</w:t>
            </w:r>
          </w:p>
        </w:tc>
        <w:tc>
          <w:tcPr>
            <w:tcW w:w="1927" w:type="dxa"/>
            <w:vAlign w:val="center"/>
          </w:tcPr>
          <w:p w14:paraId="79E447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≥300</w:t>
            </w:r>
          </w:p>
        </w:tc>
        <w:tc>
          <w:tcPr>
            <w:tcW w:w="1927" w:type="dxa"/>
            <w:vAlign w:val="center"/>
          </w:tcPr>
          <w:p w14:paraId="771FDF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stheme="minorBidi"/>
                <w:color w:val="auto"/>
                <w:kern w:val="2"/>
                <w:sz w:val="28"/>
                <w:szCs w:val="28"/>
                <w:highlight w:val="none"/>
                <w:vertAlign w:val="baseline"/>
                <w:lang w:val="en-US" w:eastAsia="zh-CN" w:bidi="ar-SA"/>
              </w:rPr>
            </w:pPr>
            <w:r>
              <w:rPr>
                <w:rFonts w:hint="eastAsia" w:ascii="宋体" w:hAnsi="宋体" w:eastAsia="方正仿宋_GBK" w:cs="微软雅黑"/>
                <w:color w:val="auto"/>
                <w:sz w:val="28"/>
                <w:szCs w:val="28"/>
                <w:highlight w:val="none"/>
                <w:vertAlign w:val="baseline"/>
                <w:lang w:val="en-US" w:eastAsia="zh-CN"/>
              </w:rPr>
              <w:t>≥20</w:t>
            </w:r>
          </w:p>
        </w:tc>
        <w:tc>
          <w:tcPr>
            <w:tcW w:w="1927" w:type="dxa"/>
            <w:vAlign w:val="center"/>
          </w:tcPr>
          <w:p w14:paraId="3518ED2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s="微软雅黑"/>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水饮料≥1.0</w:t>
            </w:r>
          </w:p>
          <w:p w14:paraId="7504DB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其他≥1.5</w:t>
            </w:r>
          </w:p>
        </w:tc>
        <w:tc>
          <w:tcPr>
            <w:tcW w:w="1929" w:type="dxa"/>
            <w:vAlign w:val="center"/>
          </w:tcPr>
          <w:p w14:paraId="0A9B1EF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≥1</w:t>
            </w:r>
          </w:p>
        </w:tc>
      </w:tr>
      <w:tr w14:paraId="7BD6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42" w:type="dxa"/>
            <w:vAlign w:val="center"/>
          </w:tcPr>
          <w:p w14:paraId="562C40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olor w:val="auto"/>
                <w:sz w:val="28"/>
                <w:szCs w:val="28"/>
                <w:highlight w:val="none"/>
                <w:vertAlign w:val="baseline"/>
                <w:lang w:val="en-US" w:eastAsia="zh-CN"/>
              </w:rPr>
              <w:t>4</w:t>
            </w:r>
          </w:p>
        </w:tc>
        <w:tc>
          <w:tcPr>
            <w:tcW w:w="2778" w:type="dxa"/>
            <w:vAlign w:val="center"/>
          </w:tcPr>
          <w:p w14:paraId="0BD93D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olor w:val="auto"/>
                <w:sz w:val="28"/>
                <w:szCs w:val="28"/>
                <w:highlight w:val="none"/>
                <w:vertAlign w:val="baseline"/>
                <w:lang w:val="en-US" w:eastAsia="zh-CN"/>
              </w:rPr>
            </w:pPr>
            <w:r>
              <w:rPr>
                <w:rFonts w:hint="eastAsia" w:ascii="宋体" w:hAnsi="宋体" w:eastAsia="方正仿宋_GBK"/>
                <w:color w:val="auto"/>
                <w:sz w:val="28"/>
                <w:szCs w:val="28"/>
                <w:highlight w:val="none"/>
                <w:vertAlign w:val="baseline"/>
                <w:lang w:val="en-US" w:eastAsia="zh-CN"/>
              </w:rPr>
              <w:t>其他产业</w:t>
            </w:r>
          </w:p>
        </w:tc>
        <w:tc>
          <w:tcPr>
            <w:tcW w:w="1927" w:type="dxa"/>
            <w:vAlign w:val="center"/>
          </w:tcPr>
          <w:p w14:paraId="31BEE5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s="微软雅黑"/>
                <w:color w:val="auto"/>
                <w:kern w:val="2"/>
                <w:sz w:val="28"/>
                <w:szCs w:val="28"/>
                <w:highlight w:val="none"/>
                <w:vertAlign w:val="baseline"/>
                <w:lang w:val="en-US" w:eastAsia="zh-CN" w:bidi="ar-SA"/>
              </w:rPr>
            </w:pPr>
            <w:r>
              <w:rPr>
                <w:rFonts w:hint="eastAsia" w:ascii="宋体" w:hAnsi="宋体" w:eastAsia="方正仿宋_GBK" w:cs="微软雅黑"/>
                <w:color w:val="auto"/>
                <w:sz w:val="28"/>
                <w:szCs w:val="28"/>
                <w:highlight w:val="none"/>
                <w:vertAlign w:val="baseline"/>
                <w:lang w:val="en-US" w:eastAsia="zh-CN"/>
              </w:rPr>
              <w:t>≥400</w:t>
            </w:r>
          </w:p>
        </w:tc>
        <w:tc>
          <w:tcPr>
            <w:tcW w:w="1927" w:type="dxa"/>
            <w:vAlign w:val="center"/>
          </w:tcPr>
          <w:p w14:paraId="35A3A6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≥300</w:t>
            </w:r>
          </w:p>
        </w:tc>
        <w:tc>
          <w:tcPr>
            <w:tcW w:w="1927" w:type="dxa"/>
            <w:vAlign w:val="center"/>
          </w:tcPr>
          <w:p w14:paraId="5BFD0B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方正仿宋_GBK" w:cstheme="minorBidi"/>
                <w:color w:val="auto"/>
                <w:kern w:val="2"/>
                <w:sz w:val="28"/>
                <w:szCs w:val="28"/>
                <w:highlight w:val="none"/>
                <w:vertAlign w:val="baseline"/>
                <w:lang w:val="en-US" w:eastAsia="zh-CN" w:bidi="ar-SA"/>
              </w:rPr>
            </w:pPr>
            <w:r>
              <w:rPr>
                <w:rFonts w:hint="eastAsia" w:ascii="宋体" w:hAnsi="宋体" w:eastAsia="方正仿宋_GBK" w:cs="微软雅黑"/>
                <w:color w:val="auto"/>
                <w:sz w:val="28"/>
                <w:szCs w:val="28"/>
                <w:highlight w:val="none"/>
                <w:vertAlign w:val="baseline"/>
                <w:lang w:val="en-US" w:eastAsia="zh-CN"/>
              </w:rPr>
              <w:t>≥20</w:t>
            </w:r>
          </w:p>
        </w:tc>
        <w:tc>
          <w:tcPr>
            <w:tcW w:w="1927" w:type="dxa"/>
            <w:vAlign w:val="center"/>
          </w:tcPr>
          <w:p w14:paraId="3D9975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≥1.5</w:t>
            </w:r>
          </w:p>
        </w:tc>
        <w:tc>
          <w:tcPr>
            <w:tcW w:w="1929" w:type="dxa"/>
            <w:vAlign w:val="center"/>
          </w:tcPr>
          <w:p w14:paraId="637F8F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仿宋_GBK"/>
                <w:color w:val="auto"/>
                <w:sz w:val="28"/>
                <w:szCs w:val="28"/>
                <w:highlight w:val="none"/>
                <w:vertAlign w:val="baseline"/>
                <w:lang w:val="en-US" w:eastAsia="zh-CN"/>
              </w:rPr>
            </w:pPr>
            <w:r>
              <w:rPr>
                <w:rFonts w:hint="eastAsia" w:ascii="宋体" w:hAnsi="宋体" w:eastAsia="方正仿宋_GBK" w:cs="微软雅黑"/>
                <w:color w:val="auto"/>
                <w:sz w:val="28"/>
                <w:szCs w:val="28"/>
                <w:highlight w:val="none"/>
                <w:vertAlign w:val="baseline"/>
                <w:lang w:val="en-US" w:eastAsia="zh-CN"/>
              </w:rPr>
              <w:t>≥2.5</w:t>
            </w:r>
          </w:p>
        </w:tc>
      </w:tr>
    </w:tbl>
    <w:p w14:paraId="30AE38DA">
      <w:pPr>
        <w:keepNext w:val="0"/>
        <w:keepLines w:val="0"/>
        <w:pageBreakBefore w:val="0"/>
        <w:widowControl w:val="0"/>
        <w:kinsoku/>
        <w:wordWrap/>
        <w:overflowPunct/>
        <w:topLinePunct w:val="0"/>
        <w:autoSpaceDE/>
        <w:autoSpaceDN/>
        <w:bidi w:val="0"/>
        <w:adjustRightInd/>
        <w:snapToGrid/>
        <w:spacing w:before="225" w:beforeLines="50" w:line="480" w:lineRule="exact"/>
        <w:ind w:left="0" w:leftChars="0" w:firstLine="560" w:firstLineChars="200"/>
        <w:jc w:val="both"/>
        <w:textAlignment w:val="auto"/>
        <w:rPr>
          <w:rFonts w:hint="default"/>
          <w:sz w:val="28"/>
          <w:szCs w:val="28"/>
          <w:vertAlign w:val="baseline"/>
          <w:lang w:val="en-US" w:eastAsia="zh-CN"/>
        </w:rPr>
      </w:pPr>
      <w:r>
        <w:rPr>
          <w:rFonts w:hint="eastAsia"/>
          <w:sz w:val="28"/>
          <w:szCs w:val="28"/>
          <w:vertAlign w:val="baseline"/>
          <w:lang w:val="en-US" w:eastAsia="zh-CN"/>
        </w:rPr>
        <w:t>注：新一代电子信息产业、先进材料产业参考《关于印发广东省战略性产业集群统计口径（试行）的通知》（粤工信规划政策函</w:t>
      </w:r>
      <w:r>
        <w:rPr>
          <w:rFonts w:hint="eastAsia" w:ascii="方正仿宋简体" w:hAnsi="方正仿宋简体" w:eastAsia="方正仿宋简体" w:cs="方正仿宋简体"/>
          <w:sz w:val="28"/>
          <w:szCs w:val="28"/>
          <w:vertAlign w:val="baseline"/>
          <w:lang w:val="en-US" w:eastAsia="zh-CN"/>
        </w:rPr>
        <w:t>〔</w:t>
      </w:r>
      <w:r>
        <w:rPr>
          <w:rFonts w:hint="eastAsia"/>
          <w:sz w:val="28"/>
          <w:szCs w:val="28"/>
          <w:vertAlign w:val="baseline"/>
          <w:lang w:val="en-US" w:eastAsia="zh-CN"/>
        </w:rPr>
        <w:t>2021</w:t>
      </w:r>
      <w:r>
        <w:rPr>
          <w:rFonts w:hint="eastAsia" w:ascii="方正仿宋简体" w:hAnsi="方正仿宋简体" w:eastAsia="方正仿宋简体" w:cs="方正仿宋简体"/>
          <w:sz w:val="28"/>
          <w:szCs w:val="28"/>
          <w:vertAlign w:val="baseline"/>
          <w:lang w:val="en-US" w:eastAsia="zh-CN"/>
        </w:rPr>
        <w:t>〕</w:t>
      </w:r>
      <w:r>
        <w:rPr>
          <w:rFonts w:hint="eastAsia"/>
          <w:sz w:val="28"/>
          <w:szCs w:val="28"/>
          <w:vertAlign w:val="baseline"/>
          <w:lang w:val="en-US" w:eastAsia="zh-CN"/>
        </w:rPr>
        <w:t>40号）划分，水饮料及食品产业包含《国民经济行业分类（GB/T4754-2017）》中的13农副食品加工业、14食品制造业、15酒、饮料和精制茶制造业。</w:t>
      </w:r>
    </w:p>
    <w:sectPr>
      <w:pgSz w:w="16838" w:h="11906" w:orient="landscape"/>
      <w:pgMar w:top="1474" w:right="1984" w:bottom="1474" w:left="1474" w:header="851" w:footer="992" w:gutter="0"/>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23CE72-63F9-46C7-9259-75441BE539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84789DAA-0571-401B-801C-338367B0AA95}"/>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3" w:fontKey="{915519A4-F8C7-4D15-B240-53DB58383049}"/>
  </w:font>
  <w:font w:name="方正仿宋简体">
    <w:panose1 w:val="03000509000000000000"/>
    <w:charset w:val="86"/>
    <w:family w:val="auto"/>
    <w:pitch w:val="default"/>
    <w:sig w:usb0="00000001" w:usb1="080E0000" w:usb2="00000000" w:usb3="00000000" w:csb0="00040000" w:csb1="00000000"/>
    <w:embedRegular r:id="rId4" w:fontKey="{B8B62618-51EF-4E0B-9864-0E47704776C6}"/>
  </w:font>
  <w:font w:name="方正小标宋_GBK">
    <w:panose1 w:val="03000509000000000000"/>
    <w:charset w:val="86"/>
    <w:family w:val="auto"/>
    <w:pitch w:val="default"/>
    <w:sig w:usb0="00000001" w:usb1="080E0000" w:usb2="00000000" w:usb3="00000000" w:csb0="00040000" w:csb1="00000000"/>
    <w:embedRegular r:id="rId5" w:fontKey="{A0FE40E9-5073-45C0-87D5-44479CBD5B6C}"/>
  </w:font>
  <w:font w:name="微软雅黑">
    <w:panose1 w:val="020B0503020204020204"/>
    <w:charset w:val="86"/>
    <w:family w:val="auto"/>
    <w:pitch w:val="default"/>
    <w:sig w:usb0="80000287" w:usb1="280F3C52" w:usb2="00000016" w:usb3="00000000" w:csb0="0004001F" w:csb1="00000000"/>
    <w:embedRegular r:id="rId6" w:fontKey="{BDCF7783-5522-43AE-B3BD-79A2B239AE3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jg0YjllMmRiZDlhOGY4YTY5OWUwZTc3MDM5M2EifQ=="/>
  </w:docVars>
  <w:rsids>
    <w:rsidRoot w:val="00000000"/>
    <w:rsid w:val="03077757"/>
    <w:rsid w:val="0E451608"/>
    <w:rsid w:val="0EBF48E5"/>
    <w:rsid w:val="1FE642A6"/>
    <w:rsid w:val="215522BF"/>
    <w:rsid w:val="223B5928"/>
    <w:rsid w:val="274F000B"/>
    <w:rsid w:val="27A91142"/>
    <w:rsid w:val="27DE6B9D"/>
    <w:rsid w:val="323C291F"/>
    <w:rsid w:val="366A797C"/>
    <w:rsid w:val="3A345F32"/>
    <w:rsid w:val="536F634C"/>
    <w:rsid w:val="5B095F91"/>
    <w:rsid w:val="5BEA025A"/>
    <w:rsid w:val="5CB937AD"/>
    <w:rsid w:val="601360EA"/>
    <w:rsid w:val="61445377"/>
    <w:rsid w:val="62220A64"/>
    <w:rsid w:val="645D6087"/>
    <w:rsid w:val="65642C10"/>
    <w:rsid w:val="65C227FB"/>
    <w:rsid w:val="6C6E609A"/>
    <w:rsid w:val="71410EA0"/>
    <w:rsid w:val="7C57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420" w:firstLineChars="200"/>
      <w:jc w:val="both"/>
    </w:pPr>
    <w:rPr>
      <w:rFonts w:ascii="宋体" w:hAnsi="宋体" w:eastAsia="方正仿宋_GBK"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ind w:firstLine="880" w:firstLineChars="200"/>
      <w:outlineLvl w:val="0"/>
    </w:pPr>
    <w:rPr>
      <w:rFonts w:ascii="宋体" w:hAnsi="宋体" w:eastAsia="方正黑体_GBK"/>
      <w:kern w:val="44"/>
      <w:sz w:val="32"/>
    </w:rPr>
  </w:style>
  <w:style w:type="paragraph" w:styleId="3">
    <w:name w:val="heading 2"/>
    <w:basedOn w:val="1"/>
    <w:next w:val="1"/>
    <w:autoRedefine/>
    <w:semiHidden/>
    <w:unhideWhenUsed/>
    <w:qFormat/>
    <w:uiPriority w:val="0"/>
    <w:pPr>
      <w:keepNext/>
      <w:keepLines/>
      <w:spacing w:beforeLines="0" w:beforeAutospacing="0" w:afterLines="0" w:afterAutospacing="0" w:line="600" w:lineRule="exact"/>
      <w:ind w:firstLine="880" w:firstLineChars="200"/>
      <w:outlineLvl w:val="1"/>
    </w:pPr>
    <w:rPr>
      <w:rFonts w:ascii="宋体" w:hAnsi="宋体" w:eastAsia="方正楷体_GBK"/>
      <w:sz w:val="32"/>
    </w:rPr>
  </w:style>
  <w:style w:type="paragraph" w:styleId="4">
    <w:name w:val="heading 3"/>
    <w:basedOn w:val="1"/>
    <w:next w:val="1"/>
    <w:autoRedefine/>
    <w:semiHidden/>
    <w:unhideWhenUsed/>
    <w:qFormat/>
    <w:uiPriority w:val="0"/>
    <w:pPr>
      <w:keepNext/>
      <w:keepLines/>
      <w:spacing w:beforeLines="0" w:beforeAutospacing="0" w:afterLines="0" w:afterAutospacing="0" w:line="600" w:lineRule="exact"/>
      <w:ind w:firstLine="880" w:firstLineChars="200"/>
      <w:outlineLvl w:val="2"/>
    </w:pPr>
    <w:rPr>
      <w:rFonts w:ascii="宋体" w:hAnsi="宋体" w:eastAsia="方正仿宋_GBK"/>
      <w:sz w:val="32"/>
    </w:rPr>
  </w:style>
  <w:style w:type="paragraph" w:styleId="5">
    <w:name w:val="heading 4"/>
    <w:basedOn w:val="1"/>
    <w:next w:val="1"/>
    <w:autoRedefine/>
    <w:semiHidden/>
    <w:unhideWhenUsed/>
    <w:qFormat/>
    <w:uiPriority w:val="0"/>
    <w:pPr>
      <w:keepNext/>
      <w:keepLines/>
      <w:spacing w:beforeLines="0" w:beforeAutospacing="0" w:afterLines="0" w:afterAutospacing="0" w:line="600" w:lineRule="exact"/>
      <w:ind w:firstLine="880" w:firstLineChars="200"/>
      <w:outlineLvl w:val="3"/>
    </w:pPr>
    <w:rPr>
      <w:rFonts w:ascii="宋体" w:hAnsi="宋体" w:eastAsia="方正仿宋_GBK"/>
      <w:sz w:val="32"/>
    </w:rPr>
  </w:style>
  <w:style w:type="character" w:default="1" w:styleId="8">
    <w:name w:val="Default Paragraph Font"/>
    <w:autoRedefine/>
    <w:semiHidden/>
    <w:qFormat/>
    <w:uiPriority w:val="0"/>
    <w:rPr>
      <w:rFonts w:ascii="宋体" w:hAnsi="宋体" w:eastAsia="方正仿宋_GBK"/>
      <w:sz w:val="32"/>
    </w:rPr>
  </w:style>
  <w:style w:type="table" w:default="1" w:styleId="6">
    <w:name w:val="Normal Table"/>
    <w:autoRedefine/>
    <w:semiHidden/>
    <w:qFormat/>
    <w:uiPriority w:val="0"/>
    <w:tblPr>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autoRedefine/>
    <w:qFormat/>
    <w:uiPriority w:val="0"/>
    <w:pPr>
      <w:spacing w:line="600" w:lineRule="exact"/>
      <w:ind w:firstLine="420" w:firstLineChars="200"/>
    </w:pPr>
    <w:rPr>
      <w:rFonts w:ascii="宋体" w:hAnsi="宋体" w:eastAsia="方正仿宋简体"/>
      <w:sz w:val="32"/>
    </w:rPr>
  </w:style>
  <w:style w:type="paragraph" w:customStyle="1" w:styleId="10">
    <w:name w:val="固定模板（公文）"/>
    <w:basedOn w:val="1"/>
    <w:autoRedefine/>
    <w:qFormat/>
    <w:uiPriority w:val="0"/>
    <w:pPr>
      <w:spacing w:line="600" w:lineRule="exact"/>
      <w:ind w:firstLine="420" w:firstLineChars="200"/>
    </w:pPr>
    <w:rPr>
      <w:rFonts w:ascii="宋体" w:hAnsi="宋体"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1435</Words>
  <Characters>1494</Characters>
  <Lines>0</Lines>
  <Paragraphs>0</Paragraphs>
  <TotalTime>11</TotalTime>
  <ScaleCrop>false</ScaleCrop>
  <LinksUpToDate>false</LinksUpToDate>
  <CharactersWithSpaces>1534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2023-12-05T00:40:00Z</dcterms:created>
  <dc:creator>Administrator</dc:creator>
  <cp:lastModifiedBy>June</cp:lastModifiedBy>
  <dcterms:modified xsi:type="dcterms:W3CDTF">2024-11-21T03:26:23Z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70DD1D9162D1434594BBDDE3FB3D2175_12</vt:lpwstr>
  </property>
</Properties>
</file>